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Style w:val="Style_3"/>
        <w:tblpPr w:bottomFromText="0" w:horzAnchor="margin" w:leftFromText="180" w:rightFromText="180" w:tblpX="0" w:tblpXSpec="left" w:tblpY="-45" w:topFromText="0" w:vertAnchor="text"/>
        <w:tblW w:w="100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9"/>
        <w:gridCol w:w="4964"/>
      </w:tblGrid>
      <w:tr>
        <w:trPr>
          <w:trHeight w:val="423" w:hRule="atLeast"/>
        </w:trPr>
        <w:tc>
          <w:tcPr>
            <w:tcW w:w="5099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009" w:leader="none"/>
              </w:tabs>
              <w:suppressAutoHyphens w:val="true"/>
              <w:spacing w:lineRule="auto" w:line="276"/>
              <w:ind w:left="0" w:right="0" w:hanging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/>
              <w:ind w:left="0" w:right="0" w:hanging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596" w:hRule="atLeast"/>
        </w:trPr>
        <w:tc>
          <w:tcPr>
            <w:tcW w:w="50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0"/>
                <w:szCs w:val="20"/>
              </w:rPr>
            </w:pPr>
            <w:r>
              <w:rPr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49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0"/>
                <w:szCs w:val="20"/>
              </w:rPr>
            </w:pPr>
            <w:r>
              <w:rPr>
                <w:spacing w:val="0"/>
                <w:kern w:val="0"/>
                <w:sz w:val="20"/>
                <w:szCs w:val="20"/>
              </w:rPr>
            </w:r>
          </w:p>
        </w:tc>
      </w:tr>
      <w:tr>
        <w:trPr>
          <w:trHeight w:val="535" w:hRule="atLeast"/>
        </w:trPr>
        <w:tc>
          <w:tcPr>
            <w:tcW w:w="50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0"/>
                <w:szCs w:val="20"/>
              </w:rPr>
            </w:pPr>
            <w:r>
              <w:rPr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49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/>
              <w:ind w:left="0" w:right="0" w:hanging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41" w:hRule="atLeast"/>
        </w:trPr>
        <w:tc>
          <w:tcPr>
            <w:tcW w:w="50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/>
              <w:ind w:left="0" w:right="0" w:hanging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9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/>
              <w:ind w:left="0" w:right="0" w:hanging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Normal"/>
        <w:widowControl w:val="false"/>
        <w:ind w:left="0" w:right="0" w:firstLine="567"/>
        <w:rPr>
          <w:sz w:val="26"/>
        </w:rPr>
      </w:pPr>
      <w:r>
        <w:rPr>
          <w:sz w:val="26"/>
        </w:rPr>
      </w:r>
    </w:p>
    <w:p>
      <w:pPr>
        <w:pStyle w:val="Normal"/>
        <w:widowControl w:val="false"/>
        <w:ind w:left="0" w:right="0" w:firstLine="567"/>
        <w:rPr>
          <w:sz w:val="26"/>
        </w:rPr>
      </w:pPr>
      <w:r>
        <w:rPr>
          <w:sz w:val="26"/>
        </w:rPr>
      </w:r>
    </w:p>
    <w:p>
      <w:pPr>
        <w:pStyle w:val="Normal"/>
        <w:widowControl w:val="false"/>
        <w:ind w:left="0" w:right="0" w:firstLine="567"/>
        <w:rPr>
          <w:sz w:val="26"/>
        </w:rPr>
      </w:pPr>
      <w:r>
        <w:rPr>
          <w:sz w:val="26"/>
        </w:rPr>
      </w:r>
    </w:p>
    <w:p>
      <w:pPr>
        <w:pStyle w:val="Normal"/>
        <w:widowControl w:val="false"/>
        <w:ind w:left="0" w:right="0" w:firstLine="567"/>
        <w:rPr>
          <w:sz w:val="26"/>
        </w:rPr>
      </w:pPr>
      <w:r>
        <w:rPr>
          <w:sz w:val="26"/>
        </w:rPr>
      </w:r>
    </w:p>
    <w:p>
      <w:pPr>
        <w:pStyle w:val="Normal"/>
        <w:widowControl w:val="false"/>
        <w:ind w:left="0" w:right="0" w:firstLine="567"/>
        <w:rPr>
          <w:sz w:val="26"/>
        </w:rPr>
      </w:pPr>
      <w:r>
        <w:rPr>
          <w:sz w:val="26"/>
        </w:rPr>
      </w:r>
    </w:p>
    <w:p>
      <w:pPr>
        <w:pStyle w:val="Normal"/>
        <w:widowControl w:val="false"/>
        <w:ind w:left="0" w:right="0" w:firstLine="567"/>
        <w:rPr>
          <w:sz w:val="26"/>
        </w:rPr>
      </w:pPr>
      <w:r>
        <w:rPr>
          <w:sz w:val="26"/>
        </w:rPr>
      </w:r>
    </w:p>
    <w:p>
      <w:pPr>
        <w:pStyle w:val="Normal"/>
        <w:widowControl w:val="false"/>
        <w:ind w:left="0" w:right="0" w:firstLine="567"/>
        <w:rPr>
          <w:sz w:val="26"/>
        </w:rPr>
      </w:pPr>
      <w:r>
        <w:rPr>
          <w:sz w:val="26"/>
        </w:rPr>
      </w:r>
    </w:p>
    <w:p>
      <w:pPr>
        <w:pStyle w:val="Normal"/>
        <w:widowControl w:val="false"/>
        <w:ind w:left="0" w:right="0" w:firstLine="567"/>
        <w:rPr>
          <w:sz w:val="26"/>
        </w:rPr>
      </w:pPr>
      <w:r>
        <w:rPr>
          <w:sz w:val="26"/>
        </w:rPr>
      </w:r>
    </w:p>
    <w:p>
      <w:pPr>
        <w:pStyle w:val="Normal"/>
        <w:widowControl w:val="false"/>
        <w:ind w:left="0" w:right="0" w:firstLine="567"/>
        <w:rPr>
          <w:sz w:val="26"/>
        </w:rPr>
      </w:pPr>
      <w:r>
        <w:rPr>
          <w:sz w:val="26"/>
        </w:rPr>
      </w:r>
    </w:p>
    <w:p>
      <w:pPr>
        <w:pStyle w:val="Normal"/>
        <w:widowControl w:val="false"/>
        <w:ind w:left="0" w:right="0" w:firstLine="567"/>
        <w:rPr>
          <w:sz w:val="26"/>
        </w:rPr>
      </w:pPr>
      <w:r>
        <w:rPr>
          <w:sz w:val="26"/>
        </w:rPr>
      </w:r>
    </w:p>
    <w:p>
      <w:pPr>
        <w:pStyle w:val="Normal"/>
        <w:widowControl w:val="false"/>
        <w:ind w:left="0" w:right="0" w:firstLine="567"/>
        <w:rPr>
          <w:sz w:val="26"/>
        </w:rPr>
      </w:pPr>
      <w:r>
        <w:rPr>
          <w:sz w:val="26"/>
        </w:rPr>
      </w:r>
    </w:p>
    <w:p>
      <w:pPr>
        <w:pStyle w:val="Normal"/>
        <w:widowControl w:val="false"/>
        <w:ind w:left="0" w:right="0" w:firstLine="567"/>
        <w:jc w:val="center"/>
        <w:rPr>
          <w:b/>
          <w:sz w:val="26"/>
        </w:rPr>
      </w:pPr>
      <w:r>
        <w:rPr>
          <w:b/>
          <w:sz w:val="26"/>
        </w:rPr>
        <w:t xml:space="preserve">Технические требования </w:t>
      </w:r>
    </w:p>
    <w:p>
      <w:pPr>
        <w:pStyle w:val="Normal"/>
        <w:widowControl w:val="false"/>
        <w:ind w:left="0" w:right="0" w:firstLine="567"/>
        <w:jc w:val="center"/>
        <w:rPr>
          <w:b/>
          <w:sz w:val="26"/>
        </w:rPr>
      </w:pPr>
      <w:r>
        <w:rPr>
          <w:b/>
          <w:sz w:val="26"/>
        </w:rPr>
      </w:r>
    </w:p>
    <w:p>
      <w:pPr>
        <w:pStyle w:val="Normal"/>
        <w:widowControl w:val="false"/>
        <w:ind w:left="0" w:right="0" w:firstLine="567"/>
        <w:jc w:val="center"/>
        <w:rPr>
          <w:b/>
          <w:sz w:val="26"/>
        </w:rPr>
      </w:pPr>
      <w:r>
        <w:rPr>
          <w:b/>
          <w:sz w:val="26"/>
        </w:rPr>
      </w:r>
    </w:p>
    <w:p>
      <w:pPr>
        <w:pStyle w:val="Normal"/>
        <w:widowControl w:val="false"/>
        <w:ind w:left="0" w:right="0" w:firstLine="567"/>
        <w:jc w:val="center"/>
        <w:rPr>
          <w:rFonts w:ascii="Times New Roman" w:hAnsi="Times New Roman"/>
          <w:b/>
          <w:sz w:val="24"/>
        </w:rPr>
      </w:pPr>
      <w:r>
        <w:rPr>
          <w:b/>
          <w:sz w:val="24"/>
        </w:rPr>
        <w:t>ОКПД2 71.12.39</w:t>
      </w:r>
      <w:r>
        <w:rPr>
          <w:b/>
          <w:sz w:val="26"/>
        </w:rPr>
        <w:t xml:space="preserve"> </w:t>
      </w:r>
      <w:r>
        <w:rPr>
          <w:b/>
          <w:sz w:val="24"/>
        </w:rPr>
        <w:t xml:space="preserve">Выполнение работ по корректировке инженерно-геологических </w:t>
      </w:r>
    </w:p>
    <w:p>
      <w:pPr>
        <w:pStyle w:val="Normal"/>
        <w:widowControl w:val="false"/>
        <w:ind w:left="0" w:right="0" w:firstLine="567"/>
        <w:jc w:val="center"/>
        <w:rPr>
          <w:rFonts w:ascii="Times New Roman" w:hAnsi="Times New Roman"/>
          <w:b/>
          <w:sz w:val="24"/>
        </w:rPr>
      </w:pPr>
      <w:r>
        <w:rPr>
          <w:b/>
          <w:sz w:val="24"/>
        </w:rPr>
        <w:t xml:space="preserve"> </w:t>
      </w:r>
      <w:r>
        <w:rPr>
          <w:b/>
          <w:sz w:val="24"/>
        </w:rPr>
        <w:t>изысканий в рамках разработки проектной и рабочей документации</w:t>
      </w:r>
    </w:p>
    <w:p>
      <w:pPr>
        <w:pStyle w:val="Normal"/>
        <w:widowControl w:val="false"/>
        <w:ind w:left="0" w:right="0" w:firstLine="567"/>
        <w:jc w:val="center"/>
        <w:rPr>
          <w:rFonts w:ascii="Times New Roman" w:hAnsi="Times New Roman"/>
          <w:b/>
          <w:sz w:val="24"/>
        </w:rPr>
      </w:pPr>
      <w:r>
        <w:rPr>
          <w:b/>
          <w:sz w:val="24"/>
        </w:rPr>
        <w:t>на реконструкцию системы водоотведения</w:t>
      </w:r>
    </w:p>
    <w:p>
      <w:pPr>
        <w:pStyle w:val="Normal"/>
        <w:widowControl w:val="false"/>
        <w:ind w:left="0" w:right="0" w:firstLine="567"/>
        <w:jc w:val="center"/>
        <w:rPr>
          <w:rFonts w:ascii="Times New Roman" w:hAnsi="Times New Roman"/>
          <w:b/>
          <w:sz w:val="24"/>
        </w:rPr>
      </w:pPr>
      <w:r>
        <w:rPr>
          <w:b/>
          <w:sz w:val="24"/>
        </w:rPr>
        <w:t xml:space="preserve">Владивостокской ТЭЦ-2 </w:t>
      </w:r>
    </w:p>
    <w:p>
      <w:pPr>
        <w:pStyle w:val="Normal"/>
        <w:widowControl w:val="false"/>
        <w:ind w:left="0" w:right="0" w:firstLine="567"/>
        <w:jc w:val="center"/>
        <w:rPr>
          <w:sz w:val="26"/>
        </w:rPr>
      </w:pPr>
      <w:r>
        <w:rPr>
          <w:sz w:val="26"/>
        </w:rPr>
      </w:r>
    </w:p>
    <w:p>
      <w:pPr>
        <w:pStyle w:val="Normal"/>
        <w:widowControl w:val="false"/>
        <w:ind w:left="0" w:right="0" w:firstLine="567"/>
        <w:jc w:val="center"/>
        <w:rPr>
          <w:b/>
          <w:i w:val="false"/>
          <w:i w:val="false"/>
        </w:rPr>
      </w:pPr>
      <w:r>
        <w:rPr>
          <w:b/>
          <w:i w:val="false"/>
          <w:sz w:val="26"/>
        </w:rPr>
        <w:t>Лот №</w:t>
      </w:r>
    </w:p>
    <w:p>
      <w:pPr>
        <w:pStyle w:val="Normal"/>
        <w:widowControl w:val="false"/>
        <w:ind w:left="0" w:right="0" w:firstLine="567"/>
        <w:jc w:val="center"/>
        <w:rPr>
          <w:b/>
          <w:i/>
          <w:i/>
          <w:sz w:val="26"/>
        </w:rPr>
      </w:pPr>
      <w:r>
        <w:rPr>
          <w:b/>
          <w:i/>
          <w:sz w:val="26"/>
        </w:rPr>
      </w:r>
    </w:p>
    <w:p>
      <w:pPr>
        <w:pStyle w:val="Normal"/>
        <w:widowControl w:val="false"/>
        <w:ind w:left="0" w:right="0" w:firstLine="567"/>
        <w:jc w:val="both"/>
        <w:rPr>
          <w:sz w:val="26"/>
        </w:rPr>
      </w:pPr>
      <w:r>
        <w:rPr>
          <w:sz w:val="26"/>
        </w:rPr>
      </w:r>
    </w:p>
    <w:p>
      <w:pPr>
        <w:pStyle w:val="Normal"/>
        <w:widowControl w:val="false"/>
        <w:ind w:left="0" w:right="0" w:firstLine="567"/>
        <w:rPr>
          <w:sz w:val="26"/>
        </w:rPr>
      </w:pPr>
      <w:r>
        <w:rPr>
          <w:sz w:val="26"/>
        </w:rPr>
      </w:r>
      <w:r>
        <w:br w:type="page"/>
      </w:r>
    </w:p>
    <w:p>
      <w:pPr>
        <w:pStyle w:val="Normal"/>
        <w:widowControl w:val="false"/>
        <w:spacing w:before="0" w:after="0"/>
        <w:ind w:left="0" w:right="0" w:firstLine="567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10065" w:leader="dot"/>
            </w:tabs>
            <w:rPr/>
          </w:pPr>
          <w:r>
            <w:fldChar w:fldCharType="begin"/>
          </w:r>
          <w:r>
            <w:rPr>
              <w:smallCaps w:val="false"/>
              <w:caps w:val="false"/>
              <w:dstrike w:val="false"/>
              <w:strike w:val="false"/>
              <w:sz w:val="28"/>
              <w:spacing w:val="0"/>
              <w:i w:val="false"/>
              <w:u w:val="none"/>
              <w:b/>
              <w:color w:val="000000"/>
            </w:rPr>
            <w:instrText xml:space="preserve"> TOC \z \o "1-4" \u \h</w:instrText>
          </w:r>
          <w:r>
            <w:rPr>
              <w:smallCaps w:val="false"/>
              <w:caps w:val="false"/>
              <w:dstrike w:val="false"/>
              <w:strike w:val="false"/>
              <w:sz w:val="28"/>
              <w:spacing w:val="0"/>
              <w:i w:val="false"/>
              <w:u w:val="none"/>
              <w:b/>
              <w:color w:val="000000"/>
            </w:rPr>
            <w:fldChar w:fldCharType="separate"/>
          </w:r>
          <w:r>
            <w:rPr>
              <w:b/>
              <w:i w:val="false"/>
              <w:caps w:val="false"/>
              <w:smallCaps w:val="false"/>
              <w:strike w:val="false"/>
              <w:dstrike w:val="false"/>
              <w:color w:val="000000"/>
              <w:spacing w:val="0"/>
              <w:sz w:val="28"/>
              <w:u w:val="none"/>
            </w:rPr>
            <w:t xml:space="preserve">1.    </w:t>
          </w:r>
          <w:hyperlink w:anchor="__RefHeading___1">
            <w:r>
              <w:rPr>
                <w:webHidden/>
                <w:rStyle w:val="Style1"/>
                <w:vanish w:val="false"/>
              </w:rPr>
              <w:t>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r>
            <w:rPr>
              <w:b/>
              <w:i w:val="false"/>
              <w:sz w:val="24"/>
            </w:rPr>
            <w:t xml:space="preserve">1.1.    </w:t>
          </w:r>
          <w:hyperlink w:anchor="__RefHeading___2">
            <w:r>
              <w:rPr>
                <w:webHidden/>
                <w:rStyle w:val="Style1"/>
                <w:vanish w:val="false"/>
              </w:rPr>
              <w:t>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r>
            <w:rPr>
              <w:b/>
              <w:i w:val="false"/>
              <w:sz w:val="24"/>
            </w:rPr>
            <w:t xml:space="preserve">1.2.    </w:t>
          </w:r>
          <w:hyperlink w:anchor="__RefHeading___3">
            <w:r>
              <w:rPr>
                <w:webHidden/>
                <w:rStyle w:val="Style1"/>
                <w:vanish w:val="false"/>
              </w:rPr>
              <w:t>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r>
            <w:rPr>
              <w:b/>
              <w:i w:val="false"/>
              <w:sz w:val="24"/>
            </w:rPr>
            <w:t xml:space="preserve">1.3.    </w:t>
          </w:r>
          <w:hyperlink w:anchor="__RefHeading___4">
            <w:r>
              <w:rPr>
                <w:webHidden/>
                <w:rStyle w:val="Style1"/>
                <w:vanish w:val="false"/>
              </w:rPr>
              <w:t>Цель выполнения работ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r>
            <w:rPr>
              <w:b/>
              <w:i w:val="false"/>
              <w:sz w:val="24"/>
            </w:rPr>
            <w:t xml:space="preserve">1.4.    </w:t>
          </w:r>
          <w:hyperlink w:anchor="__RefHeading___5">
            <w:r>
              <w:rPr>
                <w:webHidden/>
                <w:rStyle w:val="Style1"/>
                <w:vanish w:val="false"/>
              </w:rPr>
              <w:t>Существующее положение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r>
            <w:rPr>
              <w:b/>
              <w:i w:val="false"/>
              <w:sz w:val="24"/>
            </w:rPr>
            <w:t xml:space="preserve">1.5.    </w:t>
          </w:r>
          <w:hyperlink w:anchor="__RefHeading___6">
            <w:r>
              <w:rPr>
                <w:webHidden/>
                <w:rStyle w:val="Style1"/>
                <w:vanish w:val="false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Генподрядчиком на этапе исполнения договора)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r>
            <w:rPr>
              <w:b/>
              <w:i w:val="false"/>
              <w:sz w:val="24"/>
            </w:rPr>
            <w:t xml:space="preserve">1.6.    </w:t>
          </w:r>
          <w:hyperlink w:anchor="__RefHeading___7">
            <w:r>
              <w:rPr>
                <w:webHidden/>
                <w:rStyle w:val="Style1"/>
                <w:vanish w:val="false"/>
              </w:rPr>
              <w:t>Иные требования и сведения общего характера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10065" w:leader="dot"/>
            </w:tabs>
            <w:rPr/>
          </w:pPr>
          <w:r>
            <w:rPr>
              <w:b/>
              <w:i w:val="false"/>
              <w:caps w:val="false"/>
              <w:smallCaps w:val="false"/>
              <w:strike w:val="false"/>
              <w:dstrike w:val="false"/>
              <w:color w:val="000000"/>
              <w:spacing w:val="0"/>
              <w:sz w:val="28"/>
              <w:u w:val="none"/>
            </w:rPr>
            <w:t xml:space="preserve">2.    </w:t>
          </w:r>
          <w:hyperlink w:anchor="__RefHeading___8">
            <w:r>
              <w:rPr>
                <w:webHidden/>
                <w:rStyle w:val="Style1"/>
                <w:vanish w:val="false"/>
              </w:rPr>
              <w:t>Требования к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r>
            <w:rPr>
              <w:b/>
              <w:i w:val="false"/>
              <w:sz w:val="24"/>
            </w:rPr>
            <w:t xml:space="preserve">2.1.    </w:t>
          </w:r>
          <w:hyperlink w:anchor="__RefHeading___9">
            <w:r>
              <w:rPr>
                <w:webHidden/>
                <w:rStyle w:val="Style1"/>
                <w:vanish w:val="false"/>
              </w:rPr>
              <w:t>Перечень нормативной документации, в соответствии с требованиями которых необходимо выполнить инженерно-геологические изыскания, включая гидрогеологические, геофизические исследования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r>
            <w:rPr>
              <w:b/>
              <w:i w:val="false"/>
              <w:sz w:val="24"/>
            </w:rPr>
            <w:t xml:space="preserve">2.2.    </w:t>
          </w:r>
          <w:hyperlink w:anchor="__RefHeading___10">
            <w:r>
              <w:rPr>
                <w:webHidden/>
                <w:rStyle w:val="Style1"/>
                <w:vanish w:val="false"/>
              </w:rPr>
              <w:t>Перечень нормативной документации, в соответствии с требованиями которых необходимо выполнить инженерно-экологические изыскания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r>
            <w:rPr>
              <w:b/>
              <w:i w:val="false"/>
              <w:sz w:val="24"/>
            </w:rPr>
            <w:t xml:space="preserve">2.3.    </w:t>
          </w:r>
          <w:hyperlink w:anchor="__RefHeading___11">
            <w:r>
              <w:rPr>
                <w:webHidden/>
                <w:rStyle w:val="Style1"/>
                <w:vanish w:val="false"/>
              </w:rPr>
              <w:t>Перечень нормативной документации, в соответствии с требованиями которых необходимо выполнить инженерно-гидрометеорологические изыскания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r>
            <w:rPr>
              <w:b/>
              <w:i w:val="false"/>
              <w:sz w:val="24"/>
            </w:rPr>
            <w:t xml:space="preserve">2.4.    </w:t>
          </w:r>
          <w:hyperlink w:anchor="__RefHeading___12">
            <w:r>
              <w:rPr>
                <w:webHidden/>
                <w:rStyle w:val="Style1"/>
                <w:vanish w:val="false"/>
              </w:rPr>
              <w:t>Требования к объемам и срокам выполнения работ</w:t>
              <w:tab/>
              <w:t>6</w:t>
            </w:r>
          </w:hyperlink>
        </w:p>
        <w:p>
          <w:pPr>
            <w:pStyle w:val="TOC3"/>
            <w:tabs>
              <w:tab w:val="clear" w:pos="708"/>
              <w:tab w:val="right" w:pos="10065" w:leader="dot"/>
            </w:tabs>
            <w:rPr/>
          </w:pPr>
          <w:hyperlink w:anchor="__RefHeading___13">
            <w:r>
              <w:rPr>
                <w:webHidden/>
                <w:rStyle w:val="Style1"/>
                <w:vanish w:val="false"/>
              </w:rPr>
              <w:t>2.4.1.    Требования к видам и объемам работ</w:t>
              <w:tab/>
              <w:t>6</w:t>
            </w:r>
          </w:hyperlink>
        </w:p>
        <w:p>
          <w:pPr>
            <w:pStyle w:val="TOC3"/>
            <w:tabs>
              <w:tab w:val="clear" w:pos="708"/>
              <w:tab w:val="right" w:pos="10065" w:leader="dot"/>
            </w:tabs>
            <w:rPr/>
          </w:pPr>
          <w:hyperlink w:anchor="__RefHeading___14">
            <w:r>
              <w:rPr>
                <w:webHidden/>
                <w:rStyle w:val="Style1"/>
                <w:vanish w:val="false"/>
              </w:rPr>
              <w:t>2.4.2.    Требования к срокам выполнения работ</w:t>
              <w:tab/>
              <w:t>6</w:t>
            </w:r>
          </w:hyperlink>
        </w:p>
        <w:p>
          <w:pPr>
            <w:pStyle w:val="TOC4"/>
            <w:tabs>
              <w:tab w:val="clear" w:pos="708"/>
              <w:tab w:val="right" w:pos="10065" w:leader="dot"/>
            </w:tabs>
            <w:rPr/>
          </w:pPr>
          <w:r>
            <w:rPr>
              <w:b/>
              <w:i w:val="false"/>
              <w:sz w:val="24"/>
            </w:rPr>
            <w:t xml:space="preserve">2.5.    </w:t>
          </w:r>
          <w:hyperlink w:anchor="__RefHeading___15">
            <w:r>
              <w:rPr>
                <w:webHidden/>
                <w:rStyle w:val="Style1"/>
                <w:vanish w:val="false"/>
              </w:rPr>
              <w:t>Требования к качеству работ</w:t>
              <w:tab/>
              <w:t>7</w:t>
            </w:r>
          </w:hyperlink>
          <w:r>
            <w:rPr>
              <w:rStyle w:val="Style1"/>
              <w:vanish w:val="false"/>
            </w:rPr>
            <w:fldChar w:fldCharType="end"/>
          </w:r>
        </w:p>
      </w:sdtContent>
    </w:sdt>
    <w:p>
      <w:pPr>
        <w:pStyle w:val="TOC4"/>
        <w:widowControl/>
        <w:tabs>
          <w:tab w:val="clear" w:pos="708"/>
          <w:tab w:val="left" w:pos="1417" w:leader="none"/>
          <w:tab w:val="right" w:pos="10065" w:leader="dot"/>
        </w:tabs>
        <w:rPr/>
      </w:pPr>
      <w:r>
        <w:rPr/>
      </w:r>
    </w:p>
    <w:p>
      <w:pPr>
        <w:pStyle w:val="TOC1"/>
        <w:widowControl/>
        <w:tabs>
          <w:tab w:val="clear" w:pos="708"/>
          <w:tab w:val="left" w:pos="567" w:leader="none"/>
          <w:tab w:val="right" w:pos="10065" w:leader="dot"/>
        </w:tabs>
        <w:rPr/>
      </w:pPr>
      <w:r>
        <w:rPr/>
      </w:r>
    </w:p>
    <w:p>
      <w:pPr>
        <w:pStyle w:val="TOC1"/>
        <w:widowControl/>
        <w:tabs>
          <w:tab w:val="clear" w:pos="708"/>
          <w:tab w:val="left" w:pos="567" w:leader="none"/>
          <w:tab w:val="right" w:pos="10065" w:leader="dot"/>
        </w:tabs>
        <w:rPr>
          <w:rFonts w:ascii="Times New Roman" w:hAnsi="Times New Roman"/>
          <w:i/>
          <w:i/>
        </w:rPr>
      </w:pPr>
      <w:r>
        <w:rPr>
          <w:i/>
        </w:rPr>
      </w:r>
    </w:p>
    <w:p>
      <w:pPr>
        <w:pStyle w:val="Heading2"/>
        <w:widowControl/>
        <w:numPr>
          <w:ilvl w:val="0"/>
        </w:numPr>
        <w:ind w:left="0" w:right="0" w:firstLine="567"/>
        <w:rPr/>
      </w:pPr>
      <w:r>
        <w:rPr/>
      </w:r>
    </w:p>
    <w:p>
      <w:pPr>
        <w:pStyle w:val="Normal"/>
        <w:widowControl w:val="false"/>
        <w:ind w:left="0" w:right="0" w:firstLine="567"/>
        <w:jc w:val="center"/>
        <w:rPr>
          <w:b/>
          <w:i/>
          <w:i/>
        </w:rPr>
      </w:pPr>
      <w:r>
        <w:rPr>
          <w:b/>
          <w:i/>
        </w:rPr>
      </w:r>
      <w:r>
        <w:br w:type="page"/>
      </w:r>
    </w:p>
    <w:p>
      <w:pPr>
        <w:pStyle w:val="Heading1"/>
        <w:widowControl/>
        <w:spacing w:before="0" w:after="120"/>
        <w:ind w:left="0" w:right="0" w:firstLine="567"/>
        <w:rPr>
          <w:sz w:val="24"/>
        </w:rPr>
      </w:pPr>
      <w:bookmarkStart w:id="0" w:name="__RefHeading___1"/>
      <w:bookmarkEnd w:id="0"/>
      <w:r>
        <w:rPr>
          <w:sz w:val="24"/>
        </w:rPr>
        <w:t>Общие сведения</w:t>
      </w:r>
    </w:p>
    <w:p>
      <w:pPr>
        <w:pStyle w:val="Heading4"/>
        <w:widowControl/>
        <w:numPr>
          <w:ilvl w:val="1"/>
          <w:numId w:val="31"/>
        </w:numPr>
        <w:ind w:left="432" w:right="0" w:firstLine="567"/>
        <w:rPr>
          <w:sz w:val="24"/>
        </w:rPr>
      </w:pPr>
      <w:bookmarkStart w:id="1" w:name="__RefHeading___2"/>
      <w:bookmarkEnd w:id="1"/>
      <w:r>
        <w:rPr>
          <w:sz w:val="24"/>
        </w:rPr>
        <w:t>Обозначения и сокращения</w:t>
      </w:r>
    </w:p>
    <w:tbl>
      <w:tblPr>
        <w:tblStyle w:val="Style_3"/>
        <w:tblW w:w="9353" w:type="dxa"/>
        <w:jc w:val="left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7517"/>
      </w:tblGrid>
      <w:tr>
        <w:trPr/>
        <w:tc>
          <w:tcPr>
            <w:tcW w:w="18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ВТЭЦ-2</w:t>
            </w:r>
          </w:p>
        </w:tc>
        <w:tc>
          <w:tcPr>
            <w:tcW w:w="75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Владивостокская ТЭЦ-2</w:t>
            </w:r>
          </w:p>
        </w:tc>
      </w:tr>
      <w:tr>
        <w:trPr/>
        <w:tc>
          <w:tcPr>
            <w:tcW w:w="18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ТЭЦ</w:t>
            </w:r>
          </w:p>
        </w:tc>
        <w:tc>
          <w:tcPr>
            <w:tcW w:w="75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Теплоэлектроцентраль</w:t>
            </w:r>
          </w:p>
        </w:tc>
      </w:tr>
      <w:tr>
        <w:trPr/>
        <w:tc>
          <w:tcPr>
            <w:tcW w:w="18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ГОСТ</w:t>
            </w:r>
          </w:p>
        </w:tc>
        <w:tc>
          <w:tcPr>
            <w:tcW w:w="75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Государственные стандарты РФ</w:t>
            </w:r>
          </w:p>
        </w:tc>
      </w:tr>
      <w:tr>
        <w:trPr/>
        <w:tc>
          <w:tcPr>
            <w:tcW w:w="18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СП</w:t>
            </w:r>
          </w:p>
        </w:tc>
        <w:tc>
          <w:tcPr>
            <w:tcW w:w="75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Свод правил</w:t>
            </w:r>
          </w:p>
        </w:tc>
      </w:tr>
      <w:tr>
        <w:trPr/>
        <w:tc>
          <w:tcPr>
            <w:tcW w:w="18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СанПиН</w:t>
            </w:r>
          </w:p>
        </w:tc>
        <w:tc>
          <w:tcPr>
            <w:tcW w:w="751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120" w:after="120"/>
              <w:ind w:left="0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Санитарные (санитарно-эпидемиологические) правила и нормы</w:t>
            </w:r>
          </w:p>
        </w:tc>
      </w:tr>
    </w:tbl>
    <w:p>
      <w:pPr>
        <w:pStyle w:val="Normal"/>
        <w:widowControl w:val="false"/>
        <w:ind w:left="0" w:right="0" w:firstLine="567"/>
        <w:jc w:val="both"/>
        <w:rPr>
          <w:sz w:val="24"/>
        </w:rPr>
      </w:pPr>
      <w:r>
        <w:rPr>
          <w:sz w:val="24"/>
        </w:rPr>
      </w:r>
    </w:p>
    <w:p>
      <w:pPr>
        <w:pStyle w:val="Heading4"/>
        <w:widowControl/>
        <w:numPr>
          <w:ilvl w:val="1"/>
          <w:numId w:val="32"/>
        </w:numPr>
        <w:spacing w:before="0" w:after="120"/>
        <w:ind w:left="432" w:right="0" w:firstLine="567"/>
        <w:rPr>
          <w:sz w:val="24"/>
        </w:rPr>
      </w:pPr>
      <w:bookmarkStart w:id="2" w:name="__RefHeading___3"/>
      <w:bookmarkEnd w:id="2"/>
      <w:r>
        <w:rPr>
          <w:sz w:val="24"/>
        </w:rPr>
        <w:t>Наименование закупаемой продукции</w:t>
      </w:r>
    </w:p>
    <w:p>
      <w:pPr>
        <w:pStyle w:val="Normal"/>
        <w:widowControl w:val="false"/>
        <w:ind w:left="0" w:right="0" w:firstLine="567"/>
        <w:jc w:val="both"/>
        <w:rPr>
          <w:rFonts w:ascii="Liberation Serif" w:hAnsi="Liberation Serif"/>
          <w:b/>
          <w:sz w:val="24"/>
        </w:rPr>
      </w:pPr>
      <w:r>
        <w:rPr>
          <w:b/>
          <w:sz w:val="24"/>
        </w:rPr>
        <w:t>ОКПД2 71.12.39 Выполнение работ по корректировке инженерно-геологических  изысканий в рамках разработки проектной и рабочей документации на реконструкцию системы водоотведения Владивостокской ТЭЦ-2.</w:t>
      </w:r>
    </w:p>
    <w:p>
      <w:pPr>
        <w:pStyle w:val="Heading4"/>
        <w:widowControl/>
        <w:numPr>
          <w:ilvl w:val="1"/>
          <w:numId w:val="33"/>
        </w:numPr>
        <w:ind w:left="432" w:right="0" w:firstLine="567"/>
        <w:rPr>
          <w:sz w:val="24"/>
        </w:rPr>
      </w:pPr>
      <w:bookmarkStart w:id="3" w:name="__RefHeading___4"/>
      <w:bookmarkEnd w:id="3"/>
      <w:r>
        <w:rPr>
          <w:sz w:val="24"/>
        </w:rPr>
        <w:t xml:space="preserve">Цель выполнения работ </w:t>
      </w:r>
    </w:p>
    <w:p>
      <w:pPr>
        <w:pStyle w:val="Normal"/>
        <w:widowControl w:val="false"/>
        <w:spacing w:lineRule="auto" w:line="276"/>
        <w:ind w:left="0" w:right="0" w:firstLine="567"/>
        <w:jc w:val="both"/>
        <w:rPr>
          <w:sz w:val="24"/>
        </w:rPr>
      </w:pPr>
      <w:r>
        <w:rPr>
          <w:sz w:val="24"/>
        </w:rPr>
        <w:t>Проведение комплекса инженерных изысканий:</w:t>
      </w:r>
    </w:p>
    <w:p>
      <w:pPr>
        <w:pStyle w:val="Normal"/>
        <w:widowControl w:val="false"/>
        <w:spacing w:lineRule="auto" w:line="276"/>
        <w:ind w:left="0" w:right="0" w:firstLine="567"/>
        <w:jc w:val="both"/>
        <w:rPr>
          <w:sz w:val="24"/>
        </w:rPr>
      </w:pPr>
      <w:r>
        <w:rPr>
          <w:sz w:val="24"/>
        </w:rPr>
        <w:t>- инженерно-геологические изыскания, включая гидрогеологические, геофизические исследования;</w:t>
      </w:r>
    </w:p>
    <w:p>
      <w:pPr>
        <w:pStyle w:val="Normal"/>
        <w:widowControl w:val="false"/>
        <w:spacing w:lineRule="auto" w:line="276"/>
        <w:ind w:left="0" w:right="0" w:firstLine="567"/>
        <w:jc w:val="both"/>
        <w:rPr>
          <w:sz w:val="24"/>
        </w:rPr>
      </w:pPr>
      <w:r>
        <w:rPr>
          <w:sz w:val="24"/>
        </w:rPr>
        <w:t xml:space="preserve">в объеме, достаточном для разработки проектно-сметной документации по реконструкции системы водоотведения ВТЭЦ-2 по выпускам № 2-12 с целью сокращения их количества и обеспечения соответствия качества сбрасываемых сточных вод для сброса в водный объект, а также в объеме, достаточном для прохождения всех необходимых согласований и экспертиз. </w:t>
      </w:r>
    </w:p>
    <w:p>
      <w:pPr>
        <w:pStyle w:val="Heading4"/>
        <w:widowControl/>
        <w:numPr>
          <w:ilvl w:val="1"/>
          <w:numId w:val="34"/>
        </w:numPr>
        <w:ind w:left="432" w:right="0" w:firstLine="567"/>
        <w:rPr>
          <w:sz w:val="24"/>
        </w:rPr>
      </w:pPr>
      <w:bookmarkStart w:id="4" w:name="__RefHeading___5"/>
      <w:bookmarkEnd w:id="4"/>
      <w:r>
        <w:rPr>
          <w:sz w:val="24"/>
        </w:rPr>
        <w:t>Существующее положение</w:t>
      </w:r>
    </w:p>
    <w:p>
      <w:pPr>
        <w:pStyle w:val="Normal"/>
        <w:widowControl w:val="false"/>
        <w:spacing w:lineRule="auto" w:line="276"/>
        <w:ind w:left="0" w:right="0" w:firstLine="567"/>
        <w:jc w:val="both"/>
        <w:rPr>
          <w:sz w:val="24"/>
        </w:rPr>
      </w:pPr>
      <w:r>
        <w:rPr>
          <w:sz w:val="24"/>
        </w:rPr>
        <w:t xml:space="preserve">Структурное подразделение «Владивостокская ТЭЦ-2» АО «ДГК» (СП «ВТЭЦ-2 АО «ДГК») представляет собой тепловую паротурбинную электростанцию с комбинированной выработкой электроэнергии и тепла. Установленная мощность электростанции — 537 МВт, тепловая мощность — 1063 Гкал/час. Тепловая схема станции выполнена с поперечными связями по основным потокам пара и воды. В качестве топлива используется природный газ сахалинских месторождений. </w:t>
      </w:r>
    </w:p>
    <w:p>
      <w:pPr>
        <w:pStyle w:val="Normal"/>
        <w:widowControl w:val="false"/>
        <w:spacing w:lineRule="auto" w:line="276"/>
        <w:ind w:left="0" w:right="0" w:firstLine="567"/>
        <w:jc w:val="both"/>
        <w:rPr>
          <w:sz w:val="24"/>
        </w:rPr>
      </w:pPr>
      <w:r>
        <w:rPr>
          <w:sz w:val="24"/>
        </w:rPr>
        <w:t>На территории производственно-технологического комплекса СП ВТЭЦ-2 четыре раздельных системы канализации:</w:t>
      </w:r>
    </w:p>
    <w:p>
      <w:pPr>
        <w:pStyle w:val="Normal"/>
        <w:widowControl w:val="false"/>
        <w:numPr>
          <w:ilvl w:val="0"/>
          <w:numId w:val="2"/>
        </w:numPr>
        <w:spacing w:lineRule="auto" w:line="276"/>
        <w:ind w:left="0" w:right="0" w:firstLine="709"/>
        <w:jc w:val="both"/>
        <w:rPr>
          <w:sz w:val="24"/>
        </w:rPr>
      </w:pPr>
      <w:r>
        <w:rPr>
          <w:sz w:val="24"/>
        </w:rPr>
        <w:t>производственная (дренажная система турбинного цеха);</w:t>
      </w:r>
    </w:p>
    <w:p>
      <w:pPr>
        <w:pStyle w:val="Normal"/>
        <w:widowControl w:val="false"/>
        <w:numPr>
          <w:ilvl w:val="0"/>
          <w:numId w:val="2"/>
        </w:numPr>
        <w:spacing w:lineRule="auto" w:line="276"/>
        <w:ind w:left="0" w:right="0" w:firstLine="709"/>
        <w:jc w:val="both"/>
        <w:rPr>
          <w:sz w:val="24"/>
        </w:rPr>
      </w:pPr>
      <w:r>
        <w:rPr>
          <w:sz w:val="24"/>
        </w:rPr>
        <w:t>производственно-дождевая (сливы от мойки оборудования участка тяжелой механизации и мазутного хозяйства) и дождевая (сливы от топливно-транспортного цеха);</w:t>
      </w:r>
    </w:p>
    <w:p>
      <w:pPr>
        <w:pStyle w:val="Normal"/>
        <w:widowControl w:val="false"/>
        <w:numPr>
          <w:ilvl w:val="0"/>
          <w:numId w:val="2"/>
        </w:numPr>
        <w:spacing w:lineRule="auto" w:line="276"/>
        <w:ind w:left="0" w:right="0" w:firstLine="709"/>
        <w:jc w:val="both"/>
        <w:rPr>
          <w:sz w:val="24"/>
        </w:rPr>
      </w:pPr>
      <w:r>
        <w:rPr>
          <w:sz w:val="24"/>
        </w:rPr>
        <w:t>Дождевая (сливы от АБК, химического цеха, гаража, ремонтно-строительного цеха ОРУ, ГЩУ, главного корпуса, электрического и ремонтных цехов;</w:t>
      </w:r>
    </w:p>
    <w:p>
      <w:pPr>
        <w:pStyle w:val="Normal"/>
        <w:widowControl w:val="false"/>
        <w:numPr>
          <w:ilvl w:val="0"/>
          <w:numId w:val="2"/>
        </w:numPr>
        <w:spacing w:lineRule="auto" w:line="276"/>
        <w:ind w:left="0" w:right="0" w:firstLine="709"/>
        <w:jc w:val="both"/>
        <w:rPr>
          <w:sz w:val="24"/>
        </w:rPr>
      </w:pPr>
      <w:r>
        <w:rPr>
          <w:sz w:val="24"/>
        </w:rPr>
        <w:t>Хозяйственно-бытовая канализация.</w:t>
      </w:r>
    </w:p>
    <w:p>
      <w:pPr>
        <w:pStyle w:val="Normal"/>
        <w:widowControl w:val="false"/>
        <w:spacing w:lineRule="auto" w:line="276"/>
        <w:ind w:left="0" w:right="0" w:firstLine="709"/>
        <w:jc w:val="both"/>
        <w:rPr>
          <w:sz w:val="24"/>
        </w:rPr>
      </w:pPr>
      <w:r>
        <w:rPr>
          <w:sz w:val="24"/>
        </w:rPr>
        <w:t>Отвод производственных, бытовых сточных вод, поверхностного стока осуществляется 11-ью раздельными выпусками из них один выпуск (№ 6) – в бухту Промежуточная, десять выпусков (№№ 2-9, 11-12) в железобетонный канал реки Объяснения, проходящий по территории ВТЭЦ-2, один выпуск (№ 10)– на рельеф местности.</w:t>
      </w:r>
    </w:p>
    <w:p>
      <w:pPr>
        <w:pStyle w:val="Normal"/>
        <w:widowControl/>
        <w:jc w:val="right"/>
        <w:rPr>
          <w:b w:val="false"/>
          <w:sz w:val="24"/>
        </w:rPr>
      </w:pPr>
      <w:r>
        <w:rPr>
          <w:b/>
          <w:sz w:val="24"/>
        </w:rPr>
        <w:t>Таблица 1. Перечень объектов заказчика</w:t>
      </w:r>
    </w:p>
    <w:tbl>
      <w:tblPr>
        <w:tblStyle w:val="Style_3"/>
        <w:tblW w:w="101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2302"/>
        <w:gridCol w:w="3023"/>
        <w:gridCol w:w="2307"/>
        <w:gridCol w:w="1724"/>
      </w:tblGrid>
      <w:tr>
        <w:trPr>
          <w:trHeight w:val="1499" w:hRule="atLeast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п/п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Наименование объекта</w:t>
            </w:r>
          </w:p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z w:val="24"/>
              </w:rPr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 xml:space="preserve">Расположение объекта </w:t>
              <w:br/>
              <w:t>(место производства работ)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Примечания</w:t>
            </w:r>
          </w:p>
        </w:tc>
      </w:tr>
      <w:tr>
        <w:trPr>
          <w:trHeight w:val="266" w:hRule="atLeast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b/>
                <w:i w:val="false"/>
                <w:i w:val="false"/>
                <w:sz w:val="24"/>
              </w:rPr>
            </w:pPr>
            <w:r>
              <w:rPr>
                <w:b/>
                <w:i w:val="false"/>
                <w:spacing w:val="0"/>
                <w:kern w:val="0"/>
                <w:sz w:val="24"/>
                <w:szCs w:val="20"/>
              </w:rPr>
              <w:t>1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b/>
                <w:i w:val="false"/>
                <w:i w:val="false"/>
                <w:sz w:val="24"/>
              </w:rPr>
            </w:pPr>
            <w:r>
              <w:rPr>
                <w:b/>
                <w:i w:val="false"/>
                <w:spacing w:val="0"/>
                <w:kern w:val="0"/>
                <w:sz w:val="24"/>
                <w:szCs w:val="20"/>
              </w:rPr>
              <w:t>2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b/>
                <w:i w:val="false"/>
                <w:i w:val="false"/>
                <w:sz w:val="24"/>
              </w:rPr>
            </w:pPr>
            <w:r>
              <w:rPr>
                <w:b/>
                <w:i w:val="false"/>
                <w:spacing w:val="0"/>
                <w:kern w:val="0"/>
                <w:sz w:val="24"/>
                <w:szCs w:val="20"/>
              </w:rPr>
              <w:t>3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b/>
                <w:i w:val="false"/>
                <w:i w:val="false"/>
                <w:sz w:val="24"/>
              </w:rPr>
            </w:pPr>
            <w:r>
              <w:rPr>
                <w:b/>
                <w:i w:val="false"/>
                <w:spacing w:val="0"/>
                <w:kern w:val="0"/>
                <w:sz w:val="24"/>
                <w:szCs w:val="20"/>
              </w:rPr>
              <w:t>4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b/>
                <w:i w:val="false"/>
                <w:i w:val="false"/>
                <w:sz w:val="24"/>
              </w:rPr>
            </w:pPr>
            <w:r>
              <w:rPr>
                <w:b/>
                <w:i w:val="false"/>
                <w:spacing w:val="0"/>
                <w:kern w:val="0"/>
                <w:sz w:val="24"/>
                <w:szCs w:val="20"/>
              </w:rPr>
              <w:t>5</w:t>
            </w:r>
          </w:p>
        </w:tc>
      </w:tr>
      <w:tr>
        <w:trPr>
          <w:trHeight w:val="1066" w:hRule="atLeast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ind w:left="0" w:right="0" w:hanging="0"/>
              <w:contextualSpacing/>
              <w:jc w:val="left"/>
              <w:rPr>
                <w:i w:val="false"/>
                <w:i w:val="false"/>
                <w:sz w:val="24"/>
              </w:rPr>
            </w:pPr>
            <w:r>
              <w:rPr>
                <w:i w:val="false"/>
                <w:sz w:val="24"/>
              </w:rPr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Владивостокская ТЭЦ-2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Приморский край, г. Владивосток, ул. Фадеева 47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Система водоотведения Владивостокской ТЭЦ-2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z w:val="24"/>
              </w:rPr>
            </w:r>
          </w:p>
        </w:tc>
      </w:tr>
    </w:tbl>
    <w:p>
      <w:pPr>
        <w:pStyle w:val="Heading4"/>
        <w:widowControl/>
        <w:numPr>
          <w:ilvl w:val="1"/>
          <w:numId w:val="35"/>
        </w:numPr>
        <w:ind w:left="0" w:right="0" w:firstLine="567"/>
        <w:rPr>
          <w:sz w:val="24"/>
        </w:rPr>
      </w:pPr>
      <w:bookmarkStart w:id="5" w:name="__RefHeading___6"/>
      <w:bookmarkStart w:id="6" w:name="_Hlk49857604"/>
      <w:bookmarkEnd w:id="5"/>
      <w:r>
        <w:rPr>
          <w:sz w:val="24"/>
        </w:rPr>
        <w:t xml:space="preserve">Информация в отношении исполнения договора, </w:t>
      </w:r>
      <w:bookmarkStart w:id="7" w:name="_Hlk46492347"/>
      <w:r>
        <w:rPr>
          <w:sz w:val="24"/>
        </w:rPr>
        <w:t xml:space="preserve">которая должна быть учтена при подготовке заявки </w:t>
      </w:r>
      <w:bookmarkEnd w:id="7"/>
      <w:r>
        <w:rPr>
          <w:sz w:val="24"/>
        </w:rPr>
        <w:t>(в том числе перечень ресурсов, услуг и документов, предоставляемых Генподрядчиком на этапе исполнения договора)</w:t>
      </w:r>
      <w:bookmarkEnd w:id="6"/>
      <w:r>
        <w:rPr>
          <w:sz w:val="24"/>
        </w:rPr>
        <w:t xml:space="preserve"> </w:t>
      </w:r>
    </w:p>
    <w:p>
      <w:pPr>
        <w:pStyle w:val="Normal"/>
        <w:widowControl/>
        <w:spacing w:before="119" w:after="119"/>
        <w:ind w:left="0" w:right="0" w:firstLine="567"/>
        <w:jc w:val="both"/>
        <w:rPr>
          <w:b/>
          <w:sz w:val="24"/>
        </w:rPr>
      </w:pPr>
      <w:r>
        <w:rPr>
          <w:b/>
          <w:sz w:val="24"/>
        </w:rPr>
        <w:t>1.5.1. Перечень исходных данных, предоставляемых для проведения комплекса инженерных изысканий:</w:t>
      </w:r>
    </w:p>
    <w:p>
      <w:pPr>
        <w:pStyle w:val="Normal"/>
        <w:widowControl w:val="false"/>
        <w:numPr>
          <w:ilvl w:val="0"/>
          <w:numId w:val="4"/>
        </w:numPr>
        <w:spacing w:lineRule="auto" w:line="276"/>
        <w:ind w:left="0" w:right="0" w:firstLine="709"/>
        <w:jc w:val="both"/>
        <w:rPr>
          <w:sz w:val="24"/>
        </w:rPr>
      </w:pPr>
      <w:r>
        <w:rPr>
          <w:sz w:val="24"/>
        </w:rPr>
        <w:t>Схема района работ с границами инженерно-геодезических изысканий.</w:t>
      </w:r>
    </w:p>
    <w:p>
      <w:pPr>
        <w:pStyle w:val="Heading4"/>
        <w:widowControl/>
        <w:numPr>
          <w:ilvl w:val="1"/>
          <w:numId w:val="36"/>
        </w:numPr>
        <w:ind w:left="0" w:right="0" w:firstLine="567"/>
        <w:rPr>
          <w:sz w:val="24"/>
        </w:rPr>
      </w:pPr>
      <w:bookmarkStart w:id="8" w:name="__RefHeading___7"/>
      <w:bookmarkEnd w:id="8"/>
      <w:r>
        <w:rPr>
          <w:sz w:val="24"/>
        </w:rPr>
        <w:t>Иные требования и сведения общего характера</w:t>
      </w:r>
    </w:p>
    <w:p>
      <w:pPr>
        <w:pStyle w:val="Normal"/>
        <w:widowControl/>
        <w:spacing w:lineRule="auto" w:line="276"/>
        <w:ind w:left="0" w:right="0" w:firstLine="567"/>
        <w:jc w:val="both"/>
        <w:rPr>
          <w:sz w:val="24"/>
        </w:rPr>
      </w:pPr>
      <w:r>
        <w:rPr>
          <w:sz w:val="24"/>
        </w:rPr>
        <w:t>Исполнитель самостоятельно запрашивает выписки из каталогов исходных геодезических пунктов в Управлении Росреестра по Приморскому краю.</w:t>
      </w:r>
    </w:p>
    <w:p>
      <w:pPr>
        <w:pStyle w:val="Normal"/>
        <w:widowControl/>
        <w:spacing w:lineRule="auto" w:line="276"/>
        <w:ind w:left="0" w:right="0" w:firstLine="567"/>
        <w:jc w:val="both"/>
        <w:rPr>
          <w:sz w:val="24"/>
        </w:rPr>
      </w:pPr>
      <w:r>
        <w:rPr>
          <w:sz w:val="24"/>
        </w:rPr>
        <w:t>Исполнитель инженерных изысканий в рамках договорных обязательств выполняет сопровождение при прохождении государственной экологической экспертизы и государственной  экспертизы материалов инженерных изысканий до получения положительного заключения.</w:t>
      </w:r>
    </w:p>
    <w:p>
      <w:pPr>
        <w:pStyle w:val="Heading1"/>
        <w:widowControl/>
        <w:spacing w:before="0" w:after="120"/>
        <w:ind w:left="0" w:right="0" w:hanging="0"/>
        <w:rPr>
          <w:sz w:val="24"/>
        </w:rPr>
      </w:pPr>
      <w:bookmarkStart w:id="9" w:name="__RefHeading___8"/>
      <w:bookmarkEnd w:id="9"/>
      <w:r>
        <w:rPr>
          <w:sz w:val="24"/>
        </w:rPr>
        <w:t>Требования к продукции</w:t>
      </w:r>
    </w:p>
    <w:p>
      <w:pPr>
        <w:pStyle w:val="Heading4"/>
        <w:widowControl/>
        <w:numPr>
          <w:ilvl w:val="1"/>
          <w:numId w:val="37"/>
        </w:numPr>
        <w:ind w:left="0" w:right="0" w:firstLine="709"/>
        <w:jc w:val="both"/>
        <w:rPr>
          <w:sz w:val="24"/>
        </w:rPr>
      </w:pPr>
      <w:bookmarkStart w:id="10" w:name="__RefHeading___9"/>
      <w:bookmarkEnd w:id="10"/>
      <w:r>
        <w:rPr>
          <w:sz w:val="24"/>
        </w:rPr>
        <w:t>Перечень нормативной документации, в соответствии с требованиями которых необходимо выполнить инженерно-геологические изыскания, включая гидрогеологические, геофизические исследования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sz w:val="24"/>
        </w:rPr>
      </w:pPr>
      <w:r>
        <w:rPr>
          <w:sz w:val="24"/>
        </w:rPr>
        <w:t>Градостроительный кодекс РФ;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sz w:val="24"/>
        </w:rPr>
      </w:pPr>
      <w:r>
        <w:rPr>
          <w:sz w:val="24"/>
        </w:rPr>
        <w:t>ФЗ №116 «О промышленной безопасности опасных производственных объектах» и другие нормативные акты Российской Федерации;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sz w:val="24"/>
        </w:rPr>
      </w:pPr>
      <w:r>
        <w:rPr>
          <w:sz w:val="24"/>
        </w:rPr>
        <w:t>ФЗ №384 «Технический регламент о безопасности зданий и сооружений»;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sz w:val="24"/>
        </w:rPr>
      </w:pPr>
      <w:r>
        <w:rPr>
          <w:sz w:val="24"/>
        </w:rPr>
        <w:t>ГОСТ 31937-2024 «Здания и сооружения. Правила обследования и мониторинга технического состояния»;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sz w:val="24"/>
        </w:rPr>
      </w:pPr>
      <w:r>
        <w:rPr>
          <w:sz w:val="24"/>
        </w:rPr>
        <w:t>ГОСТ Р 21.101-2026 «СПДС. Основные требования к проектной и рабочей документации»;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sz w:val="24"/>
        </w:rPr>
      </w:pPr>
      <w:r>
        <w:rPr>
          <w:sz w:val="24"/>
        </w:rPr>
        <w:t>ГОСТ Р 21.301-2021 Система проектной документации для строительства (СПДС). Правила выполнения отчетной технической документации по инженерным изысканиям;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sz w:val="24"/>
        </w:rPr>
      </w:pPr>
      <w:r>
        <w:rPr>
          <w:sz w:val="24"/>
        </w:rPr>
        <w:t xml:space="preserve">СП 47.13330.2016 «Инженерные изыскания для строительства. Основные положения»; 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sz w:val="24"/>
        </w:rPr>
      </w:pPr>
      <w:r>
        <w:rPr>
          <w:sz w:val="24"/>
        </w:rPr>
        <w:t>ГОСТ Р 21.302-2021 Система проектной документации для строительства (СПДС). Условные графические обозначения в документации по инженерно-геологическим изысканиям;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sz w:val="24"/>
        </w:rPr>
      </w:pPr>
      <w:r>
        <w:rPr>
          <w:sz w:val="24"/>
        </w:rPr>
        <w:t>Постановление Правительства РФ от 19.01.2006 № 20 «Об инженерных изысканиях для подготовки проектной документации, строительства, реконструкции объектов капитального строительства (с изменениями на 15 сентября 2020 года)»;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sz w:val="24"/>
        </w:rPr>
      </w:pPr>
      <w:r>
        <w:rPr>
          <w:sz w:val="24"/>
        </w:rPr>
        <w:t>СП 446.1325800.2019 «Инженерно-геологические изыскания для строительства. Общие правила производства работ»;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sz w:val="24"/>
        </w:rPr>
      </w:pPr>
      <w:r>
        <w:rPr>
          <w:sz w:val="24"/>
        </w:rPr>
        <w:t>ГОСТ 25100.2020 Грунты. Классификация;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sz w:val="24"/>
        </w:rPr>
      </w:pPr>
      <w:r>
        <w:rPr>
          <w:sz w:val="24"/>
        </w:rPr>
        <w:t>ГОСТ 20522-2012 Грунты. Методы статистической обработки результатов испытаний;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color w:val="000000" w:themeColor="text1"/>
          <w:sz w:val="24"/>
        </w:rPr>
      </w:pPr>
      <w:r>
        <w:rPr>
          <w:sz w:val="24"/>
        </w:rPr>
        <w:t>ГОСТ 23278-2014. Грунты. Методы полевых испытаний проницаемости</w:t>
      </w:r>
      <w:r>
        <w:rPr>
          <w:color w:val="000000" w:themeColor="text1"/>
          <w:sz w:val="24"/>
        </w:rPr>
        <w:t>;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color w:val="000000" w:themeColor="text1"/>
          <w:sz w:val="24"/>
        </w:rPr>
      </w:pPr>
      <w:r>
        <w:rPr>
          <w:sz w:val="24"/>
        </w:rPr>
        <w:t>Постановление Правительства РФ от 19.01.2006 № 20 «Об инженерных изысканиях для подготовки проектной документации, строительства, реконструкции объектов капитального строительства (с изменениями на 15 сентября 2020 года)»</w:t>
      </w:r>
      <w:r>
        <w:rPr>
          <w:color w:val="000000" w:themeColor="text1"/>
          <w:sz w:val="24"/>
        </w:rPr>
        <w:t>;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СП 11-105-97 «Инженерно-геологические изыскания для строительства. Часть VI. Правила производства геофизических исследований»;</w:t>
      </w:r>
    </w:p>
    <w:p>
      <w:pPr>
        <w:pStyle w:val="Normal"/>
        <w:widowControl w:val="false"/>
        <w:numPr>
          <w:ilvl w:val="0"/>
          <w:numId w:val="5"/>
        </w:numPr>
        <w:ind w:left="0" w:right="0" w:firstLine="709"/>
        <w:rPr>
          <w:color w:val="000000" w:themeColor="text1"/>
          <w:sz w:val="24"/>
        </w:rPr>
      </w:pPr>
      <w:r>
        <w:rPr>
          <w:color w:val="000000"/>
          <w:sz w:val="24"/>
        </w:rPr>
        <w:t>СП 131.13330.2025 «Строительная климатология. Актуализированная редакция СНиП 23-01-99»</w:t>
      </w:r>
      <w:r>
        <w:rPr>
          <w:color w:val="000000" w:themeColor="text1"/>
          <w:sz w:val="24"/>
        </w:rPr>
        <w:t>.</w:t>
      </w:r>
    </w:p>
    <w:p>
      <w:pPr>
        <w:pStyle w:val="Heading4"/>
        <w:widowControl/>
        <w:numPr>
          <w:ilvl w:val="1"/>
          <w:numId w:val="38"/>
        </w:numPr>
        <w:ind w:left="0" w:right="0" w:firstLine="709"/>
        <w:jc w:val="both"/>
        <w:rPr>
          <w:sz w:val="24"/>
        </w:rPr>
      </w:pPr>
      <w:bookmarkStart w:id="11" w:name="__RefHeading___10"/>
      <w:bookmarkEnd w:id="11"/>
      <w:r>
        <w:rPr>
          <w:sz w:val="24"/>
        </w:rPr>
        <w:t>Перечень нормативной документации, в соответствии с требованиями которых необходимо выполнить инженерно-экологические изыскания</w:t>
      </w:r>
    </w:p>
    <w:p>
      <w:pPr>
        <w:pStyle w:val="Normal"/>
        <w:widowControl w:val="false"/>
        <w:numPr>
          <w:ilvl w:val="0"/>
          <w:numId w:val="6"/>
        </w:numPr>
        <w:ind w:left="0" w:right="0" w:firstLine="709"/>
        <w:rPr>
          <w:sz w:val="24"/>
        </w:rPr>
      </w:pPr>
      <w:r>
        <w:rPr>
          <w:sz w:val="24"/>
        </w:rPr>
        <w:t>Градостроительный кодекс РФ;</w:t>
      </w:r>
    </w:p>
    <w:p>
      <w:pPr>
        <w:pStyle w:val="Normal"/>
        <w:widowControl w:val="false"/>
        <w:numPr>
          <w:ilvl w:val="0"/>
          <w:numId w:val="6"/>
        </w:numPr>
        <w:ind w:left="0" w:right="0" w:firstLine="709"/>
        <w:rPr>
          <w:sz w:val="24"/>
        </w:rPr>
      </w:pPr>
      <w:r>
        <w:rPr>
          <w:sz w:val="24"/>
        </w:rPr>
        <w:t>ФЗ №116 «О промышленной безопасности опасных производственных объектах» и другие нормативные акты Российской Федерации;</w:t>
      </w:r>
    </w:p>
    <w:p>
      <w:pPr>
        <w:pStyle w:val="Normal"/>
        <w:widowControl w:val="false"/>
        <w:numPr>
          <w:ilvl w:val="0"/>
          <w:numId w:val="6"/>
        </w:numPr>
        <w:ind w:left="0" w:right="0" w:firstLine="709"/>
        <w:rPr>
          <w:sz w:val="24"/>
        </w:rPr>
      </w:pPr>
      <w:r>
        <w:rPr>
          <w:sz w:val="24"/>
        </w:rPr>
        <w:t>ФЗ №384 «Технический регламент о безопасности зданий и сооружений»;</w:t>
      </w:r>
    </w:p>
    <w:p>
      <w:pPr>
        <w:pStyle w:val="Normal"/>
        <w:widowControl w:val="false"/>
        <w:numPr>
          <w:ilvl w:val="0"/>
          <w:numId w:val="6"/>
        </w:numPr>
        <w:ind w:left="0" w:right="0" w:firstLine="709"/>
        <w:rPr>
          <w:sz w:val="24"/>
        </w:rPr>
      </w:pPr>
      <w:r>
        <w:rPr>
          <w:sz w:val="24"/>
        </w:rPr>
        <w:t>ГОСТ 31937-2024 «Здания и сооружения. Правила обследования и мониторинга технического состояния»;</w:t>
      </w:r>
    </w:p>
    <w:p>
      <w:pPr>
        <w:pStyle w:val="Normal"/>
        <w:widowControl/>
        <w:numPr>
          <w:ilvl w:val="0"/>
          <w:numId w:val="7"/>
        </w:numPr>
        <w:ind w:left="0" w:right="0" w:firstLine="709"/>
        <w:jc w:val="both"/>
        <w:rPr>
          <w:sz w:val="24"/>
        </w:rPr>
      </w:pPr>
      <w:r>
        <w:rPr>
          <w:sz w:val="24"/>
        </w:rPr>
        <w:t>ГОСТ Р 21.101-2026 «СПДС. Основные требования к проектной и рабочей документации»;</w:t>
      </w:r>
    </w:p>
    <w:p>
      <w:pPr>
        <w:pStyle w:val="Normal"/>
        <w:widowControl/>
        <w:numPr>
          <w:ilvl w:val="0"/>
          <w:numId w:val="7"/>
        </w:numPr>
        <w:ind w:left="0" w:right="0" w:firstLine="709"/>
        <w:jc w:val="both"/>
        <w:rPr>
          <w:sz w:val="24"/>
        </w:rPr>
      </w:pPr>
      <w:r>
        <w:rPr>
          <w:sz w:val="24"/>
        </w:rPr>
        <w:t>Постановление Правительства РФ от 19.01.2006 № 20 «Об инженерных изысканиях для подготовки проектной документации, строительства, реконструкции объектов капитального строительства (с изменениями на 15 сентября 2020 года)»;</w:t>
      </w:r>
    </w:p>
    <w:p>
      <w:pPr>
        <w:pStyle w:val="Normal"/>
        <w:widowControl/>
        <w:numPr>
          <w:ilvl w:val="0"/>
          <w:numId w:val="7"/>
        </w:numPr>
        <w:ind w:left="0" w:right="0" w:firstLine="709"/>
        <w:jc w:val="both"/>
        <w:rPr>
          <w:sz w:val="24"/>
        </w:rPr>
      </w:pPr>
      <w:r>
        <w:rPr>
          <w:sz w:val="24"/>
        </w:rPr>
        <w:t xml:space="preserve">СП 47.13330.2016 «Инженерные изыскания для строительства. Основные положения»; </w:t>
      </w:r>
    </w:p>
    <w:p>
      <w:pPr>
        <w:pStyle w:val="Normal"/>
        <w:widowControl/>
        <w:numPr>
          <w:ilvl w:val="0"/>
          <w:numId w:val="7"/>
        </w:numPr>
        <w:ind w:left="0" w:right="0" w:firstLine="709"/>
        <w:jc w:val="both"/>
        <w:rPr>
          <w:sz w:val="24"/>
        </w:rPr>
      </w:pPr>
      <w:r>
        <w:rPr>
          <w:sz w:val="24"/>
        </w:rPr>
        <w:t>СП 502.1325800.2021 «Инженерно-экологические изыскания для строительства. Общие правила производства работ»;</w:t>
      </w:r>
    </w:p>
    <w:p>
      <w:pPr>
        <w:pStyle w:val="Normal"/>
        <w:widowControl/>
        <w:numPr>
          <w:ilvl w:val="0"/>
          <w:numId w:val="8"/>
        </w:numPr>
        <w:ind w:left="0" w:right="0" w:firstLine="709"/>
        <w:jc w:val="both"/>
        <w:rPr>
          <w:sz w:val="24"/>
        </w:rPr>
      </w:pPr>
      <w:r>
        <w:rPr>
          <w:sz w:val="24"/>
        </w:rPr>
        <w:t xml:space="preserve">СанПиН 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(с изменениями на 14 февраля 2022 года); </w:t>
      </w:r>
    </w:p>
    <w:p>
      <w:pPr>
        <w:pStyle w:val="Normal"/>
        <w:widowControl/>
        <w:numPr>
          <w:ilvl w:val="0"/>
          <w:numId w:val="8"/>
        </w:numPr>
        <w:ind w:left="0" w:right="0" w:firstLine="709"/>
        <w:jc w:val="both"/>
        <w:rPr>
          <w:sz w:val="24"/>
        </w:rPr>
      </w:pPr>
      <w:r>
        <w:rPr>
          <w:sz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>
      <w:pPr>
        <w:pStyle w:val="Heading4"/>
        <w:widowControl/>
        <w:numPr>
          <w:ilvl w:val="1"/>
          <w:numId w:val="39"/>
        </w:numPr>
        <w:ind w:left="0" w:right="0" w:firstLine="709"/>
        <w:jc w:val="both"/>
        <w:rPr>
          <w:sz w:val="24"/>
        </w:rPr>
      </w:pPr>
      <w:bookmarkStart w:id="12" w:name="__RefHeading___11"/>
      <w:bookmarkEnd w:id="12"/>
      <w:r>
        <w:rPr>
          <w:sz w:val="24"/>
        </w:rPr>
        <w:t>Перечень нормативной документации, в соответствии с требованиями которых необходимо выполнить инженерно-гидрометеорологические изыскания</w:t>
      </w:r>
    </w:p>
    <w:p>
      <w:pPr>
        <w:pStyle w:val="Normal"/>
        <w:widowControl w:val="false"/>
        <w:numPr>
          <w:ilvl w:val="0"/>
          <w:numId w:val="9"/>
        </w:numPr>
        <w:ind w:left="0" w:right="0" w:firstLine="709"/>
        <w:rPr>
          <w:sz w:val="24"/>
        </w:rPr>
      </w:pPr>
      <w:r>
        <w:rPr>
          <w:sz w:val="24"/>
        </w:rPr>
        <w:t>Градостроительный кодекс РФ;</w:t>
      </w:r>
    </w:p>
    <w:p>
      <w:pPr>
        <w:pStyle w:val="Normal"/>
        <w:widowControl w:val="false"/>
        <w:numPr>
          <w:ilvl w:val="0"/>
          <w:numId w:val="9"/>
        </w:numPr>
        <w:ind w:left="0" w:right="0" w:firstLine="709"/>
        <w:rPr>
          <w:sz w:val="24"/>
        </w:rPr>
      </w:pPr>
      <w:r>
        <w:rPr>
          <w:sz w:val="24"/>
        </w:rPr>
        <w:t>ФЗ №116 «О промышленной безопасности опасных производственных объектах» и другие нормативные акты Российской Федерации;</w:t>
      </w:r>
    </w:p>
    <w:p>
      <w:pPr>
        <w:pStyle w:val="Normal"/>
        <w:widowControl w:val="false"/>
        <w:numPr>
          <w:ilvl w:val="0"/>
          <w:numId w:val="9"/>
        </w:numPr>
        <w:ind w:left="0" w:right="0" w:firstLine="709"/>
        <w:rPr>
          <w:sz w:val="24"/>
        </w:rPr>
      </w:pPr>
      <w:r>
        <w:rPr>
          <w:sz w:val="24"/>
        </w:rPr>
        <w:t>ФЗ №384 «Технический регламент о безопасности зданий и сооружений»;</w:t>
      </w:r>
    </w:p>
    <w:p>
      <w:pPr>
        <w:pStyle w:val="Normal"/>
        <w:widowControl w:val="false"/>
        <w:numPr>
          <w:ilvl w:val="0"/>
          <w:numId w:val="9"/>
        </w:numPr>
        <w:ind w:left="0" w:right="0" w:firstLine="709"/>
        <w:rPr>
          <w:sz w:val="24"/>
        </w:rPr>
      </w:pPr>
      <w:r>
        <w:rPr>
          <w:sz w:val="24"/>
        </w:rPr>
        <w:t>ГОСТ 31937-2024 «Здания и сооружения. Правила обследования и мониторинга технического состояния»;</w:t>
      </w:r>
    </w:p>
    <w:p>
      <w:pPr>
        <w:pStyle w:val="Normal"/>
        <w:widowControl w:val="false"/>
        <w:numPr>
          <w:ilvl w:val="0"/>
          <w:numId w:val="10"/>
        </w:numPr>
        <w:ind w:left="0" w:right="0" w:firstLine="709"/>
        <w:rPr>
          <w:color w:val="000000" w:themeColor="text1"/>
          <w:sz w:val="24"/>
        </w:rPr>
      </w:pPr>
      <w:r>
        <w:rPr>
          <w:sz w:val="24"/>
        </w:rPr>
        <w:t>ГОСТ Р 21.101-2026 «СПДС. Основные требования к проектной и рабочей документации»;</w:t>
      </w:r>
    </w:p>
    <w:p>
      <w:pPr>
        <w:pStyle w:val="Normal"/>
        <w:widowControl w:val="false"/>
        <w:numPr>
          <w:ilvl w:val="0"/>
          <w:numId w:val="10"/>
        </w:numPr>
        <w:ind w:left="0" w:right="0" w:firstLine="709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ГОСТ Р 21.301-2021 Система проектной документации для строительства (СПДС). Правила выполнения отчетной технической документации по инженерным изысканиям;</w:t>
      </w:r>
    </w:p>
    <w:p>
      <w:pPr>
        <w:pStyle w:val="Normal"/>
        <w:widowControl w:val="false"/>
        <w:numPr>
          <w:ilvl w:val="0"/>
          <w:numId w:val="10"/>
        </w:numPr>
        <w:ind w:left="0" w:right="0" w:firstLine="709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Постановление Правительства РФ от 19.01.2006 № 20 «Об инженерных изысканиях для подготовки проектной документации, строительства, реконструкции объектов капитального строительства (с изменениями на 15 сентября 2020 года)»;</w:t>
      </w:r>
    </w:p>
    <w:p>
      <w:pPr>
        <w:pStyle w:val="Normal"/>
        <w:widowControl w:val="false"/>
        <w:numPr>
          <w:ilvl w:val="0"/>
          <w:numId w:val="10"/>
        </w:numPr>
        <w:ind w:left="0" w:right="0" w:firstLine="709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СП 47.13330.2016 «Инженерные изыскания для строительства. Основные положения»;</w:t>
      </w:r>
    </w:p>
    <w:p>
      <w:pPr>
        <w:pStyle w:val="Normal"/>
        <w:widowControl w:val="false"/>
        <w:numPr>
          <w:ilvl w:val="0"/>
          <w:numId w:val="10"/>
        </w:numPr>
        <w:ind w:left="0" w:right="0" w:firstLine="709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СП 482.1325800.2020 «Инженерно-гидрометеорологические изыскания для строительства. Общие правила производства работ».</w:t>
      </w:r>
    </w:p>
    <w:p>
      <w:pPr>
        <w:pStyle w:val="Heading4"/>
        <w:widowControl/>
        <w:numPr>
          <w:ilvl w:val="1"/>
          <w:numId w:val="40"/>
        </w:numPr>
        <w:ind w:left="0" w:right="0" w:firstLine="709"/>
        <w:rPr>
          <w:sz w:val="24"/>
        </w:rPr>
      </w:pPr>
      <w:bookmarkStart w:id="13" w:name="__RefHeading___12"/>
      <w:bookmarkEnd w:id="13"/>
      <w:r>
        <w:rPr>
          <w:sz w:val="24"/>
        </w:rPr>
        <w:t>Требования к объемам и срокам выполнения работ</w:t>
      </w:r>
    </w:p>
    <w:p>
      <w:pPr>
        <w:pStyle w:val="Heading3"/>
        <w:widowControl/>
        <w:numPr>
          <w:ilvl w:val="2"/>
          <w:numId w:val="41"/>
        </w:numPr>
        <w:ind w:left="0" w:right="0" w:firstLine="709"/>
        <w:rPr>
          <w:sz w:val="24"/>
        </w:rPr>
      </w:pPr>
      <w:bookmarkStart w:id="14" w:name="__RefHeading___13"/>
      <w:bookmarkEnd w:id="14"/>
      <w:r>
        <w:rPr>
          <w:sz w:val="24"/>
        </w:rPr>
        <w:t>Требования к видам и объемам работ</w:t>
      </w:r>
    </w:p>
    <w:p>
      <w:pPr>
        <w:pStyle w:val="Normal"/>
        <w:widowControl/>
        <w:jc w:val="right"/>
        <w:rPr>
          <w:b/>
          <w:sz w:val="24"/>
        </w:rPr>
      </w:pPr>
      <w:r>
        <w:rPr>
          <w:b/>
          <w:sz w:val="24"/>
        </w:rPr>
        <w:t>Таблица 2. Перечень и объем выполняемых работ</w:t>
      </w:r>
    </w:p>
    <w:tbl>
      <w:tblPr>
        <w:tblStyle w:val="Style_3"/>
        <w:tblW w:w="10062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5529"/>
        <w:gridCol w:w="2411"/>
        <w:gridCol w:w="1556"/>
      </w:tblGrid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п/п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Наименование работ / этапа работ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Единица измерения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Количество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b/>
                <w:i w:val="false"/>
                <w:i w:val="false"/>
                <w:sz w:val="24"/>
              </w:rPr>
            </w:pPr>
            <w:r>
              <w:rPr>
                <w:b/>
                <w:i w:val="false"/>
                <w:spacing w:val="0"/>
                <w:kern w:val="0"/>
                <w:sz w:val="24"/>
                <w:szCs w:val="20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b/>
                <w:i w:val="false"/>
                <w:i w:val="false"/>
                <w:sz w:val="24"/>
              </w:rPr>
            </w:pPr>
            <w:r>
              <w:rPr>
                <w:b/>
                <w:i w:val="false"/>
                <w:spacing w:val="0"/>
                <w:kern w:val="0"/>
                <w:sz w:val="24"/>
                <w:szCs w:val="20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b/>
                <w:i w:val="false"/>
                <w:i w:val="false"/>
                <w:sz w:val="24"/>
              </w:rPr>
            </w:pPr>
            <w:r>
              <w:rPr>
                <w:b/>
                <w:i w:val="false"/>
                <w:spacing w:val="0"/>
                <w:kern w:val="0"/>
                <w:sz w:val="24"/>
                <w:szCs w:val="20"/>
              </w:rPr>
              <w:t>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b/>
                <w:i w:val="false"/>
                <w:i w:val="false"/>
                <w:sz w:val="24"/>
              </w:rPr>
            </w:pPr>
            <w:r>
              <w:rPr>
                <w:b/>
                <w:i w:val="false"/>
                <w:spacing w:val="0"/>
                <w:kern w:val="0"/>
                <w:sz w:val="24"/>
                <w:szCs w:val="20"/>
              </w:rPr>
              <w:t>4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lineRule="auto" w:line="240" w:before="0" w:after="0"/>
              <w:ind w:left="720" w:right="0" w:hanging="0"/>
              <w:contextualSpacing/>
              <w:jc w:val="left"/>
              <w:rPr>
                <w:i w:val="false"/>
                <w:i w:val="false"/>
                <w:sz w:val="24"/>
              </w:rPr>
            </w:pPr>
            <w:r>
              <w:rPr>
                <w:i w:val="false"/>
                <w:sz w:val="24"/>
              </w:rPr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Инженерно-геологические изыскания, включая гидрогеологические, геофизические исследования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Условная единица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i w:val="false"/>
                <w:i w:val="false"/>
                <w:sz w:val="24"/>
              </w:rPr>
            </w:pPr>
            <w:r>
              <w:rPr>
                <w:i w:val="false"/>
                <w:spacing w:val="0"/>
                <w:kern w:val="0"/>
                <w:sz w:val="24"/>
                <w:szCs w:val="20"/>
              </w:rPr>
              <w:t>1</w:t>
            </w:r>
          </w:p>
        </w:tc>
      </w:tr>
    </w:tbl>
    <w:p>
      <w:pPr>
        <w:pStyle w:val="Heading3"/>
        <w:widowControl/>
        <w:numPr>
          <w:ilvl w:val="2"/>
          <w:numId w:val="42"/>
        </w:numPr>
        <w:ind w:left="0" w:right="0" w:firstLine="709"/>
        <w:rPr>
          <w:sz w:val="24"/>
        </w:rPr>
      </w:pPr>
      <w:bookmarkStart w:id="15" w:name="__RefHeading___14"/>
      <w:bookmarkEnd w:id="15"/>
      <w:r>
        <w:rPr>
          <w:sz w:val="24"/>
        </w:rPr>
        <w:t>Требования к срокам выполнения работ</w:t>
      </w:r>
    </w:p>
    <w:p>
      <w:pPr>
        <w:pStyle w:val="Normal"/>
        <w:widowControl/>
        <w:jc w:val="right"/>
        <w:rPr>
          <w:b/>
          <w:sz w:val="24"/>
        </w:rPr>
      </w:pPr>
      <w:r>
        <w:rPr>
          <w:b/>
          <w:sz w:val="24"/>
        </w:rPr>
        <w:t xml:space="preserve">Таблица 3. </w:t>
      </w:r>
      <w:bookmarkStart w:id="16" w:name="_Hlk50465284"/>
      <w:r>
        <w:rPr>
          <w:b/>
          <w:sz w:val="24"/>
        </w:rPr>
        <w:t xml:space="preserve">Требования по срокам </w:t>
      </w:r>
      <w:bookmarkEnd w:id="16"/>
      <w:r>
        <w:rPr>
          <w:b/>
          <w:sz w:val="24"/>
        </w:rPr>
        <w:t>выполнения работ</w:t>
      </w:r>
    </w:p>
    <w:tbl>
      <w:tblPr>
        <w:tblStyle w:val="Style_3"/>
        <w:tblW w:w="1003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3834"/>
        <w:gridCol w:w="2553"/>
        <w:gridCol w:w="3116"/>
      </w:tblGrid>
      <w:tr>
        <w:trPr/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 xml:space="preserve">№ </w:t>
            </w:r>
            <w:r>
              <w:rPr>
                <w:spacing w:val="0"/>
                <w:kern w:val="0"/>
                <w:sz w:val="24"/>
                <w:szCs w:val="20"/>
              </w:rPr>
              <w:t>п/п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Наименование работ/ этапа работ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Требования к началу срока выполнения работ/ этапа работ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1</w:t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center"/>
              <w:rPr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widowControl w:val="false"/>
              <w:suppressAutoHyphens w:val="true"/>
              <w:spacing w:lineRule="auto" w:line="240" w:before="40" w:after="40"/>
              <w:jc w:val="center"/>
              <w:rPr>
                <w:sz w:val="24"/>
              </w:rPr>
            </w:pPr>
            <w:r>
              <w:rPr>
                <w:rFonts w:eastAsia="Noto Serif CJK SC" w:cs="Lohit Devanagari"/>
                <w:b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widowControl w:val="false"/>
              <w:suppressAutoHyphens w:val="true"/>
              <w:spacing w:lineRule="auto" w:line="240" w:before="40" w:after="40"/>
              <w:jc w:val="center"/>
              <w:rPr>
                <w:sz w:val="24"/>
              </w:rPr>
            </w:pPr>
            <w:r>
              <w:rPr>
                <w:rFonts w:eastAsia="Noto Serif CJK SC" w:cs="Lohit Devanagari"/>
                <w:b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4</w:t>
            </w:r>
          </w:p>
        </w:tc>
      </w:tr>
      <w:tr>
        <w:trPr/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lineRule="auto" w:line="240" w:before="0" w:after="0"/>
              <w:ind w:left="720" w:right="0" w:hanging="0"/>
              <w:contextualSpacing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Инженерно-геологические изыскания, включая гидрогеологические, геофизические исследования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 даты подписания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Сдача отчетных материалов не позднее 15 календарных дней с даты подписания договора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707" w:gutter="0" w:header="680" w:top="1134" w:footer="0" w:bottom="1135"/>
          <w:pgNumType w:fmt="decimal"/>
          <w:formProt w:val="false"/>
          <w:titlePg/>
          <w:textDirection w:val="lrTb"/>
          <w:docGrid w:type="default" w:linePitch="100" w:charSpace="0"/>
        </w:sectPr>
      </w:pPr>
    </w:p>
    <w:p>
      <w:pPr>
        <w:pStyle w:val="Heading4"/>
        <w:widowControl/>
        <w:numPr>
          <w:ilvl w:val="1"/>
          <w:numId w:val="43"/>
        </w:numPr>
        <w:ind w:left="432" w:right="0" w:firstLine="567"/>
        <w:rPr>
          <w:sz w:val="24"/>
        </w:rPr>
      </w:pPr>
      <w:bookmarkStart w:id="17" w:name="__RefHeading___15"/>
      <w:bookmarkEnd w:id="17"/>
      <w:r>
        <w:rPr>
          <w:sz w:val="24"/>
        </w:rPr>
        <w:t>Требования к качеству работ</w:t>
      </w:r>
    </w:p>
    <w:p>
      <w:pPr>
        <w:pStyle w:val="Normal"/>
        <w:rPr>
          <w:b/>
          <w:sz w:val="24"/>
        </w:rPr>
      </w:pPr>
      <w:r>
        <w:rPr>
          <w:b/>
          <w:sz w:val="24"/>
        </w:rPr>
        <w:t xml:space="preserve">Таблица 4. Требования к качеству работ </w:t>
      </w:r>
    </w:p>
    <w:p>
      <w:pPr>
        <w:pStyle w:val="Normal"/>
        <w:widowControl w:val="false"/>
        <w:spacing w:before="0" w:after="120"/>
        <w:ind w:left="0" w:right="0" w:firstLine="567"/>
        <w:rPr>
          <w:b/>
          <w:sz w:val="24"/>
        </w:rPr>
      </w:pPr>
      <w:r>
        <w:rPr>
          <w:b/>
          <w:sz w:val="24"/>
        </w:rPr>
        <w:t>Наименование работ: ОКПД2 71.12.39 Выполнение работ по корректировке инженерно-геологических  изысканий в рамках разработки проектной и рабочей документации на реконструкцию системы водоотведения Владивостокской ТЭЦ-2.</w:t>
      </w:r>
    </w:p>
    <w:tbl>
      <w:tblPr>
        <w:tblStyle w:val="Style_3"/>
        <w:tblW w:w="1502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844"/>
        <w:gridCol w:w="4932"/>
        <w:gridCol w:w="1858"/>
        <w:gridCol w:w="2239"/>
        <w:gridCol w:w="2163"/>
      </w:tblGrid>
      <w:tr>
        <w:trPr/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 xml:space="preserve">№ </w:t>
            </w:r>
            <w:r>
              <w:rPr>
                <w:b/>
                <w:spacing w:val="0"/>
                <w:kern w:val="0"/>
                <w:sz w:val="24"/>
                <w:szCs w:val="20"/>
              </w:rPr>
              <w:t>п/п</w:t>
            </w:r>
          </w:p>
        </w:tc>
        <w:tc>
          <w:tcPr>
            <w:tcW w:w="2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Наименование параметра</w:t>
            </w:r>
          </w:p>
        </w:tc>
        <w:tc>
          <w:tcPr>
            <w:tcW w:w="4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Требование Генподрядчика</w:t>
            </w:r>
          </w:p>
        </w:tc>
        <w:tc>
          <w:tcPr>
            <w:tcW w:w="4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9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0"/>
                <w:szCs w:val="20"/>
              </w:rPr>
            </w:pPr>
            <w:r>
              <w:rPr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8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0"/>
                <w:szCs w:val="20"/>
              </w:rPr>
            </w:pPr>
            <w:r>
              <w:rPr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49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0"/>
                <w:szCs w:val="20"/>
              </w:rPr>
            </w:pPr>
            <w:r>
              <w:rPr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185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6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pacing w:val="0"/>
                <w:kern w:val="0"/>
                <w:sz w:val="20"/>
                <w:szCs w:val="20"/>
              </w:rPr>
            </w:pPr>
            <w:r>
              <w:rPr>
                <w:spacing w:val="0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1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2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3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4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5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6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40" w:before="60" w:after="60"/>
              <w:ind w:left="72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Требования к выполнению работ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Общие требования к выполнению работ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2"/>
                <w:numId w:val="13"/>
              </w:numPr>
              <w:suppressAutoHyphens w:val="true"/>
              <w:spacing w:lineRule="auto" w:line="240" w:before="60" w:after="60"/>
              <w:ind w:left="5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Инженерно-геологические изыскания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Состав, методики, технологии и объемы работ определить в соответствии с требованиями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 СП 47.13330.2016,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 СП 11-105-97;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 СП 446.1325800.2019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и обосновать в программе изысканий и согласовать с проектной организацией.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В составе инженерно-геологических изысканий выполнить: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 xml:space="preserve">– </w:t>
            </w:r>
            <w:r>
              <w:rPr>
                <w:b w:val="false"/>
                <w:spacing w:val="0"/>
                <w:kern w:val="0"/>
                <w:sz w:val="24"/>
                <w:szCs w:val="20"/>
              </w:rPr>
              <w:t>14 скважин для оценки геологических условий: скважины №1-14 глубиной 22 метра (см. Приложение. Схема инженерных сетей с расположением скважин.);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 xml:space="preserve">– </w:t>
            </w:r>
            <w:r>
              <w:rPr>
                <w:b w:val="false"/>
                <w:spacing w:val="0"/>
                <w:kern w:val="0"/>
                <w:sz w:val="24"/>
                <w:szCs w:val="20"/>
              </w:rPr>
              <w:t>сбор и обработку материалов изысканий прошлых лет;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 xml:space="preserve">– </w:t>
            </w:r>
            <w:r>
              <w:rPr>
                <w:b w:val="false"/>
                <w:spacing w:val="0"/>
                <w:kern w:val="0"/>
                <w:sz w:val="24"/>
                <w:szCs w:val="20"/>
              </w:rPr>
              <w:t>рекогносцировочное обследование и маршрутные наблюдения;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 xml:space="preserve">– </w:t>
            </w:r>
            <w:r>
              <w:rPr>
                <w:b w:val="false"/>
                <w:spacing w:val="0"/>
                <w:kern w:val="0"/>
                <w:sz w:val="24"/>
                <w:szCs w:val="20"/>
              </w:rPr>
              <w:t>проходка горных выработок;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 xml:space="preserve">– </w:t>
            </w:r>
            <w:r>
              <w:rPr>
                <w:b w:val="false"/>
                <w:spacing w:val="0"/>
                <w:kern w:val="0"/>
                <w:sz w:val="24"/>
                <w:szCs w:val="20"/>
              </w:rPr>
              <w:t>гидрогеологические исследования;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 xml:space="preserve">– </w:t>
            </w:r>
            <w:r>
              <w:rPr>
                <w:b w:val="false"/>
                <w:spacing w:val="0"/>
                <w:kern w:val="0"/>
                <w:sz w:val="24"/>
                <w:szCs w:val="20"/>
              </w:rPr>
              <w:t>лабораторные исследования грунтов и подземных вод;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–</w:t>
            </w:r>
            <w:r>
              <w:rPr>
                <w:b w:val="false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b w:val="false"/>
                <w:spacing w:val="0"/>
                <w:kern w:val="0"/>
                <w:sz w:val="24"/>
                <w:szCs w:val="20"/>
              </w:rPr>
              <w:t>камеральную обработку материалов изысканий.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Согласие с требованием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Требования к организации работ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2"/>
                <w:numId w:val="13"/>
              </w:numPr>
              <w:suppressAutoHyphens w:val="true"/>
              <w:spacing w:lineRule="auto" w:line="240" w:before="60" w:after="60"/>
              <w:ind w:left="5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Инженерно-геологические изыскания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Инженерно-геологические изыскания должны включать следующие виды работ: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1. Подготовка и согласование с Генподрядчиком программы инженерно-геологических изысканий.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2. Рекогносцировочное обследование участка работ с описанием точек маршрутного обследования.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3. Сбор и анализ материалов локального мониторинга компонентов геологической среды.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4. Обследование грунтов, с получением физико-механических свойств грунтов, оценкой изменений инженерно-геологических условий при сокращении выпусков водоотведения, и рекомендациями по снижению негативного влияния на геологическую среду.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5. Гидрогеологические исследования участка в границах изыскательских работ, определение направления потока подземных вод и области их разгрузки, определение зон возможного подтопления территории с построением схемы зон подтопления. Оценка влияния проектируемых мероприятий на подземные воды.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6. Бурение инженерно-геологических и гидрогеологических скважин с ведением полевой документации, описанием литологического состава, отбором образцов на лабораторные испытания на физические, физико-механические и фильтрационные свойства согласно требованиям ГОСТ 12071-2014 «Грунты. Отбор, упаковка, транспортирование и хранение образцов», замеров уровня грунтовых вод при наличии водоносных горизонтов, появившегося и установившегося, отбором проб воды из скважин на выполнение химического анализа воды.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7. При планировании инженерно-геологических скважин максимально использовать материалы изысканий прошлых лет с учетом срока их давности в соответствии с СП 47.13330.2016.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8. Изучение в плане и разрезе геологических границ и локальных неоднородностей, выявление и изучение опасных геологических процессов, оценка состава, состояния и свойств грунтов в массиве, их напряженно-деформированного состояния и их изменений, определение глубины залеганий подземных вод и их минерализации, глубины водоупоров, картирования гидрогеологических окон, обнаружение пустот под территорией строительства.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9. Номенклатура и объемы определений физических свойств грунтов и других лабораторных исследований назначаются согласно СП 47.13330.2016 и СП 11-105-97, приложение 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10. По результатам инженерно-геологических изысканий выпустить технический отчет в соответствии с требованиями СП 47.13330.2016. В составе отчета необходимо дать прогноз развития инженерно-геологических и гидрогеологических, геофизических процессов на период реконструкции системы водоотведения и охране геологической среды.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11. Сопровождение прохождения отчетной документации по результатам инженерно-геологических изысканий в государственной экспертизе и иных надзорных органах, до получения положительного заключения.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Согласие с требованием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1.2.3</w:t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Сопровождение всех необходимых согласований и экспертиз, включая экспертизу промышленной безопасности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При выявлении замечаний к техническим отчетам по результатам инженерных изысканий, устранить замечания, вносить изменения и дополнения в технические отчеты.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Согласие с требованием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2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Инженерно-геологические изыскания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Применяемые способы бурения инженерно- геологических выработок должны соответствовать требованиям п.5.6.2 СП 446.1325800.2019. Грунтовая лаборатория должна иметь соответствующее свидетельство об аккредитации.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Согласие с требованием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/>
              <w:ind w:left="0" w:right="0" w:hanging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both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Требования к контролю качества работ и материалов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2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Требования к обеспечению контроля качества при выполнении инженерных изысканий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6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Требования устанавливаются в соответствии с требованиями нормативной документации СП 47.13330.2016 с соблюдением всех требований ГОСТ для каждого вида работ.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6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Организация, выполняющая инженерные изыскания, должна вести учет средств измерений, подлежащих поверке в установленном порядке.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Согласие с требованием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Требования к персоналу подрядчика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2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Не требуется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sz w:val="24"/>
                <w:highlight w:val="yellow"/>
              </w:rPr>
            </w:pPr>
            <w:r>
              <w:rPr>
                <w:sz w:val="24"/>
                <w:highlight w:val="yellow"/>
              </w:rPr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Требования к безопасности работ и охране труда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2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Требования к безопасности выполняемых работ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2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rFonts w:eastAsia="Noto Serif CJK SC" w:cs="Lohit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Подрядчик должен: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2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rFonts w:eastAsia="Noto Serif CJK SC" w:cs="Lohit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1.</w:t>
              <w:tab/>
              <w:t>Соблюдать требования действующего федерального законодательства Российской Федерации, нормативных правовых актов субъектов Российской Федерации,  в т.ч. законодательство о недрах, охране окружающей среды, промышленной и пожарной безопасности, охране труда, энергоэффективности, рационального использования природных ресурсов и полезных ископаемых, а также все прочие законы и нормативные акты, относящиеся к сфере деятельности;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-2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rFonts w:eastAsia="Noto Serif CJK SC" w:cs="Lohit Devanagari"/>
                <w:color w:val="000000"/>
                <w:spacing w:val="0"/>
                <w:kern w:val="0"/>
                <w:sz w:val="24"/>
                <w:szCs w:val="20"/>
                <w:lang w:val="ru-RU" w:eastAsia="zh-CN" w:bidi="hi-IN"/>
              </w:rPr>
              <w:t>2.</w:t>
              <w:tab/>
              <w:t>Субподрядчик обязан 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Согласие с требованием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left="0" w:right="0" w:hanging="0"/>
              <w:jc w:val="center"/>
              <w:outlineLvl w:val="2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40" w:before="60" w:after="60"/>
              <w:ind w:left="72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Требования к результатам работ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Общие требования к результатам работ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2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57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Инженерно-геологические изыскания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lineRule="auto" w:line="240" w:before="0" w:after="0"/>
              <w:ind w:left="72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Состав технического отчета должен соответствовать требованиям СП 47.13330.2016. Срок представления отчета - в соответствии с календарным планом к договору.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lineRule="auto" w:line="240" w:before="0" w:after="0"/>
              <w:ind w:left="72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Порядок представления - на бумажном носителе в 3 экз. и на электронном носителе (CD) в 1 экз. (формат pdf) с учетом требований Приказа Минстроя от 21 ноября 2014 г. № 728/пр.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lineRule="auto" w:line="240" w:before="0" w:after="0"/>
              <w:ind w:left="72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Представить также исходные форматы материалов: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lineRule="auto" w:line="240" w:before="0" w:after="0"/>
              <w:ind w:left="72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 графический материал –dwg;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uppressAutoHyphens w:val="true"/>
              <w:spacing w:lineRule="auto" w:line="240" w:before="0" w:after="0"/>
              <w:ind w:left="72" w:right="0" w:hanging="0"/>
              <w:jc w:val="both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 текстовый материал – doc, xls.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Согласие с требованием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2"/>
                <w:numId w:val="13"/>
              </w:numPr>
              <w:suppressAutoHyphens w:val="true"/>
              <w:spacing w:lineRule="auto" w:line="240" w:before="60" w:after="60"/>
              <w:ind w:left="72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Не требуется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Требования к порядку приемки результатов работ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2"/>
                <w:numId w:val="13"/>
              </w:numPr>
              <w:suppressAutoHyphens w:val="true"/>
              <w:spacing w:lineRule="auto" w:line="240" w:before="60" w:after="60"/>
              <w:ind w:left="72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Порядок приемки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В соответствии с условиями договора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Согласие с требованием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>
          <w:trHeight w:val="373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Требования к оформлению документации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2"/>
                <w:numId w:val="13"/>
              </w:numPr>
              <w:suppressAutoHyphens w:val="true"/>
              <w:spacing w:lineRule="auto" w:line="240" w:before="60" w:after="60"/>
              <w:ind w:left="72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Оформление документации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b/>
                <w:i/>
                <w:spacing w:val="0"/>
                <w:kern w:val="0"/>
                <w:sz w:val="24"/>
                <w:szCs w:val="20"/>
                <w:u w:val="single"/>
              </w:rPr>
              <w:t>ГОСТ 21.301-2021</w:t>
            </w:r>
            <w:r>
              <w:rPr>
                <w:spacing w:val="0"/>
                <w:kern w:val="0"/>
                <w:sz w:val="24"/>
                <w:szCs w:val="20"/>
              </w:rPr>
              <w:t xml:space="preserve"> Правила выполнения отчетной технической документации по инженерным изысканиям.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b/>
                <w:i/>
                <w:spacing w:val="0"/>
                <w:kern w:val="0"/>
                <w:sz w:val="24"/>
                <w:szCs w:val="20"/>
                <w:u w:val="single"/>
              </w:rPr>
              <w:t>ГОСТ Р 21.101-2026</w:t>
            </w:r>
            <w:r>
              <w:rPr>
                <w:spacing w:val="0"/>
                <w:kern w:val="0"/>
                <w:sz w:val="24"/>
                <w:szCs w:val="20"/>
              </w:rPr>
              <w:t xml:space="preserve"> Система проектной документации для строительства. Основные требования к проектной и рабочей документации.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Согласие с требованием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left="0" w:right="0" w:hanging="0"/>
              <w:jc w:val="center"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40" w:before="60" w:after="60"/>
              <w:ind w:left="72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4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>
          <w:trHeight w:val="63" w:hRule="atLeast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2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Инженерно-геологические изыскания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340" w:leader="none"/>
              </w:tabs>
              <w:suppressAutoHyphens w:val="true"/>
              <w:spacing w:lineRule="auto" w:line="240" w:before="0" w:after="0"/>
              <w:ind w:left="0" w:right="0" w:hanging="0"/>
              <w:contextualSpacing/>
              <w:jc w:val="left"/>
              <w:rPr>
                <w:color w:val="000000" w:themeColor="text1"/>
                <w:sz w:val="24"/>
              </w:rPr>
            </w:pPr>
            <w:r>
              <w:rPr>
                <w:rFonts w:eastAsia="Noto Serif CJK SC" w:cs="Lohit Devanagari"/>
                <w:color w:val="000000" w:themeColor="text1"/>
                <w:spacing w:val="0"/>
                <w:kern w:val="0"/>
                <w:sz w:val="24"/>
                <w:szCs w:val="20"/>
                <w:lang w:val="ru-RU" w:eastAsia="zh-CN" w:bidi="hi-IN"/>
              </w:rPr>
              <w:t>ГОСТ 21.301-2021 Правила выполнения отчетной технической документации по инженерным изысканиям;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340" w:leader="none"/>
              </w:tabs>
              <w:suppressAutoHyphens w:val="true"/>
              <w:spacing w:lineRule="auto" w:line="240" w:before="0" w:after="0"/>
              <w:ind w:left="0" w:right="0" w:hanging="0"/>
              <w:contextualSpacing/>
              <w:jc w:val="left"/>
              <w:rPr>
                <w:color w:val="000000" w:themeColor="text1"/>
                <w:sz w:val="24"/>
              </w:rPr>
            </w:pPr>
            <w:r>
              <w:rPr>
                <w:rFonts w:eastAsia="Noto Serif CJK SC" w:cs="Lohit Devanagari"/>
                <w:color w:val="000000" w:themeColor="text1"/>
                <w:spacing w:val="0"/>
                <w:kern w:val="0"/>
                <w:sz w:val="24"/>
                <w:szCs w:val="20"/>
                <w:lang w:val="ru-RU" w:eastAsia="zh-CN" w:bidi="hi-IN"/>
              </w:rPr>
              <w:t>СП 47.13330.2016 «Инженерные изыскания для строительства. Основные положения»;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340" w:leader="none"/>
              </w:tabs>
              <w:suppressAutoHyphens w:val="true"/>
              <w:spacing w:lineRule="auto" w:line="240" w:before="0" w:after="0"/>
              <w:ind w:left="0" w:right="0" w:hanging="0"/>
              <w:contextualSpacing/>
              <w:jc w:val="left"/>
              <w:rPr>
                <w:color w:val="000000" w:themeColor="text1"/>
                <w:sz w:val="24"/>
              </w:rPr>
            </w:pPr>
            <w:r>
              <w:rPr>
                <w:rFonts w:eastAsia="Noto Serif CJK SC" w:cs="Lohit Devanagari"/>
                <w:color w:val="000000" w:themeColor="text1"/>
                <w:spacing w:val="0"/>
                <w:kern w:val="0"/>
                <w:sz w:val="24"/>
                <w:szCs w:val="20"/>
                <w:lang w:val="ru-RU" w:eastAsia="zh-CN" w:bidi="hi-IN"/>
              </w:rPr>
              <w:t>ГОСТ Р 21.302-2021 Система проектной документации для строительства (СПДС). Условные графические обозначения в документации по инженерно-геологическим изысканиям;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340" w:leader="none"/>
              </w:tabs>
              <w:suppressAutoHyphens w:val="true"/>
              <w:spacing w:lineRule="auto" w:line="240" w:before="0" w:after="0"/>
              <w:ind w:left="0" w:right="0" w:hanging="0"/>
              <w:contextualSpacing/>
              <w:jc w:val="left"/>
              <w:rPr>
                <w:color w:val="000000" w:themeColor="text1"/>
                <w:sz w:val="24"/>
              </w:rPr>
            </w:pPr>
            <w:r>
              <w:rPr>
                <w:rFonts w:eastAsia="Noto Serif CJK SC" w:cs="Lohit Devanagari"/>
                <w:color w:val="000000" w:themeColor="text1"/>
                <w:spacing w:val="0"/>
                <w:kern w:val="0"/>
                <w:sz w:val="24"/>
                <w:szCs w:val="20"/>
                <w:lang w:val="ru-RU" w:eastAsia="zh-CN" w:bidi="hi-IN"/>
              </w:rPr>
              <w:t>СП 446.1325800.2019 «Инженерно-геологические изыскания для строительства. Общие правила производства работ»;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340" w:leader="none"/>
              </w:tabs>
              <w:suppressAutoHyphens w:val="true"/>
              <w:spacing w:lineRule="auto" w:line="240" w:before="0" w:after="0"/>
              <w:ind w:left="0" w:right="0" w:hanging="0"/>
              <w:contextualSpacing/>
              <w:jc w:val="left"/>
              <w:rPr>
                <w:color w:val="000000" w:themeColor="text1"/>
                <w:sz w:val="24"/>
              </w:rPr>
            </w:pPr>
            <w:r>
              <w:rPr>
                <w:rFonts w:eastAsia="Noto Serif CJK SC" w:cs="Lohit Devanagari"/>
                <w:color w:val="000000" w:themeColor="text1"/>
                <w:spacing w:val="0"/>
                <w:kern w:val="0"/>
                <w:sz w:val="24"/>
                <w:szCs w:val="20"/>
                <w:lang w:val="ru-RU" w:eastAsia="zh-CN" w:bidi="hi-IN"/>
              </w:rPr>
              <w:t>ГОСТ 25100.2020 Грунты. Классификация;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340" w:leader="none"/>
              </w:tabs>
              <w:suppressAutoHyphens w:val="true"/>
              <w:spacing w:lineRule="auto" w:line="240" w:before="0" w:after="0"/>
              <w:ind w:left="0" w:right="0" w:hanging="0"/>
              <w:contextualSpacing/>
              <w:jc w:val="left"/>
              <w:rPr>
                <w:color w:val="000000" w:themeColor="text1"/>
                <w:sz w:val="24"/>
              </w:rPr>
            </w:pPr>
            <w:r>
              <w:rPr>
                <w:rFonts w:eastAsia="Noto Serif CJK SC" w:cs="Lohit Devanagari"/>
                <w:color w:val="000000" w:themeColor="text1"/>
                <w:spacing w:val="0"/>
                <w:kern w:val="0"/>
                <w:sz w:val="24"/>
                <w:szCs w:val="20"/>
                <w:lang w:val="ru-RU" w:eastAsia="zh-CN" w:bidi="hi-IN"/>
              </w:rPr>
              <w:t>ГОСТ 20522-2012 Грунты. Методы статистической обработки результатов испытаний;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340" w:leader="none"/>
              </w:tabs>
              <w:suppressAutoHyphens w:val="true"/>
              <w:spacing w:lineRule="auto" w:line="240" w:before="0" w:after="0"/>
              <w:ind w:left="0" w:right="0" w:hanging="0"/>
              <w:contextualSpacing/>
              <w:jc w:val="left"/>
              <w:rPr>
                <w:color w:val="000000" w:themeColor="text1"/>
                <w:sz w:val="24"/>
              </w:rPr>
            </w:pPr>
            <w:r>
              <w:rPr>
                <w:rFonts w:eastAsia="Noto Serif CJK SC" w:cs="Lohit Devanagari"/>
                <w:color w:val="000000" w:themeColor="text1"/>
                <w:spacing w:val="0"/>
                <w:kern w:val="0"/>
                <w:sz w:val="24"/>
                <w:szCs w:val="20"/>
                <w:lang w:val="ru-RU" w:eastAsia="zh-CN" w:bidi="hi-IN"/>
              </w:rPr>
              <w:t>ГОСТ 23278-2014 Грунты. Методы полевых испытаний проницаемости;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340" w:leader="none"/>
              </w:tabs>
              <w:suppressAutoHyphens w:val="true"/>
              <w:spacing w:lineRule="auto" w:line="240" w:before="0" w:after="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rFonts w:eastAsia="Noto Serif CJK SC" w:cs="Lohit Devanagari"/>
                <w:color w:val="000000" w:themeColor="text1"/>
                <w:spacing w:val="0"/>
                <w:kern w:val="0"/>
                <w:sz w:val="24"/>
                <w:szCs w:val="20"/>
                <w:lang w:val="ru-RU" w:eastAsia="zh-CN" w:bidi="hi-IN"/>
              </w:rPr>
              <w:t>Постановление Правительства РФ от 19.01.2006 № 20 «Об инженерных изысканиях для подготовки проектной документации, строительства, реконструкции объектов капитального строительства (с изменениями на 15 сентября 2020 года)»;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08"/>
                <w:tab w:val="left" w:pos="340" w:leader="none"/>
              </w:tabs>
              <w:suppressAutoHyphens w:val="true"/>
              <w:spacing w:lineRule="auto" w:line="240" w:before="0" w:after="0"/>
              <w:ind w:left="0" w:right="0" w:hanging="0"/>
              <w:contextualSpacing/>
              <w:jc w:val="left"/>
              <w:rPr>
                <w:color w:val="000000" w:themeColor="text1"/>
                <w:sz w:val="24"/>
              </w:rPr>
            </w:pPr>
            <w:r>
              <w:rPr>
                <w:rFonts w:eastAsia="Noto Serif CJK SC" w:cs="Lohit Devanagari"/>
                <w:color w:val="000000" w:themeColor="text1"/>
                <w:spacing w:val="0"/>
                <w:kern w:val="0"/>
                <w:sz w:val="24"/>
                <w:szCs w:val="20"/>
                <w:lang w:val="ru-RU" w:eastAsia="zh-CN" w:bidi="hi-IN"/>
              </w:rPr>
              <w:t>СП 11-105-97 «Инженерно-геологические изыскания для строительства. Часть VI. Правила производства геофизических исследований».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Согласие с требованием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left="0" w:right="0" w:hanging="0"/>
              <w:jc w:val="center"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40" w:before="60" w:after="60"/>
              <w:ind w:left="72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20" w:after="0"/>
              <w:ind w:left="0" w:right="0" w:hanging="0"/>
              <w:jc w:val="both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Требования к ответственности и гарантиям подрядчика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2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Ответственность и гарантии подрядчика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В соответствии с условиями договора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Согласие с требованием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left="0" w:right="0" w:hanging="0"/>
              <w:jc w:val="center"/>
              <w:outlineLvl w:val="2"/>
              <w:rPr>
                <w:b w:val="false"/>
                <w:sz w:val="24"/>
              </w:rPr>
            </w:pPr>
            <w:r>
              <w:rPr>
                <w:b w:val="false"/>
                <w:sz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40" w:before="60" w:after="60"/>
              <w:ind w:left="72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2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Инженерно-геологические изыскания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 Исполнитель инженерно-геологических изысканий в рамках договорных обязательств выполняет сопровождение всех необходимых экспертиз и согласований до получения положительного заключения.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Согласие с требованием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left="0" w:right="0" w:hanging="0"/>
              <w:jc w:val="center"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40" w:before="60" w:after="60"/>
              <w:ind w:left="72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7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b/>
                <w:spacing w:val="0"/>
                <w:kern w:val="0"/>
                <w:sz w:val="24"/>
                <w:szCs w:val="20"/>
              </w:rPr>
              <w:t>Прочие требования к выполняемым работам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-//-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 w:val="false"/>
                <w:sz w:val="24"/>
              </w:rPr>
            </w:pPr>
            <w:r>
              <w:rPr>
                <w:b w:val="false"/>
                <w:spacing w:val="0"/>
                <w:kern w:val="0"/>
                <w:sz w:val="24"/>
                <w:szCs w:val="20"/>
              </w:rPr>
              <w:t>-//-</w:t>
            </w:r>
          </w:p>
        </w:tc>
      </w:tr>
      <w:tr>
        <w:trPr/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1"/>
                <w:numId w:val="13"/>
              </w:numPr>
              <w:suppressAutoHyphens w:val="true"/>
              <w:spacing w:lineRule="auto" w:line="240" w:before="60" w:after="60"/>
              <w:ind w:left="0" w:right="0" w:hanging="0"/>
              <w:contextualSpacing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  <w:tc>
          <w:tcPr>
            <w:tcW w:w="2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Требования к оценке и прогнозу возможных изменений природных и техногенных условий территории изысканий</w:t>
            </w: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 В материалах инженерных изысканий представить прогноз изменений инженерно-геологических,  условий участка строительства проектируемых сооружений в период строительства и эксплуатации с детальностью необходимой и достаточной для разработки проектных решений в соответствии с СП 47.13330.2016. В случае выявления неблагоприятных природных и техногенных условий площадки строительства, разработать программу мониторинга неблагоприятных природных и техногенных процессов.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left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Согласие с требованием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right="0" w:hanging="0"/>
              <w:jc w:val="center"/>
              <w:rPr>
                <w:b/>
                <w:sz w:val="24"/>
              </w:rPr>
            </w:pPr>
            <w:r>
              <w:rPr>
                <w:spacing w:val="0"/>
                <w:kern w:val="0"/>
                <w:sz w:val="24"/>
                <w:szCs w:val="20"/>
              </w:rPr>
              <w:t>-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left="0" w:right="0" w:hanging="0"/>
              <w:jc w:val="center"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4"/>
      <w:headerReference w:type="first" r:id="rId5"/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Arial">
    <w:charset w:val="01"/>
    <w:family w:val="roman"/>
    <w:pitch w:val="default"/>
  </w:font>
  <w:font w:name="TimesNewRomanPSMT">
    <w:charset w:val="01"/>
    <w:family w:val="roman"/>
    <w:pitch w:val="default"/>
  </w:font>
  <w:font w:name="Calibri">
    <w:charset w:val="01"/>
    <w:family w:val="roman"/>
    <w:pitch w:val="default"/>
  </w:font>
  <w:font w:name="Arial Unicode MS">
    <w:charset w:val="01"/>
    <w:family w:val="roman"/>
    <w:pitch w:val="default"/>
  </w:font>
  <w:font w:name="Verdana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Garamond">
    <w:charset w:val="01"/>
    <w:family w:val="roman"/>
    <w:pitch w:val="default"/>
  </w:font>
  <w:font w:name="Tahoma">
    <w:charset w:val="01"/>
    <w:family w:val="roman"/>
    <w:pitch w:val="default"/>
  </w:font>
  <w:font w:name="XO Thames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rFonts w:ascii="Times New Roman" w:hAnsi="Times New Roman"/>
        <w:color w:val="000000"/>
      </w:rPr>
    </w:lvl>
    <w:lvl w:ilvl="1">
      <w:start w:val="1"/>
      <w:pStyle w:val="Heading4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</w:rPr>
    </w:lvl>
    <w:lvl w:ilvl="2">
      <w:start w:val="1"/>
      <w:pStyle w:val="Heading3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127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7036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0"/>
        </w:tabs>
        <w:ind w:left="127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7036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-"/>
      <w:lvlJc w:val="left"/>
      <w:pPr>
        <w:tabs>
          <w:tab w:val="num" w:pos="0"/>
        </w:tabs>
        <w:ind w:left="127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7036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-"/>
      <w:lvlJc w:val="left"/>
      <w:pPr>
        <w:tabs>
          <w:tab w:val="num" w:pos="0"/>
        </w:tabs>
        <w:ind w:left="127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7036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-"/>
      <w:lvlJc w:val="left"/>
      <w:pPr>
        <w:tabs>
          <w:tab w:val="num" w:pos="0"/>
        </w:tabs>
        <w:ind w:left="127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7036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-"/>
      <w:lvlJc w:val="left"/>
      <w:pPr>
        <w:tabs>
          <w:tab w:val="num" w:pos="0"/>
        </w:tabs>
        <w:ind w:left="198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-"/>
      <w:lvlJc w:val="left"/>
      <w:pPr>
        <w:tabs>
          <w:tab w:val="num" w:pos="0"/>
        </w:tabs>
        <w:ind w:left="1276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7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34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8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5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7036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-"/>
      <w:lvlJc w:val="left"/>
      <w:pPr>
        <w:tabs>
          <w:tab w:val="num" w:pos="0"/>
        </w:tabs>
        <w:ind w:left="70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49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6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09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2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69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bullet"/>
      <w:lvlText w:val="-"/>
      <w:lvlJc w:val="left"/>
      <w:pPr>
        <w:tabs>
          <w:tab w:val="num" w:pos="0"/>
        </w:tabs>
        <w:ind w:left="9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3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30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5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2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667" w:hanging="360"/>
      </w:pPr>
      <w:rPr>
        <w:rFonts w:ascii="Wingdings" w:hAnsi="Wingdings" w:cs="Wingdings" w:hint="default"/>
      </w:rPr>
    </w:lvl>
  </w:abstractNum>
  <w:abstractNum w:abstractNumId="15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%5%6%7%8%9."/>
      <w:lvlJc w:val="left"/>
      <w:pPr>
        <w:tabs>
          <w:tab w:val="num" w:pos="0"/>
        </w:tabs>
        <w:ind w:left="4320" w:hanging="144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%5%6%7%8%9."/>
      <w:lvlJc w:val="left"/>
      <w:pPr>
        <w:tabs>
          <w:tab w:val="num" w:pos="0"/>
        </w:tabs>
        <w:ind w:left="4320" w:hanging="144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%5%6%7%8%9."/>
      <w:lvlJc w:val="left"/>
      <w:pPr>
        <w:tabs>
          <w:tab w:val="num" w:pos="0"/>
        </w:tabs>
        <w:ind w:left="4320" w:hanging="144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%5%6%7%8%9."/>
      <w:lvlJc w:val="left"/>
      <w:pPr>
        <w:tabs>
          <w:tab w:val="num" w:pos="0"/>
        </w:tabs>
        <w:ind w:left="4320" w:hanging="144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%5%6%7%8%9."/>
      <w:lvlJc w:val="left"/>
      <w:pPr>
        <w:tabs>
          <w:tab w:val="num" w:pos="0"/>
        </w:tabs>
        <w:ind w:left="4320" w:hanging="144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%5%6%7%8%9."/>
      <w:lvlJc w:val="left"/>
      <w:pPr>
        <w:tabs>
          <w:tab w:val="num" w:pos="0"/>
        </w:tabs>
        <w:ind w:left="4320" w:hanging="144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%5%6%7%8%9."/>
      <w:lvlJc w:val="left"/>
      <w:pPr>
        <w:tabs>
          <w:tab w:val="num" w:pos="0"/>
        </w:tabs>
        <w:ind w:left="4320" w:hanging="144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%5%6%7%8%9."/>
      <w:lvlJc w:val="left"/>
      <w:pPr>
        <w:tabs>
          <w:tab w:val="num" w:pos="0"/>
        </w:tabs>
        <w:ind w:left="4320" w:hanging="144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%5%6%7%8%9."/>
      <w:lvlJc w:val="left"/>
      <w:pPr>
        <w:tabs>
          <w:tab w:val="num" w:pos="0"/>
        </w:tabs>
        <w:ind w:left="4320" w:hanging="144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%5%6%7%8%9."/>
      <w:lvlJc w:val="left"/>
      <w:pPr>
        <w:tabs>
          <w:tab w:val="num" w:pos="0"/>
        </w:tabs>
        <w:ind w:left="4320" w:hanging="1440"/>
      </w:pPr>
      <w:rPr/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%5%6%7%8%9."/>
      <w:lvlJc w:val="left"/>
      <w:pPr>
        <w:tabs>
          <w:tab w:val="num" w:pos="0"/>
        </w:tabs>
        <w:ind w:left="4320" w:hanging="144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%5%6%7%8%9."/>
      <w:lvlJc w:val="left"/>
      <w:pPr>
        <w:tabs>
          <w:tab w:val="num" w:pos="0"/>
        </w:tabs>
        <w:ind w:left="4320" w:hanging="1440"/>
      </w:pPr>
      <w:rPr/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/>
        <w:rFonts w:ascii="Times New Roman" w:hAnsi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1.%2.%3.%4%5%6%7%8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%5%6%7%8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%5%6%7%8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%5%6%7%8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%5%6%7%8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%5%6%7%8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%5%6%7%8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%5%6%7%8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%5%6%7%8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%5%6%7%8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%5%6%7%8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%5%6%7%8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%5%6%7%8%9."/>
        <w:lvlJc w:val="left"/>
        <w:pPr>
          <w:tabs>
            <w:tab w:val="num" w:pos="0"/>
          </w:tabs>
          <w:ind w:left="4320" w:hanging="1440"/>
        </w:pPr>
        <w:rPr/>
      </w:lvl>
    </w:lvlOverride>
  </w:num>
  <w:num w:numId="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lvl w:ilvl="3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3">
      <w:startOverride w:val="1"/>
    </w:lvlOverride>
    <w:lvlOverride w:ilvl="4">
      <w:lvl w:ilvl="4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4">
      <w:startOverride w:val="1"/>
    </w:lvlOverride>
    <w:lvlOverride w:ilvl="5">
      <w:lvl w:ilvl="5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5">
      <w:startOverride w:val="1"/>
    </w:lvlOverride>
    <w:lvlOverride w:ilvl="6">
      <w:lvl w:ilvl="6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6">
      <w:startOverride w:val="1"/>
    </w:lvlOverride>
    <w:lvlOverride w:ilvl="7">
      <w:lvl w:ilvl="7">
        <w:start w:val="1"/>
        <w:numFmt w:val="decimal"/>
        <w:suff w:val="nothing"/>
        <w:lvlText w:val=""/>
        <w:lvlJc w:val="left"/>
        <w:pPr>
          <w:tabs>
            <w:tab w:val="num" w:pos="0"/>
          </w:tabs>
          <w:ind w:left="0" w:hanging="0"/>
        </w:pPr>
        <w:rPr/>
      </w:lvl>
    </w:lvlOverride>
    <w:lvlOverride w:ilvl="7">
      <w:startOverride w:val="1"/>
    </w:lvlOverride>
    <w:lvlOverride w:ilvl="8">
      <w:lvl w:ilvl="8">
        <w:start w:val="1"/>
        <w:numFmt w:val="decimal"/>
        <w:suff w:val="nothing"/>
        <w:lvlText w:val="%1.%2.%3.%4%5%6%7%8%9."/>
        <w:lvlJc w:val="left"/>
        <w:pPr>
          <w:tabs>
            <w:tab w:val="num" w:pos="0"/>
          </w:tabs>
          <w:ind w:left="4320" w:hanging="1440"/>
        </w:pPr>
        <w:rPr/>
      </w:lvl>
    </w:lvlOverride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Heading3"/>
    <w:uiPriority w:val="9"/>
    <w:qFormat/>
    <w:pPr>
      <w:widowControl/>
      <w:numPr>
        <w:ilvl w:val="0"/>
        <w:numId w:val="1"/>
      </w:numPr>
      <w:ind w:left="0" w:right="0" w:hanging="0"/>
      <w:jc w:val="center"/>
      <w:outlineLvl w:val="0"/>
    </w:pPr>
    <w:rPr>
      <w:sz w:val="28"/>
    </w:rPr>
  </w:style>
  <w:style w:type="paragraph" w:styleId="Heading2">
    <w:name w:val="Heading 2"/>
    <w:basedOn w:val="Heading4"/>
    <w:uiPriority w:val="9"/>
    <w:qFormat/>
    <w:pPr>
      <w:numPr>
        <w:ilvl w:val="0"/>
        <w:numId w:val="0"/>
      </w:numPr>
      <w:ind w:left="0" w:right="0" w:hanging="0"/>
    </w:pPr>
    <w:rPr/>
  </w:style>
  <w:style w:type="paragraph" w:styleId="Heading3">
    <w:name w:val="Heading 3"/>
    <w:basedOn w:val="Normal"/>
    <w:uiPriority w:val="9"/>
    <w:qFormat/>
    <w:pPr>
      <w:widowControl w:val="false"/>
      <w:numPr>
        <w:ilvl w:val="2"/>
        <w:numId w:val="1"/>
      </w:numPr>
      <w:spacing w:before="120" w:after="120"/>
      <w:outlineLvl w:val="2"/>
    </w:pPr>
    <w:rPr>
      <w:b/>
    </w:rPr>
  </w:style>
  <w:style w:type="paragraph" w:styleId="Heading4">
    <w:name w:val="Heading 4"/>
    <w:basedOn w:val="Heading3"/>
    <w:uiPriority w:val="9"/>
    <w:qFormat/>
    <w:pPr>
      <w:widowControl/>
      <w:numPr>
        <w:ilvl w:val="1"/>
        <w:numId w:val="1"/>
      </w:numPr>
      <w:outlineLvl w:val="1"/>
    </w:pPr>
    <w:rPr/>
  </w:style>
  <w:style w:type="paragraph" w:styleId="Heading5">
    <w:name w:val="Heading 5"/>
    <w:basedOn w:val="Normal"/>
    <w:uiPriority w:val="9"/>
    <w:qFormat/>
    <w:pPr>
      <w:widowControl/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uiPriority w:val="9"/>
    <w:qFormat/>
    <w:pPr>
      <w:keepNext w:val="true"/>
      <w:keepLines/>
      <w:widowControl/>
      <w:spacing w:before="200" w:after="0"/>
      <w:outlineLvl w:val="5"/>
    </w:pPr>
    <w:rPr>
      <w:rFonts w:ascii="Cambria" w:hAnsi="Cambria"/>
      <w:i/>
      <w:color w:val="243F60"/>
      <w:sz w:val="20"/>
    </w:rPr>
  </w:style>
  <w:style w:type="paragraph" w:styleId="Heading7">
    <w:name w:val="Heading 7"/>
    <w:basedOn w:val="Normal"/>
    <w:uiPriority w:val="9"/>
    <w:qFormat/>
    <w:pPr>
      <w:keepNext w:val="true"/>
      <w:keepLines/>
      <w:widowControl/>
      <w:spacing w:before="200" w:after="0"/>
      <w:outlineLvl w:val="6"/>
    </w:pPr>
    <w:rPr>
      <w:rFonts w:ascii="Cambria" w:hAnsi="Cambria"/>
      <w:i/>
      <w:color w:val="404040"/>
      <w:sz w:val="20"/>
    </w:rPr>
  </w:style>
  <w:style w:type="paragraph" w:styleId="Heading8">
    <w:name w:val="Heading 8"/>
    <w:basedOn w:val="Normal"/>
    <w:uiPriority w:val="9"/>
    <w:qFormat/>
    <w:pPr>
      <w:keepNext w:val="true"/>
      <w:keepLines/>
      <w:widowControl/>
      <w:spacing w:before="200" w:after="0"/>
      <w:outlineLvl w:val="7"/>
    </w:pPr>
    <w:rPr>
      <w:rFonts w:ascii="Cambria" w:hAnsi="Cambria"/>
      <w:color w:val="4F81BD"/>
      <w:sz w:val="20"/>
    </w:rPr>
  </w:style>
  <w:style w:type="paragraph" w:styleId="Heading9">
    <w:name w:val="Heading 9"/>
    <w:basedOn w:val="Normal"/>
    <w:uiPriority w:val="9"/>
    <w:qFormat/>
    <w:pPr>
      <w:widowControl/>
      <w:spacing w:before="240" w:after="60"/>
      <w:outlineLvl w:val="8"/>
    </w:pPr>
    <w:rPr>
      <w:rFonts w:ascii="Arial" w:hAnsi="Arial"/>
      <w:sz w:val="22"/>
    </w:rPr>
  </w:style>
  <w:style w:type="character" w:styleId="Strong">
    <w:name w:val="Strong"/>
    <w:qFormat/>
    <w:rPr>
      <w:b/>
    </w:rPr>
  </w:style>
  <w:style w:type="character" w:styleId="Fontstyle01">
    <w:name w:val="fontstyle01"/>
    <w:basedOn w:val="DefaultParagraphFont"/>
    <w:qFormat/>
    <w:rPr>
      <w:rFonts w:ascii="TimesNewRomanPSMT" w:hAnsi="TimesNewRomanPSMT"/>
      <w:b w:val="false"/>
      <w:i w:val="false"/>
      <w:color w:val="000000"/>
      <w:sz w:val="24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6">
    <w:name w:val="Заголовок 6 Знак"/>
    <w:qFormat/>
    <w:rPr>
      <w:rFonts w:ascii="Cambria" w:hAnsi="Cambria"/>
      <w:i/>
      <w:color w:val="243F60"/>
    </w:rPr>
  </w:style>
  <w:style w:type="character" w:styleId="E-mailSignature">
    <w:name w:val="E-mail Signature"/>
    <w:qFormat/>
    <w:rPr/>
  </w:style>
  <w:style w:type="character" w:styleId="Contents2">
    <w:name w:val="Contents 2"/>
    <w:qFormat/>
    <w:rPr>
      <w:b/>
      <w:sz w:val="20"/>
    </w:rPr>
  </w:style>
  <w:style w:type="character" w:styleId="NormalWeb">
    <w:name w:val="Normal (Web)"/>
    <w:qFormat/>
    <w:rPr/>
  </w:style>
  <w:style w:type="character" w:styleId="Annotationtext">
    <w:name w:val="annotation text"/>
    <w:qFormat/>
    <w:rPr>
      <w:sz w:val="20"/>
    </w:rPr>
  </w:style>
  <w:style w:type="character" w:styleId="ContentsHeading">
    <w:name w:val="Contents Heading"/>
    <w:basedOn w:val="Heading11"/>
    <w:qFormat/>
    <w:rPr>
      <w:rFonts w:ascii="Cambria" w:hAnsi="Cambria"/>
      <w:color w:val="365F91"/>
    </w:rPr>
  </w:style>
  <w:style w:type="character" w:styleId="Style">
    <w:name w:val="Текст концевой сноски Знак"/>
    <w:basedOn w:val="DefaultParagraphFont"/>
    <w:qFormat/>
    <w:rPr/>
  </w:style>
  <w:style w:type="character" w:styleId="2">
    <w:name w:val="Пункт2"/>
    <w:qFormat/>
    <w:rPr>
      <w:b/>
    </w:rPr>
  </w:style>
  <w:style w:type="character" w:styleId="Contents4">
    <w:name w:val="Contents 4"/>
    <w:qFormat/>
    <w:rPr>
      <w:sz w:val="20"/>
    </w:rPr>
  </w:style>
  <w:style w:type="character" w:styleId="Heading71">
    <w:name w:val="Heading 71"/>
    <w:qFormat/>
    <w:rPr>
      <w:rFonts w:ascii="Cambria" w:hAnsi="Cambria"/>
      <w:i/>
      <w:color w:val="404040"/>
      <w:sz w:val="20"/>
    </w:rPr>
  </w:style>
  <w:style w:type="character" w:styleId="FooterChar">
    <w:name w:val="Footer Char"/>
    <w:basedOn w:val="DefaultParagraphFont"/>
    <w:qFormat/>
    <w:rPr/>
  </w:style>
  <w:style w:type="character" w:styleId="21">
    <w:name w:val="Заголовок 2 Знак"/>
    <w:qFormat/>
    <w:rPr>
      <w:b/>
      <w:sz w:val="24"/>
    </w:rPr>
  </w:style>
  <w:style w:type="character" w:styleId="1">
    <w:name w:val="Название1"/>
    <w:qFormat/>
    <w:rPr/>
  </w:style>
  <w:style w:type="character" w:styleId="Contents6">
    <w:name w:val="Contents 6"/>
    <w:qFormat/>
    <w:rPr>
      <w:rFonts w:ascii="Calibri" w:hAnsi="Calibri" w:asciiTheme="minorAscii" w:hAnsiTheme="minorHAnsi"/>
      <w:sz w:val="20"/>
    </w:rPr>
  </w:style>
  <w:style w:type="character" w:styleId="Style1">
    <w:name w:val="Ссылка указателя"/>
    <w:qFormat/>
    <w:rPr/>
  </w:style>
  <w:style w:type="character" w:styleId="Contents7">
    <w:name w:val="Contents 7"/>
    <w:qFormat/>
    <w:rPr>
      <w:rFonts w:ascii="Calibri" w:hAnsi="Calibri" w:asciiTheme="minorAscii" w:hAnsiTheme="minorHAnsi"/>
      <w:sz w:val="20"/>
    </w:rPr>
  </w:style>
  <w:style w:type="character" w:styleId="11">
    <w:name w:val="УРОВЕНЬ_1. Знак"/>
    <w:qFormat/>
    <w:rPr>
      <w:caps/>
      <w:sz w:val="28"/>
    </w:rPr>
  </w:style>
  <w:style w:type="character" w:styleId="Indexheading1">
    <w:name w:val="index heading1"/>
    <w:basedOn w:val="Style6"/>
    <w:qFormat/>
    <w:rPr/>
  </w:style>
  <w:style w:type="character" w:styleId="BodyText3">
    <w:name w:val="Body Text 3"/>
    <w:qFormat/>
    <w:rPr>
      <w:sz w:val="16"/>
    </w:rPr>
  </w:style>
  <w:style w:type="character" w:styleId="12">
    <w:name w:val="Обычный (веб)1"/>
    <w:qFormat/>
    <w:rPr>
      <w:rFonts w:ascii="Arial Unicode MS" w:hAnsi="Arial Unicode MS"/>
    </w:rPr>
  </w:style>
  <w:style w:type="character" w:styleId="Style2">
    <w:name w:val="Символ концевой сноски"/>
    <w:basedOn w:val="DefaultParagraphFont"/>
    <w:qFormat/>
    <w:rPr>
      <w:vertAlign w:val="superscript"/>
    </w:rPr>
  </w:style>
  <w:style w:type="character" w:styleId="Style3">
    <w:name w:val="Знак Знак Знак Знак Знак Знак Знак Знак Знак"/>
    <w:qFormat/>
    <w:rPr>
      <w:rFonts w:ascii="Verdana" w:hAnsi="Verdana"/>
      <w:sz w:val="22"/>
    </w:rPr>
  </w:style>
  <w:style w:type="character" w:styleId="Style4">
    <w:name w:val="Основной текст Знак"/>
    <w:qFormat/>
    <w:rPr>
      <w:sz w:val="28"/>
    </w:rPr>
  </w:style>
  <w:style w:type="character" w:styleId="BodyText2">
    <w:name w:val="Body Text 2"/>
    <w:qFormat/>
    <w:rPr/>
  </w:style>
  <w:style w:type="character" w:styleId="BlockText">
    <w:name w:val="Block Text"/>
    <w:qFormat/>
    <w:rPr>
      <w:b/>
    </w:rPr>
  </w:style>
  <w:style w:type="character" w:styleId="Style5">
    <w:name w:val="Текст сноски Знак"/>
    <w:qFormat/>
    <w:rPr/>
  </w:style>
  <w:style w:type="character" w:styleId="Endnote">
    <w:name w:val="Endnote"/>
    <w:qFormat/>
    <w:rPr>
      <w:sz w:val="20"/>
    </w:rPr>
  </w:style>
  <w:style w:type="character" w:styleId="Heading31">
    <w:name w:val="Heading 31"/>
    <w:qFormat/>
    <w:rPr>
      <w:b/>
    </w:rPr>
  </w:style>
  <w:style w:type="character" w:styleId="CaptionChar">
    <w:name w:val="Caption Char"/>
    <w:qFormat/>
    <w:rPr/>
  </w:style>
  <w:style w:type="character" w:styleId="Emphasis">
    <w:name w:val="Emphasis"/>
    <w:qFormat/>
    <w:rPr>
      <w:i/>
    </w:rPr>
  </w:style>
  <w:style w:type="character" w:styleId="3">
    <w:name w:val="Знак Знак3 Знак Знак"/>
    <w:qFormat/>
    <w:rPr>
      <w:rFonts w:ascii="Verdana" w:hAnsi="Verdana"/>
      <w:sz w:val="22"/>
    </w:rPr>
  </w:style>
  <w:style w:type="character" w:styleId="Annotationsubject">
    <w:name w:val="annotation subject"/>
    <w:basedOn w:val="Annotationtext"/>
    <w:qFormat/>
    <w:rPr>
      <w:b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31">
    <w:name w:val="УРОВЕНЬ_Абзац_тип3 Знак"/>
    <w:qFormat/>
    <w:rPr>
      <w:sz w:val="26"/>
    </w:rPr>
  </w:style>
  <w:style w:type="character" w:styleId="Style6">
    <w:name w:val="Заголовок"/>
    <w:qFormat/>
    <w:rPr>
      <w:rFonts w:ascii="Liberation Sans" w:hAnsi="Liberation Sans"/>
      <w:sz w:val="28"/>
    </w:rPr>
  </w:style>
  <w:style w:type="character" w:styleId="EndnoteReference">
    <w:name w:val="Endnote Reference"/>
    <w:rPr>
      <w:vertAlign w:val="superscript"/>
    </w:rPr>
  </w:style>
  <w:style w:type="character" w:styleId="Heading91">
    <w:name w:val="Heading 91"/>
    <w:qFormat/>
    <w:rPr>
      <w:rFonts w:ascii="Arial" w:hAnsi="Arial"/>
      <w:sz w:val="22"/>
    </w:rPr>
  </w:style>
  <w:style w:type="character" w:styleId="Style7">
    <w:name w:val="Знак"/>
    <w:qFormat/>
    <w:rPr>
      <w:rFonts w:ascii="Verdana" w:hAnsi="Verdana"/>
      <w:sz w:val="20"/>
    </w:rPr>
  </w:style>
  <w:style w:type="character" w:styleId="NoSpacing">
    <w:name w:val="No Spacing"/>
    <w:qFormat/>
    <w:rPr/>
  </w:style>
  <w:style w:type="character" w:styleId="Style8">
    <w:name w:val="Подподпункт Знак"/>
    <w:qFormat/>
    <w:rPr>
      <w:sz w:val="26"/>
    </w:rPr>
  </w:style>
  <w:style w:type="character" w:styleId="Style9">
    <w:name w:val="Верхний и нижний колонтитулы"/>
    <w:qFormat/>
    <w:rPr/>
  </w:style>
  <w:style w:type="character" w:styleId="Hyperlink">
    <w:name w:val="Hyperlink"/>
    <w:rPr>
      <w:color w:val="0000FF"/>
      <w:u w:val="single"/>
    </w:rPr>
  </w:style>
  <w:style w:type="character" w:styleId="32">
    <w:name w:val="Основной текст с отступом 3 Знак"/>
    <w:qFormat/>
    <w:rPr>
      <w:sz w:val="16"/>
    </w:rPr>
  </w:style>
  <w:style w:type="character" w:styleId="13">
    <w:name w:val="Заголовок 1 Знак"/>
    <w:qFormat/>
    <w:rPr>
      <w:b/>
      <w:sz w:val="28"/>
    </w:rPr>
  </w:style>
  <w:style w:type="character" w:styleId="8">
    <w:name w:val="Заголовок 8 Знак"/>
    <w:qFormat/>
    <w:rPr>
      <w:rFonts w:ascii="Cambria" w:hAnsi="Cambria"/>
      <w:color w:val="4F81BD"/>
    </w:rPr>
  </w:style>
  <w:style w:type="character" w:styleId="IntenseQuote">
    <w:name w:val="Intense Quote"/>
    <w:qFormat/>
    <w:rPr>
      <w:rFonts w:ascii="Calibri" w:hAnsi="Calibri"/>
      <w:b/>
      <w:i/>
      <w:color w:val="4F81BD"/>
      <w:sz w:val="20"/>
    </w:rPr>
  </w:style>
  <w:style w:type="character" w:styleId="Style10">
    <w:name w:val="Приложение к регламенту"/>
    <w:qFormat/>
    <w:rPr/>
  </w:style>
  <w:style w:type="character" w:styleId="Style11">
    <w:name w:val="Абзац списка Знак"/>
    <w:qFormat/>
    <w:rPr>
      <w:sz w:val="24"/>
    </w:rPr>
  </w:style>
  <w:style w:type="character" w:styleId="Header1">
    <w:name w:val="Header1"/>
    <w:qFormat/>
    <w:rPr/>
  </w:style>
  <w:style w:type="character" w:styleId="IntenseQuoteChar">
    <w:name w:val="Intense Quote Char"/>
    <w:qFormat/>
    <w:rPr>
      <w:i/>
    </w:rPr>
  </w:style>
  <w:style w:type="character" w:styleId="Heading2Char">
    <w:name w:val="Heading 2 Char"/>
    <w:basedOn w:val="DefaultParagraphFont"/>
    <w:qFormat/>
    <w:rPr>
      <w:rFonts w:ascii="Arial" w:hAnsi="Arial"/>
      <w:sz w:val="34"/>
    </w:rPr>
  </w:style>
  <w:style w:type="character" w:styleId="IntenseEmphasis">
    <w:name w:val="Intense Emphasis"/>
    <w:qFormat/>
    <w:rPr>
      <w:b/>
      <w:i/>
      <w:color w:val="4F81BD"/>
    </w:rPr>
  </w:style>
  <w:style w:type="character" w:styleId="ListBullet4">
    <w:name w:val="List Bullet 4"/>
    <w:qFormat/>
    <w:rPr>
      <w:rFonts w:ascii="Garamond" w:hAnsi="Garamond"/>
    </w:rPr>
  </w:style>
  <w:style w:type="character" w:styleId="Style12">
    <w:name w:val="Колонтитулы"/>
    <w:qFormat/>
    <w:rPr/>
  </w:style>
  <w:style w:type="character" w:styleId="Style13">
    <w:name w:val="Верхний колонтитул Знак"/>
    <w:qFormat/>
    <w:rPr>
      <w:sz w:val="24"/>
    </w:rPr>
  </w:style>
  <w:style w:type="character" w:styleId="Style14">
    <w:name w:val="Пункт"/>
    <w:qFormat/>
    <w:rPr>
      <w:rFonts w:ascii="Arial" w:hAnsi="Arial"/>
      <w:b/>
      <w:i/>
    </w:rPr>
  </w:style>
  <w:style w:type="character" w:styleId="14">
    <w:name w:val="Стиль Заголовок 1 + по ширине"/>
    <w:basedOn w:val="Heading11"/>
    <w:qFormat/>
    <w:rPr>
      <w:rFonts w:ascii="Arial" w:hAnsi="Arial"/>
      <w:sz w:val="40"/>
    </w:rPr>
  </w:style>
  <w:style w:type="character" w:styleId="BalloonText">
    <w:name w:val="Balloon Text"/>
    <w:qFormat/>
    <w:rPr>
      <w:rFonts w:ascii="Tahoma" w:hAnsi="Tahoma"/>
      <w:sz w:val="16"/>
    </w:rPr>
  </w:style>
  <w:style w:type="character" w:styleId="Style15">
    <w:name w:val="Подпункт"/>
    <w:qFormat/>
    <w:rPr/>
  </w:style>
  <w:style w:type="character" w:styleId="Style16">
    <w:name w:val="Таблица текст"/>
    <w:qFormat/>
    <w:rPr/>
  </w:style>
  <w:style w:type="character" w:styleId="Heading3Char">
    <w:name w:val="Heading 3 Char"/>
    <w:basedOn w:val="DefaultParagraphFont"/>
    <w:qFormat/>
    <w:rPr>
      <w:rFonts w:ascii="Arial" w:hAnsi="Arial"/>
      <w:sz w:val="30"/>
    </w:rPr>
  </w:style>
  <w:style w:type="character" w:styleId="33">
    <w:name w:val="Шапка 3"/>
    <w:qFormat/>
    <w:rPr>
      <w:b/>
    </w:rPr>
  </w:style>
  <w:style w:type="character" w:styleId="Style17">
    <w:name w:val="Подподпункт"/>
    <w:basedOn w:val="Style15"/>
    <w:qFormat/>
    <w:rPr>
      <w:sz w:val="26"/>
    </w:rPr>
  </w:style>
  <w:style w:type="character" w:styleId="Annotationreference">
    <w:name w:val="annotation reference"/>
    <w:qFormat/>
    <w:rPr>
      <w:sz w:val="16"/>
    </w:rPr>
  </w:style>
  <w:style w:type="character" w:styleId="Contents3">
    <w:name w:val="Contents 3"/>
    <w:qFormat/>
    <w:rPr>
      <w:sz w:val="20"/>
    </w:rPr>
  </w:style>
  <w:style w:type="character" w:styleId="22">
    <w:name w:val="УРОВЕНЬ_Абзац_тип2"/>
    <w:basedOn w:val="ListParagraph"/>
    <w:qFormat/>
    <w:rPr>
      <w:sz w:val="26"/>
    </w:rPr>
  </w:style>
  <w:style w:type="character" w:styleId="Style18">
    <w:name w:val="УРОВЕНЬ_(а)"/>
    <w:basedOn w:val="ListParagraph"/>
    <w:qFormat/>
    <w:rPr>
      <w:sz w:val="26"/>
    </w:rPr>
  </w:style>
  <w:style w:type="character" w:styleId="23">
    <w:name w:val="Раздел положения 2"/>
    <w:qFormat/>
    <w:rPr>
      <w:b/>
    </w:rPr>
  </w:style>
  <w:style w:type="character" w:styleId="BodyTextIndent2">
    <w:name w:val="Body Text Indent 2"/>
    <w:qFormat/>
    <w:rPr/>
  </w:style>
  <w:style w:type="character" w:styleId="Style19">
    <w:name w:val="Подраздел раздела положения"/>
    <w:qFormat/>
    <w:rPr/>
  </w:style>
  <w:style w:type="character" w:styleId="Style20">
    <w:name w:val="Название Знак"/>
    <w:qFormat/>
    <w:rPr>
      <w:sz w:val="28"/>
    </w:rPr>
  </w:style>
  <w:style w:type="character" w:styleId="SubtitleChar">
    <w:name w:val="Subtitle Char"/>
    <w:basedOn w:val="DefaultParagraphFont"/>
    <w:qFormat/>
    <w:rPr>
      <w:sz w:val="24"/>
    </w:rPr>
  </w:style>
  <w:style w:type="character" w:styleId="Style21">
    <w:name w:val="Раздел положения"/>
    <w:qFormat/>
    <w:rPr>
      <w:b/>
      <w:sz w:val="32"/>
    </w:rPr>
  </w:style>
  <w:style w:type="character" w:styleId="Heading4Char">
    <w:name w:val="Heading 4 Char"/>
    <w:basedOn w:val="DefaultParagraphFont"/>
    <w:qFormat/>
    <w:rPr>
      <w:rFonts w:ascii="Arial" w:hAnsi="Arial"/>
      <w:b/>
      <w:sz w:val="26"/>
    </w:rPr>
  </w:style>
  <w:style w:type="character" w:styleId="Style22">
    <w:name w:val="Таблица шапка"/>
    <w:qFormat/>
    <w:rPr>
      <w:sz w:val="22"/>
    </w:rPr>
  </w:style>
  <w:style w:type="character" w:styleId="Style23">
    <w:name w:val="Название раздела инструкции"/>
    <w:qFormat/>
    <w:rPr>
      <w:b/>
    </w:rPr>
  </w:style>
  <w:style w:type="character" w:styleId="Style24">
    <w:name w:val="Колонтитул"/>
    <w:qFormat/>
    <w:rPr/>
  </w:style>
  <w:style w:type="character" w:styleId="Heading51">
    <w:name w:val="Heading 51"/>
    <w:qFormat/>
    <w:rPr>
      <w:b/>
      <w:i/>
      <w:sz w:val="26"/>
    </w:rPr>
  </w:style>
  <w:style w:type="character" w:styleId="-">
    <w:name w:val="УРОВЕНЬ_-"/>
    <w:basedOn w:val="ListParagraph"/>
    <w:qFormat/>
    <w:rPr>
      <w:sz w:val="26"/>
    </w:rPr>
  </w:style>
  <w:style w:type="character" w:styleId="7">
    <w:name w:val="Заголовок 7 Знак"/>
    <w:qFormat/>
    <w:rPr>
      <w:rFonts w:ascii="Cambria" w:hAnsi="Cambria"/>
      <w:i/>
      <w:color w:val="404040"/>
    </w:rPr>
  </w:style>
  <w:style w:type="character" w:styleId="HeaderChar">
    <w:name w:val="Header Char"/>
    <w:basedOn w:val="DefaultParagraphFont"/>
    <w:qFormat/>
    <w:rPr/>
  </w:style>
  <w:style w:type="character" w:styleId="15">
    <w:name w:val="Абзац списка1"/>
    <w:qFormat/>
    <w:rPr>
      <w:rFonts w:ascii="Calibri" w:hAnsi="Calibri"/>
      <w:sz w:val="22"/>
    </w:rPr>
  </w:style>
  <w:style w:type="character" w:styleId="24">
    <w:name w:val="Цитата 2 Знак"/>
    <w:qFormat/>
    <w:rPr>
      <w:rFonts w:ascii="Calibri" w:hAnsi="Calibri"/>
      <w:i/>
      <w:color w:val="000000"/>
    </w:rPr>
  </w:style>
  <w:style w:type="character" w:styleId="Heading11">
    <w:name w:val="Heading 11"/>
    <w:basedOn w:val="Heading31"/>
    <w:qFormat/>
    <w:rPr>
      <w:sz w:val="28"/>
    </w:rPr>
  </w:style>
  <w:style w:type="character" w:styleId="16">
    <w:name w:val="Шапка 1"/>
    <w:qFormat/>
    <w:rPr>
      <w:sz w:val="22"/>
    </w:rPr>
  </w:style>
  <w:style w:type="character" w:styleId="Textbody">
    <w:name w:val="Text body"/>
    <w:qFormat/>
    <w:rPr/>
  </w:style>
  <w:style w:type="character" w:styleId="9">
    <w:name w:val="Заголовок 9 Знак"/>
    <w:qFormat/>
    <w:rPr>
      <w:rFonts w:ascii="Arial" w:hAnsi="Arial"/>
      <w:sz w:val="22"/>
    </w:rPr>
  </w:style>
  <w:style w:type="character" w:styleId="Revision">
    <w:name w:val="Revision"/>
    <w:qFormat/>
    <w:rPr>
      <w:rFonts w:ascii="Times New Roman" w:hAnsi="Times New Roman"/>
      <w:color w:val="000000"/>
      <w:sz w:val="24"/>
    </w:rPr>
  </w:style>
  <w:style w:type="character" w:styleId="25">
    <w:name w:val="Основной текст (2)"/>
    <w:basedOn w:val="SubtitleChar"/>
    <w:qFormat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19"/>
      <w:u w:val="none"/>
    </w:rPr>
  </w:style>
  <w:style w:type="character" w:styleId="FootnoteTextChar">
    <w:name w:val="Footnote Text Char"/>
    <w:qFormat/>
    <w:rPr>
      <w:sz w:val="18"/>
    </w:rPr>
  </w:style>
  <w:style w:type="character" w:styleId="Footnote">
    <w:name w:val="Footnote"/>
    <w:qFormat/>
    <w:rPr>
      <w:sz w:val="20"/>
    </w:rPr>
  </w:style>
  <w:style w:type="character" w:styleId="Heading81">
    <w:name w:val="Heading 81"/>
    <w:qFormat/>
    <w:rPr>
      <w:rFonts w:ascii="Cambria" w:hAnsi="Cambria"/>
      <w:color w:val="4F81BD"/>
      <w:sz w:val="20"/>
    </w:rPr>
  </w:style>
  <w:style w:type="character" w:styleId="Textbodyindent">
    <w:name w:val="Text body indent"/>
    <w:qFormat/>
    <w:rPr/>
  </w:style>
  <w:style w:type="character" w:styleId="Contents1">
    <w:name w:val="Contents 1"/>
    <w:qFormat/>
    <w:rPr>
      <w:b/>
    </w:rPr>
  </w:style>
  <w:style w:type="character" w:styleId="DefaultParagraphFont">
    <w:name w:val="Default Paragraph Font"/>
    <w:qFormat/>
    <w:rPr/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Style25">
    <w:name w:val="Содержимое врезки"/>
    <w:qFormat/>
    <w:rPr/>
  </w:style>
  <w:style w:type="character" w:styleId="Heading7Char">
    <w:name w:val="Heading 7 Char"/>
    <w:basedOn w:val="DefaultParagraphFont"/>
    <w:qFormat/>
    <w:rPr>
      <w:rFonts w:ascii="Arial" w:hAnsi="Arial"/>
      <w:b/>
      <w:i/>
      <w:sz w:val="22"/>
    </w:rPr>
  </w:style>
  <w:style w:type="character" w:styleId="Quote">
    <w:name w:val="Quote"/>
    <w:qFormat/>
    <w:rPr>
      <w:rFonts w:ascii="Calibri" w:hAnsi="Calibri"/>
      <w:i/>
      <w:color w:val="000000"/>
      <w:sz w:val="20"/>
    </w:rPr>
  </w:style>
  <w:style w:type="character" w:styleId="ConsPlusNormal">
    <w:name w:val="ConsPlusNormal Знак"/>
    <w:qFormat/>
    <w:rPr>
      <w:rFonts w:ascii="Arial" w:hAnsi="Arial"/>
    </w:rPr>
  </w:style>
  <w:style w:type="character" w:styleId="List1">
    <w:name w:val="List1"/>
    <w:basedOn w:val="Textbody"/>
    <w:qFormat/>
    <w:rPr/>
  </w:style>
  <w:style w:type="character" w:styleId="Caption1">
    <w:name w:val="caption1"/>
    <w:qFormat/>
    <w:rPr>
      <w:b/>
      <w:color w:val="4F81BD"/>
      <w:sz w:val="18"/>
    </w:rPr>
  </w:style>
  <w:style w:type="character" w:styleId="Style26">
    <w:name w:val="Символ сноски"/>
    <w:basedOn w:val="DefaultParagraphFont"/>
    <w:qFormat/>
    <w:rPr>
      <w:vertAlign w:val="superscript"/>
    </w:rPr>
  </w:style>
  <w:style w:type="character" w:styleId="Contents9">
    <w:name w:val="Contents 9"/>
    <w:qFormat/>
    <w:rPr>
      <w:rFonts w:ascii="Calibri" w:hAnsi="Calibri" w:asciiTheme="minorAscii" w:hAnsiTheme="minorHAnsi"/>
      <w:sz w:val="20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4">
    <w:name w:val="Заголовок 4 Знак"/>
    <w:qFormat/>
    <w:rPr>
      <w:b/>
      <w:sz w:val="24"/>
    </w:rPr>
  </w:style>
  <w:style w:type="character" w:styleId="ConsPlusNormal1">
    <w:name w:val="ConsPlusNormal"/>
    <w:qFormat/>
    <w:rPr>
      <w:rFonts w:ascii="Arial" w:hAnsi="Arial"/>
      <w:color w:val="000000"/>
      <w:sz w:val="20"/>
    </w:rPr>
  </w:style>
  <w:style w:type="character" w:styleId="Contents8">
    <w:name w:val="Contents 8"/>
    <w:qFormat/>
    <w:rPr>
      <w:rFonts w:ascii="Calibri" w:hAnsi="Calibri" w:asciiTheme="minorAscii" w:hAnsiTheme="minorHAnsi"/>
      <w:sz w:val="20"/>
    </w:rPr>
  </w:style>
  <w:style w:type="character" w:styleId="Style27">
    <w:name w:val="Раздел регламента"/>
    <w:qFormat/>
    <w:rPr/>
  </w:style>
  <w:style w:type="character" w:styleId="34">
    <w:name w:val="УРОВЕНЬ_Абзац_тип3"/>
    <w:basedOn w:val="ListParagraph"/>
    <w:qFormat/>
    <w:rPr>
      <w:sz w:val="26"/>
    </w:rPr>
  </w:style>
  <w:style w:type="character" w:styleId="17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26">
    <w:name w:val="Заголовок 2 КВВ"/>
    <w:qFormat/>
    <w:rPr>
      <w:b/>
    </w:rPr>
  </w:style>
  <w:style w:type="character" w:styleId="Heading9Char">
    <w:name w:val="Heading 9 Char"/>
    <w:basedOn w:val="DefaultParagraphFont"/>
    <w:qFormat/>
    <w:rPr>
      <w:rFonts w:ascii="Arial" w:hAnsi="Arial"/>
      <w:i/>
      <w:sz w:val="21"/>
    </w:rPr>
  </w:style>
  <w:style w:type="character" w:styleId="Style28">
    <w:name w:val="Указатель"/>
    <w:qFormat/>
    <w:rPr/>
  </w:style>
  <w:style w:type="character" w:styleId="Style29">
    <w:name w:val="комментарий"/>
    <w:qFormat/>
    <w:rPr>
      <w:b/>
      <w:i/>
      <w:shd w:fill="FFFF99" w:val="clear"/>
    </w:rPr>
  </w:style>
  <w:style w:type="character" w:styleId="Heading8Char">
    <w:name w:val="Heading 8 Char"/>
    <w:basedOn w:val="DefaultParagraphFont"/>
    <w:qFormat/>
    <w:rPr>
      <w:rFonts w:ascii="Arial" w:hAnsi="Arial"/>
      <w:i/>
      <w:sz w:val="22"/>
    </w:rPr>
  </w:style>
  <w:style w:type="character" w:styleId="Heading1Char">
    <w:name w:val="Heading 1 Char"/>
    <w:basedOn w:val="DefaultParagraphFont"/>
    <w:qFormat/>
    <w:rPr>
      <w:rFonts w:ascii="Arial" w:hAnsi="Arial"/>
      <w:sz w:val="40"/>
    </w:rPr>
  </w:style>
  <w:style w:type="character" w:styleId="Style30">
    <w:name w:val="Текст примечания Знак"/>
    <w:qFormat/>
    <w:rPr/>
  </w:style>
  <w:style w:type="character" w:styleId="Style31">
    <w:name w:val="Электронная подпись Знак"/>
    <w:qFormat/>
    <w:rPr>
      <w:sz w:val="24"/>
    </w:rPr>
  </w:style>
  <w:style w:type="character" w:styleId="Tableoffigures">
    <w:name w:val="table of figures"/>
    <w:qFormat/>
    <w:rPr/>
  </w:style>
  <w:style w:type="character" w:styleId="Footer1">
    <w:name w:val="Footer1"/>
    <w:qFormat/>
    <w:rPr/>
  </w:style>
  <w:style w:type="character" w:styleId="Contents5">
    <w:name w:val="Contents 5"/>
    <w:qFormat/>
    <w:rPr>
      <w:rFonts w:ascii="Calibri" w:hAnsi="Calibri" w:asciiTheme="minorAscii" w:hAnsiTheme="minorHAnsi"/>
      <w:sz w:val="20"/>
    </w:rPr>
  </w:style>
  <w:style w:type="character" w:styleId="Heading6Char">
    <w:name w:val="Heading 6 Char"/>
    <w:basedOn w:val="DefaultParagraphFont"/>
    <w:qFormat/>
    <w:rPr>
      <w:rFonts w:ascii="Arial" w:hAnsi="Arial"/>
      <w:b/>
      <w:sz w:val="22"/>
    </w:rPr>
  </w:style>
  <w:style w:type="character" w:styleId="FootnoteReference">
    <w:name w:val="Footnote Reference"/>
    <w:rPr>
      <w:vertAlign w:val="superscript"/>
    </w:rPr>
  </w:style>
  <w:style w:type="character" w:styleId="Blk">
    <w:name w:val="blk"/>
    <w:qFormat/>
    <w:rPr/>
  </w:style>
  <w:style w:type="character" w:styleId="SubtleEmphasis">
    <w:name w:val="Subtle Emphasis"/>
    <w:qFormat/>
    <w:rPr>
      <w:i/>
      <w:color w:val="808080"/>
    </w:rPr>
  </w:style>
  <w:style w:type="character" w:styleId="27">
    <w:name w:val="Пункт2 Знак"/>
    <w:qFormat/>
    <w:rPr>
      <w:b/>
      <w:sz w:val="28"/>
    </w:rPr>
  </w:style>
  <w:style w:type="character" w:styleId="18">
    <w:name w:val="Подпункт Знак1"/>
    <w:qFormat/>
    <w:rPr>
      <w:sz w:val="28"/>
    </w:rPr>
  </w:style>
  <w:style w:type="character" w:styleId="19">
    <w:name w:val="УРОВЕНЬ_1."/>
    <w:basedOn w:val="ListParagraph"/>
    <w:qFormat/>
    <w:rPr>
      <w:caps/>
      <w:sz w:val="28"/>
    </w:rPr>
  </w:style>
  <w:style w:type="character" w:styleId="35">
    <w:name w:val="Заголовок 3 Знак"/>
    <w:qFormat/>
    <w:rPr>
      <w:b/>
      <w:sz w:val="24"/>
    </w:rPr>
  </w:style>
  <w:style w:type="character" w:styleId="IntenseReference">
    <w:name w:val="Intense Reference"/>
    <w:qFormat/>
    <w:rPr>
      <w:b/>
      <w:smallCaps/>
      <w:color w:val="C0504D"/>
      <w:spacing w:val="5"/>
      <w:u w:val="single"/>
    </w:rPr>
  </w:style>
  <w:style w:type="character" w:styleId="Style32">
    <w:name w:val="Выделенная цитата Знак"/>
    <w:qFormat/>
    <w:rPr>
      <w:rFonts w:ascii="Calibri" w:hAnsi="Calibri"/>
      <w:b/>
      <w:i/>
      <w:color w:val="4F81BD"/>
    </w:rPr>
  </w:style>
  <w:style w:type="character" w:styleId="Subtitle1">
    <w:name w:val="Subtitle1"/>
    <w:qFormat/>
    <w:rPr>
      <w:rFonts w:ascii="Cambria" w:hAnsi="Cambria"/>
      <w:i/>
      <w:color w:val="4F81BD"/>
      <w:spacing w:val="15"/>
    </w:rPr>
  </w:style>
  <w:style w:type="character" w:styleId="TitleChar">
    <w:name w:val="Title Char"/>
    <w:basedOn w:val="DefaultParagraphFont"/>
    <w:qFormat/>
    <w:rPr>
      <w:sz w:val="48"/>
    </w:rPr>
  </w:style>
  <w:style w:type="character" w:styleId="36">
    <w:name w:val="Нумерованный список ур3"/>
    <w:qFormat/>
    <w:rPr>
      <w:rFonts w:ascii="Garamond" w:hAnsi="Garamond"/>
    </w:rPr>
  </w:style>
  <w:style w:type="character" w:styleId="Caption2">
    <w:name w:val="Caption2"/>
    <w:qFormat/>
    <w:rPr>
      <w:i/>
      <w:sz w:val="24"/>
    </w:rPr>
  </w:style>
  <w:style w:type="character" w:styleId="Style33">
    <w:name w:val="Таблица"/>
    <w:qFormat/>
    <w:rPr>
      <w:b/>
    </w:rPr>
  </w:style>
  <w:style w:type="character" w:styleId="28">
    <w:name w:val="Шапка 2"/>
    <w:qFormat/>
    <w:rPr>
      <w:b/>
      <w:sz w:val="22"/>
    </w:rPr>
  </w:style>
  <w:style w:type="character" w:styleId="Title1">
    <w:name w:val="Title1"/>
    <w:qFormat/>
    <w:rPr>
      <w:sz w:val="48"/>
    </w:rPr>
  </w:style>
  <w:style w:type="character" w:styleId="5">
    <w:name w:val="Заголовок 5 Знак"/>
    <w:qFormat/>
    <w:rPr>
      <w:b/>
      <w:i/>
      <w:sz w:val="26"/>
    </w:rPr>
  </w:style>
  <w:style w:type="character" w:styleId="Heading41">
    <w:name w:val="Heading 41"/>
    <w:basedOn w:val="Heading31"/>
    <w:qFormat/>
    <w:rPr/>
  </w:style>
  <w:style w:type="character" w:styleId="BookTitle">
    <w:name w:val="Book Title"/>
    <w:qFormat/>
    <w:rPr>
      <w:b/>
      <w:smallCaps/>
      <w:spacing w:val="5"/>
    </w:rPr>
  </w:style>
  <w:style w:type="character" w:styleId="Style34">
    <w:name w:val="Подзаголовок Знак"/>
    <w:qFormat/>
    <w:rPr>
      <w:rFonts w:ascii="Cambria" w:hAnsi="Cambria"/>
      <w:i/>
      <w:color w:val="4F81BD"/>
      <w:spacing w:val="15"/>
      <w:sz w:val="24"/>
    </w:rPr>
  </w:style>
  <w:style w:type="character" w:styleId="Style35">
    <w:name w:val="УРОВЕНЬ_Подпись"/>
    <w:basedOn w:val="ListParagraph"/>
    <w:qFormat/>
    <w:rPr>
      <w:sz w:val="26"/>
    </w:rPr>
  </w:style>
  <w:style w:type="character" w:styleId="Heading21">
    <w:name w:val="Heading 21"/>
    <w:basedOn w:val="Heading41"/>
    <w:qFormat/>
    <w:rPr/>
  </w:style>
  <w:style w:type="character" w:styleId="ListParagraph">
    <w:name w:val="List Paragraph"/>
    <w:qFormat/>
    <w:rPr/>
  </w:style>
  <w:style w:type="character" w:styleId="29">
    <w:name w:val="Нумерованный список ур2"/>
    <w:qFormat/>
    <w:rPr>
      <w:rFonts w:ascii="Garamond" w:hAnsi="Garamond"/>
    </w:rPr>
  </w:style>
  <w:style w:type="character" w:styleId="Heading5Char">
    <w:name w:val="Heading 5 Char"/>
    <w:basedOn w:val="DefaultParagraphFont"/>
    <w:qFormat/>
    <w:rPr>
      <w:rFonts w:ascii="Arial" w:hAnsi="Arial"/>
      <w:b/>
      <w:sz w:val="24"/>
    </w:rPr>
  </w:style>
  <w:style w:type="character" w:styleId="QuoteChar">
    <w:name w:val="Quote Char"/>
    <w:qFormat/>
    <w:rPr>
      <w:i/>
    </w:rPr>
  </w:style>
  <w:style w:type="character" w:styleId="EndnoteTextChar">
    <w:name w:val="Endnote Text Char"/>
    <w:qFormat/>
    <w:rPr>
      <w:sz w:val="20"/>
    </w:rPr>
  </w:style>
  <w:style w:type="character" w:styleId="BodyTextIndent3">
    <w:name w:val="Body Text Indent 3"/>
    <w:qFormat/>
    <w:rPr>
      <w:sz w:val="16"/>
    </w:rPr>
  </w:style>
  <w:style w:type="character" w:styleId="Heading61">
    <w:name w:val="Heading 61"/>
    <w:qFormat/>
    <w:rPr>
      <w:rFonts w:ascii="Cambria" w:hAnsi="Cambria"/>
      <w:i/>
      <w:color w:val="243F60"/>
      <w:sz w:val="20"/>
    </w:rPr>
  </w:style>
  <w:style w:type="paragraph" w:styleId="110">
    <w:name w:val="Заголовок1"/>
    <w:basedOn w:val="Normal"/>
    <w:next w:val="BodyText"/>
    <w:qFormat/>
    <w:pPr>
      <w:keepNext w:val="true"/>
      <w:widowControl/>
      <w:spacing w:before="240" w:after="120"/>
    </w:pPr>
    <w:rPr>
      <w:rFonts w:ascii="Liberation Sans" w:hAnsi="Liberation Sans"/>
      <w:sz w:val="28"/>
    </w:rPr>
  </w:style>
  <w:style w:type="paragraph" w:styleId="BodyText">
    <w:name w:val="Body Text"/>
    <w:basedOn w:val="Normal"/>
    <w:pPr>
      <w:widowControl/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widowControl/>
      <w:spacing w:before="120" w:after="120"/>
    </w:pPr>
    <w:rPr>
      <w:i/>
      <w:sz w:val="24"/>
    </w:rPr>
  </w:style>
  <w:style w:type="paragraph" w:styleId="111">
    <w:name w:val="Указатель1"/>
    <w:basedOn w:val="Normal"/>
    <w:qFormat/>
    <w:pPr/>
    <w:rPr/>
  </w:style>
  <w:style w:type="paragraph" w:styleId="Strong1">
    <w:name w:val="Strong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Fontstyle011">
    <w:name w:val="fontstyle011"/>
    <w:basedOn w:val="DefaultParagraphFont1"/>
    <w:qFormat/>
    <w:pPr/>
    <w:rPr>
      <w:rFonts w:ascii="TimesNewRomanPSMT" w:hAnsi="TimesNewRomanPSMT"/>
      <w:b w:val="false"/>
      <w:i w:val="false"/>
      <w:color w:val="000000"/>
      <w:sz w:val="24"/>
    </w:rPr>
  </w:style>
  <w:style w:type="paragraph" w:styleId="EndnoteCharacters1">
    <w:name w:val="Endnote Characters1"/>
    <w:basedOn w:val="DefaultParagraphFont1"/>
    <w:qFormat/>
    <w:pPr/>
    <w:rPr>
      <w:vertAlign w:val="superscript"/>
    </w:rPr>
  </w:style>
  <w:style w:type="paragraph" w:styleId="61">
    <w:name w:val="Заголовок 6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mbria" w:hAnsi="Cambria" w:eastAsia="Noto Serif CJK SC" w:cs="Lohit Devanagari"/>
      <w:i/>
      <w:color w:val="243F60"/>
      <w:spacing w:val="0"/>
      <w:kern w:val="0"/>
      <w:sz w:val="20"/>
      <w:szCs w:val="20"/>
      <w:lang w:val="ru-RU" w:eastAsia="zh-CN" w:bidi="hi-IN"/>
    </w:rPr>
  </w:style>
  <w:style w:type="paragraph" w:styleId="E-mailSignature1">
    <w:name w:val="E-mail Signature1"/>
    <w:basedOn w:val="Normal"/>
    <w:qFormat/>
    <w:pPr/>
    <w:rPr/>
  </w:style>
  <w:style w:type="paragraph" w:styleId="TOC2">
    <w:name w:val="TOC 2"/>
    <w:basedOn w:val="Normal"/>
    <w:uiPriority w:val="39"/>
    <w:pPr>
      <w:widowControl/>
      <w:spacing w:before="240" w:after="0"/>
    </w:pPr>
    <w:rPr>
      <w:b/>
      <w:sz w:val="20"/>
    </w:rPr>
  </w:style>
  <w:style w:type="paragraph" w:styleId="NormalWeb1">
    <w:name w:val="Normal (Web)1"/>
    <w:basedOn w:val="Normal"/>
    <w:qFormat/>
    <w:pPr>
      <w:widowControl/>
      <w:spacing w:beforeAutospacing="1" w:afterAutospacing="1"/>
    </w:pPr>
    <w:rPr/>
  </w:style>
  <w:style w:type="paragraph" w:styleId="Annotationtext1">
    <w:name w:val="annotation text1"/>
    <w:basedOn w:val="Normal"/>
    <w:qFormat/>
    <w:pPr/>
    <w:rPr>
      <w:sz w:val="20"/>
    </w:rPr>
  </w:style>
  <w:style w:type="paragraph" w:styleId="IndexHeading">
    <w:name w:val="Index Heading"/>
    <w:basedOn w:val="110"/>
    <w:pPr/>
    <w:rPr/>
  </w:style>
  <w:style w:type="paragraph" w:styleId="TOCHeading">
    <w:name w:val="TOC Heading"/>
    <w:basedOn w:val="Heading1"/>
    <w:qFormat/>
    <w:pPr>
      <w:keepLines/>
      <w:widowControl/>
      <w:numPr>
        <w:ilvl w:val="0"/>
        <w:numId w:val="0"/>
      </w:numPr>
      <w:spacing w:before="480" w:after="120"/>
      <w:ind w:left="0" w:right="0" w:hanging="0"/>
    </w:pPr>
    <w:rPr>
      <w:rFonts w:ascii="Cambria" w:hAnsi="Cambria"/>
      <w:color w:val="365F91"/>
    </w:rPr>
  </w:style>
  <w:style w:type="paragraph" w:styleId="112">
    <w:name w:val="Текст концевой сноски Знак1"/>
    <w:basedOn w:val="DefaultParagraphFont1"/>
    <w:qFormat/>
    <w:pPr/>
    <w:rPr/>
  </w:style>
  <w:style w:type="paragraph" w:styleId="211">
    <w:name w:val="Пункт21"/>
    <w:basedOn w:val="Normal"/>
    <w:qFormat/>
    <w:pPr>
      <w:keepNext w:val="true"/>
      <w:widowControl/>
      <w:tabs>
        <w:tab w:val="clear" w:pos="708"/>
        <w:tab w:val="left" w:pos="1134" w:leader="none"/>
      </w:tabs>
      <w:spacing w:before="240" w:after="120"/>
      <w:ind w:left="1134" w:right="0" w:hanging="1134"/>
      <w:outlineLvl w:val="2"/>
    </w:pPr>
    <w:rPr>
      <w:b/>
    </w:rPr>
  </w:style>
  <w:style w:type="paragraph" w:styleId="TOC4">
    <w:name w:val="TOC 4"/>
    <w:basedOn w:val="Normal"/>
    <w:uiPriority w:val="39"/>
    <w:pPr>
      <w:widowControl/>
      <w:ind w:left="560" w:right="0" w:hanging="0"/>
    </w:pPr>
    <w:rPr>
      <w:sz w:val="20"/>
    </w:rPr>
  </w:style>
  <w:style w:type="paragraph" w:styleId="FooterChar1">
    <w:name w:val="Footer Char1"/>
    <w:basedOn w:val="DefaultParagraphFont1"/>
    <w:qFormat/>
    <w:pPr/>
    <w:rPr/>
  </w:style>
  <w:style w:type="paragraph" w:styleId="212">
    <w:name w:val="Заголовок 2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113">
    <w:name w:val="Название11"/>
    <w:basedOn w:val="Normal"/>
    <w:qFormat/>
    <w:pPr>
      <w:widowControl/>
      <w:jc w:val="center"/>
    </w:pPr>
    <w:rPr/>
  </w:style>
  <w:style w:type="paragraph" w:styleId="TOC6">
    <w:name w:val="TOC 6"/>
    <w:basedOn w:val="Normal"/>
    <w:uiPriority w:val="39"/>
    <w:pPr>
      <w:widowControl/>
      <w:ind w:left="1120" w:right="0" w:hanging="0"/>
    </w:pPr>
    <w:rPr>
      <w:rFonts w:ascii="Calibri" w:hAnsi="Calibri" w:asciiTheme="minorAscii" w:hAnsiTheme="minorHAnsi"/>
      <w:sz w:val="20"/>
    </w:rPr>
  </w:style>
  <w:style w:type="paragraph" w:styleId="114">
    <w:name w:val="Ссылка указателя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OC7">
    <w:name w:val="TOC 7"/>
    <w:basedOn w:val="Normal"/>
    <w:uiPriority w:val="39"/>
    <w:pPr>
      <w:widowControl/>
      <w:ind w:left="1400" w:right="0" w:hanging="0"/>
    </w:pPr>
    <w:rPr>
      <w:rFonts w:ascii="Calibri" w:hAnsi="Calibri" w:asciiTheme="minorAscii" w:hAnsiTheme="minorHAnsi"/>
      <w:sz w:val="20"/>
    </w:rPr>
  </w:style>
  <w:style w:type="paragraph" w:styleId="115">
    <w:name w:val="УРОВЕНЬ_1.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aps/>
      <w:color w:val="000000"/>
      <w:spacing w:val="0"/>
      <w:kern w:val="0"/>
      <w:sz w:val="28"/>
      <w:szCs w:val="20"/>
      <w:lang w:val="ru-RU" w:eastAsia="zh-CN" w:bidi="hi-IN"/>
    </w:rPr>
  </w:style>
  <w:style w:type="paragraph" w:styleId="Indexheading2">
    <w:name w:val="index heading2"/>
    <w:basedOn w:val="110"/>
    <w:qFormat/>
    <w:pPr/>
    <w:rPr/>
  </w:style>
  <w:style w:type="paragraph" w:styleId="BodyText31">
    <w:name w:val="Body Text 31"/>
    <w:basedOn w:val="Normal"/>
    <w:qFormat/>
    <w:pPr>
      <w:widowControl/>
      <w:spacing w:before="0" w:after="120"/>
    </w:pPr>
    <w:rPr>
      <w:sz w:val="16"/>
    </w:rPr>
  </w:style>
  <w:style w:type="paragraph" w:styleId="116">
    <w:name w:val="Обычный (веб)11"/>
    <w:basedOn w:val="Normal"/>
    <w:qFormat/>
    <w:pPr>
      <w:widowControl/>
      <w:spacing w:beforeAutospacing="1" w:afterAutospacing="1"/>
    </w:pPr>
    <w:rPr>
      <w:rFonts w:ascii="Arial Unicode MS" w:hAnsi="Arial Unicode MS"/>
    </w:rPr>
  </w:style>
  <w:style w:type="paragraph" w:styleId="117">
    <w:name w:val="Символ концевой сноски1"/>
    <w:basedOn w:val="DefaultParagraphFont1"/>
    <w:qFormat/>
    <w:pPr/>
    <w:rPr>
      <w:vertAlign w:val="superscript"/>
    </w:rPr>
  </w:style>
  <w:style w:type="paragraph" w:styleId="118">
    <w:name w:val="Знак Знак Знак Знак Знак Знак Знак Знак Знак1"/>
    <w:basedOn w:val="Normal"/>
    <w:qFormat/>
    <w:pPr>
      <w:widowControl/>
      <w:spacing w:lineRule="exact" w:line="240" w:before="0" w:after="160"/>
      <w:jc w:val="both"/>
    </w:pPr>
    <w:rPr>
      <w:rFonts w:ascii="Verdana" w:hAnsi="Verdana"/>
      <w:sz w:val="22"/>
    </w:rPr>
  </w:style>
  <w:style w:type="paragraph" w:styleId="119">
    <w:name w:val="Основной текст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21">
    <w:name w:val="Body Text 21"/>
    <w:basedOn w:val="Normal"/>
    <w:qFormat/>
    <w:pPr>
      <w:widowControl/>
      <w:spacing w:lineRule="auto" w:line="480" w:before="0" w:after="120"/>
    </w:pPr>
    <w:rPr/>
  </w:style>
  <w:style w:type="paragraph" w:styleId="BlockText1">
    <w:name w:val="Block Text1"/>
    <w:basedOn w:val="Normal"/>
    <w:qFormat/>
    <w:pPr>
      <w:widowControl/>
      <w:ind w:left="-567" w:right="-766" w:hanging="0"/>
      <w:jc w:val="center"/>
    </w:pPr>
    <w:rPr>
      <w:b/>
    </w:rPr>
  </w:style>
  <w:style w:type="paragraph" w:styleId="120">
    <w:name w:val="Текст сноски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1">
    <w:name w:val="Endnote1"/>
    <w:basedOn w:val="Normal"/>
    <w:qFormat/>
    <w:pPr/>
    <w:rPr>
      <w:sz w:val="20"/>
    </w:rPr>
  </w:style>
  <w:style w:type="paragraph" w:styleId="CaptionChar1">
    <w:name w:val="Caption Char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36">
    <w:name w:val="Выделение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311">
    <w:name w:val="Знак Знак3 Знак Знак1"/>
    <w:basedOn w:val="Normal"/>
    <w:qFormat/>
    <w:pPr>
      <w:widowControl/>
      <w:spacing w:lineRule="exact" w:line="240" w:before="0" w:after="160"/>
      <w:jc w:val="both"/>
    </w:pPr>
    <w:rPr>
      <w:rFonts w:ascii="Verdana" w:hAnsi="Verdana"/>
      <w:sz w:val="22"/>
    </w:rPr>
  </w:style>
  <w:style w:type="paragraph" w:styleId="Annotationsubject1">
    <w:name w:val="annotation subject1"/>
    <w:basedOn w:val="Annotationtext1"/>
    <w:qFormat/>
    <w:pPr/>
    <w:rPr>
      <w:b/>
    </w:rPr>
  </w:style>
  <w:style w:type="paragraph" w:styleId="SubtleReference1">
    <w:name w:val="Subtle Reference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smallCaps/>
      <w:color w:val="C0504D"/>
      <w:spacing w:val="0"/>
      <w:kern w:val="0"/>
      <w:sz w:val="20"/>
      <w:szCs w:val="20"/>
      <w:u w:val="single"/>
      <w:lang w:val="ru-RU" w:eastAsia="zh-CN" w:bidi="hi-IN"/>
    </w:rPr>
  </w:style>
  <w:style w:type="paragraph" w:styleId="312">
    <w:name w:val="УРОВЕНЬ_Абзац_тип3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Style37">
    <w:name w:val="Привязка концевой сноски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121">
    <w:name w:val="Знак1"/>
    <w:basedOn w:val="Normal"/>
    <w:qFormat/>
    <w:pPr>
      <w:widowControl/>
      <w:spacing w:lineRule="exact" w:line="240" w:before="0" w:after="160"/>
    </w:pPr>
    <w:rPr>
      <w:rFonts w:ascii="Verdana" w:hAnsi="Verdana"/>
      <w:sz w:val="20"/>
    </w:rPr>
  </w:style>
  <w:style w:type="paragraph" w:styleId="NoSpacing1">
    <w:name w:val="No Spacing1"/>
    <w:basedOn w:val="Normal"/>
    <w:qFormat/>
    <w:pPr>
      <w:widowControl/>
      <w:spacing w:lineRule="auto" w:line="360"/>
    </w:pPr>
    <w:rPr/>
  </w:style>
  <w:style w:type="paragraph" w:styleId="122">
    <w:name w:val="Подподпункт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6"/>
      <w:szCs w:val="20"/>
      <w:lang w:val="ru-RU" w:eastAsia="zh-CN" w:bidi="hi-IN"/>
    </w:rPr>
  </w:style>
  <w:style w:type="paragraph" w:styleId="123">
    <w:name w:val="Верхний и нижний колонтитулы1"/>
    <w:basedOn w:val="Normal"/>
    <w:qFormat/>
    <w:pPr/>
    <w:rPr/>
  </w:style>
  <w:style w:type="paragraph" w:styleId="-1">
    <w:name w:val="Интернет-ссылка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80"/>
      <w:spacing w:val="0"/>
      <w:kern w:val="0"/>
      <w:sz w:val="20"/>
      <w:szCs w:val="20"/>
      <w:u w:val="single"/>
      <w:lang w:val="ru-RU" w:eastAsia="zh-CN" w:bidi="hi-IN"/>
    </w:rPr>
  </w:style>
  <w:style w:type="paragraph" w:styleId="313">
    <w:name w:val="Основной текст с отступом 3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16"/>
      <w:szCs w:val="20"/>
      <w:lang w:val="ru-RU" w:eastAsia="zh-CN" w:bidi="hi-IN"/>
    </w:rPr>
  </w:style>
  <w:style w:type="paragraph" w:styleId="1110">
    <w:name w:val="Заголовок 1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81">
    <w:name w:val="Заголовок 8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mbria" w:hAnsi="Cambria" w:eastAsia="Noto Serif CJK SC" w:cs="Lohit Devanagari"/>
      <w:color w:val="4F81BD"/>
      <w:spacing w:val="0"/>
      <w:kern w:val="0"/>
      <w:sz w:val="20"/>
      <w:szCs w:val="20"/>
      <w:lang w:val="ru-RU" w:eastAsia="zh-CN" w:bidi="hi-IN"/>
    </w:rPr>
  </w:style>
  <w:style w:type="paragraph" w:styleId="IntenseQuote1">
    <w:name w:val="Intense Quote1"/>
    <w:basedOn w:val="Normal"/>
    <w:qFormat/>
    <w:pPr>
      <w:widowControl/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/>
      <w:b/>
      <w:i/>
      <w:color w:val="4F81BD"/>
      <w:sz w:val="20"/>
    </w:rPr>
  </w:style>
  <w:style w:type="paragraph" w:styleId="124">
    <w:name w:val="Приложение к регламенту1"/>
    <w:basedOn w:val="Normal"/>
    <w:qFormat/>
    <w:pPr>
      <w:widowControl/>
      <w:jc w:val="right"/>
    </w:pPr>
    <w:rPr/>
  </w:style>
  <w:style w:type="paragraph" w:styleId="125">
    <w:name w:val="Абзац списка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26">
    <w:name w:val="Колонтитул1"/>
    <w:qFormat/>
    <w:pPr>
      <w:widowControl/>
      <w:suppressAutoHyphens w:val="true"/>
      <w:bidi w:val="0"/>
      <w:spacing w:lineRule="auto" w:line="240" w:before="0" w:after="0"/>
      <w:ind w:left="0" w:right="0" w:hanging="0"/>
      <w:jc w:val="both"/>
    </w:pPr>
    <w:rPr>
      <w:rFonts w:ascii="XO Thames" w:hAnsi="XO Thames" w:eastAsia="Noto Serif CJK SC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IntenseQuoteChar1">
    <w:name w:val="Intense Quote Char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2Char1">
    <w:name w:val="Heading 2 Char1"/>
    <w:basedOn w:val="DefaultParagraphFont1"/>
    <w:qFormat/>
    <w:pPr/>
    <w:rPr>
      <w:rFonts w:ascii="Arial" w:hAnsi="Arial"/>
      <w:sz w:val="34"/>
    </w:rPr>
  </w:style>
  <w:style w:type="paragraph" w:styleId="IntenseEmphasis1">
    <w:name w:val="Intense Emphasis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b/>
      <w:i/>
      <w:color w:val="4F81BD"/>
      <w:spacing w:val="0"/>
      <w:kern w:val="0"/>
      <w:sz w:val="20"/>
      <w:szCs w:val="20"/>
      <w:lang w:val="ru-RU" w:eastAsia="zh-CN" w:bidi="hi-IN"/>
    </w:rPr>
  </w:style>
  <w:style w:type="paragraph" w:styleId="ListBullet41">
    <w:name w:val="List Bullet 41"/>
    <w:basedOn w:val="Normal"/>
    <w:qFormat/>
    <w:pPr>
      <w:widowControl/>
      <w:numPr>
        <w:ilvl w:val="0"/>
        <w:numId w:val="15"/>
      </w:numPr>
      <w:spacing w:before="120" w:after="0"/>
      <w:jc w:val="both"/>
    </w:pPr>
    <w:rPr>
      <w:rFonts w:ascii="Garamond" w:hAnsi="Garamond"/>
    </w:rPr>
  </w:style>
  <w:style w:type="paragraph" w:styleId="127">
    <w:name w:val="Колонтитулы1"/>
    <w:basedOn w:val="Normal"/>
    <w:qFormat/>
    <w:pPr/>
    <w:rPr/>
  </w:style>
  <w:style w:type="paragraph" w:styleId="128">
    <w:name w:val="Верхний колонтитул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29">
    <w:name w:val="Пункт1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</w:rPr>
  </w:style>
  <w:style w:type="paragraph" w:styleId="1111">
    <w:name w:val="Стиль Заголовок 1 + по ширине1"/>
    <w:basedOn w:val="Heading1"/>
    <w:qFormat/>
    <w:pPr>
      <w:keepLines/>
      <w:widowControl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right="0" w:hanging="567"/>
      <w:jc w:val="both"/>
    </w:pPr>
    <w:rPr>
      <w:rFonts w:ascii="Arial" w:hAnsi="Arial"/>
      <w:sz w:val="40"/>
    </w:rPr>
  </w:style>
  <w:style w:type="paragraph" w:styleId="BalloonText1">
    <w:name w:val="Balloon Text1"/>
    <w:basedOn w:val="Normal"/>
    <w:qFormat/>
    <w:pPr/>
    <w:rPr>
      <w:rFonts w:ascii="Tahoma" w:hAnsi="Tahoma"/>
      <w:sz w:val="16"/>
    </w:rPr>
  </w:style>
  <w:style w:type="paragraph" w:styleId="130">
    <w:name w:val="Подпункт1"/>
    <w:basedOn w:val="Normal"/>
    <w:qFormat/>
    <w:pPr>
      <w:widowControl/>
      <w:tabs>
        <w:tab w:val="clear" w:pos="708"/>
        <w:tab w:val="left" w:pos="1134" w:leader="none"/>
      </w:tabs>
      <w:spacing w:lineRule="auto" w:line="360"/>
      <w:ind w:left="1134" w:right="0" w:hanging="1134"/>
      <w:jc w:val="both"/>
    </w:pPr>
    <w:rPr/>
  </w:style>
  <w:style w:type="paragraph" w:styleId="131">
    <w:name w:val="Таблица текст1"/>
    <w:basedOn w:val="Normal"/>
    <w:qFormat/>
    <w:pPr>
      <w:widowControl/>
      <w:spacing w:before="40" w:after="40"/>
      <w:ind w:left="57" w:right="57" w:hanging="0"/>
    </w:pPr>
    <w:rPr/>
  </w:style>
  <w:style w:type="paragraph" w:styleId="Heading3Char1">
    <w:name w:val="Heading 3 Char1"/>
    <w:basedOn w:val="DefaultParagraphFont1"/>
    <w:qFormat/>
    <w:pPr/>
    <w:rPr>
      <w:rFonts w:ascii="Arial" w:hAnsi="Arial"/>
      <w:sz w:val="30"/>
    </w:rPr>
  </w:style>
  <w:style w:type="paragraph" w:styleId="314">
    <w:name w:val="Шапка 31"/>
    <w:basedOn w:val="Normal"/>
    <w:qFormat/>
    <w:pPr>
      <w:widowControl/>
      <w:pBdr>
        <w:bottom w:val="single" w:sz="24" w:space="1" w:color="000000"/>
      </w:pBdr>
      <w:spacing w:before="240" w:after="360"/>
      <w:jc w:val="center"/>
    </w:pPr>
    <w:rPr>
      <w:b/>
    </w:rPr>
  </w:style>
  <w:style w:type="paragraph" w:styleId="132">
    <w:name w:val="Подподпункт1"/>
    <w:basedOn w:val="130"/>
    <w:qFormat/>
    <w:pPr>
      <w:widowControl/>
      <w:tabs>
        <w:tab w:val="clear" w:pos="1134"/>
        <w:tab w:val="left" w:pos="5104" w:leader="none"/>
      </w:tabs>
      <w:spacing w:lineRule="auto" w:line="240" w:before="120" w:after="0"/>
      <w:ind w:left="5104" w:right="0" w:hanging="567"/>
    </w:pPr>
    <w:rPr>
      <w:sz w:val="26"/>
    </w:rPr>
  </w:style>
  <w:style w:type="paragraph" w:styleId="Annotationreference1">
    <w:name w:val="annotation reference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16"/>
      <w:szCs w:val="20"/>
      <w:lang w:val="ru-RU" w:eastAsia="zh-CN" w:bidi="hi-IN"/>
    </w:rPr>
  </w:style>
  <w:style w:type="paragraph" w:styleId="TOC3">
    <w:name w:val="TOC 3"/>
    <w:basedOn w:val="Normal"/>
    <w:uiPriority w:val="39"/>
    <w:pPr>
      <w:widowControl/>
      <w:ind w:left="280" w:right="0" w:hanging="0"/>
    </w:pPr>
    <w:rPr>
      <w:sz w:val="20"/>
    </w:rPr>
  </w:style>
  <w:style w:type="paragraph" w:styleId="213">
    <w:name w:val="УРОВЕНЬ_Абзац_тип21"/>
    <w:basedOn w:val="ListParagraph1"/>
    <w:qFormat/>
    <w:pPr>
      <w:widowControl/>
      <w:numPr>
        <w:ilvl w:val="0"/>
        <w:numId w:val="16"/>
      </w:numPr>
      <w:spacing w:lineRule="exact" w:line="360" w:before="120" w:after="0"/>
      <w:contextualSpacing/>
      <w:jc w:val="both"/>
    </w:pPr>
    <w:rPr>
      <w:sz w:val="26"/>
    </w:rPr>
  </w:style>
  <w:style w:type="paragraph" w:styleId="133">
    <w:name w:val="УРОВЕНЬ_(а)1"/>
    <w:basedOn w:val="ListParagraph1"/>
    <w:qFormat/>
    <w:pPr>
      <w:widowControl/>
      <w:spacing w:lineRule="exact" w:line="360" w:before="120" w:after="0"/>
      <w:contextualSpacing/>
      <w:jc w:val="both"/>
      <w:outlineLvl w:val="3"/>
    </w:pPr>
    <w:rPr>
      <w:sz w:val="26"/>
    </w:rPr>
  </w:style>
  <w:style w:type="paragraph" w:styleId="214">
    <w:name w:val="Раздел положения 21"/>
    <w:basedOn w:val="Normal"/>
    <w:qFormat/>
    <w:pPr>
      <w:pageBreakBefore/>
      <w:widowControl/>
      <w:jc w:val="both"/>
      <w:outlineLvl w:val="0"/>
    </w:pPr>
    <w:rPr>
      <w:b/>
    </w:rPr>
  </w:style>
  <w:style w:type="paragraph" w:styleId="BodyTextIndent21">
    <w:name w:val="Body Text Indent 21"/>
    <w:basedOn w:val="Normal"/>
    <w:qFormat/>
    <w:pPr>
      <w:widowControl/>
      <w:spacing w:lineRule="auto" w:line="480" w:before="0" w:after="120"/>
      <w:ind w:left="283" w:right="0" w:hanging="0"/>
    </w:pPr>
    <w:rPr/>
  </w:style>
  <w:style w:type="paragraph" w:styleId="134">
    <w:name w:val="Подраздел раздела положения1"/>
    <w:basedOn w:val="Normal"/>
    <w:qFormat/>
    <w:pPr>
      <w:widowControl/>
      <w:numPr>
        <w:ilvl w:val="0"/>
        <w:numId w:val="17"/>
      </w:numPr>
      <w:spacing w:before="80" w:after="80"/>
      <w:jc w:val="both"/>
    </w:pPr>
    <w:rPr/>
  </w:style>
  <w:style w:type="paragraph" w:styleId="135">
    <w:name w:val="Название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Char1">
    <w:name w:val="Subtitle Char1"/>
    <w:basedOn w:val="DefaultParagraphFont1"/>
    <w:qFormat/>
    <w:pPr/>
    <w:rPr>
      <w:sz w:val="24"/>
    </w:rPr>
  </w:style>
  <w:style w:type="paragraph" w:styleId="136">
    <w:name w:val="Раздел положения1"/>
    <w:basedOn w:val="Normal"/>
    <w:qFormat/>
    <w:pPr>
      <w:widowControl/>
      <w:numPr>
        <w:ilvl w:val="0"/>
        <w:numId w:val="17"/>
      </w:numPr>
      <w:spacing w:before="80" w:after="80"/>
      <w:jc w:val="center"/>
    </w:pPr>
    <w:rPr>
      <w:b/>
      <w:sz w:val="32"/>
    </w:rPr>
  </w:style>
  <w:style w:type="paragraph" w:styleId="Heading4Char1">
    <w:name w:val="Heading 4 Char1"/>
    <w:basedOn w:val="DefaultParagraphFont1"/>
    <w:qFormat/>
    <w:pPr/>
    <w:rPr>
      <w:rFonts w:ascii="Arial" w:hAnsi="Arial"/>
      <w:b/>
      <w:sz w:val="26"/>
    </w:rPr>
  </w:style>
  <w:style w:type="paragraph" w:styleId="137">
    <w:name w:val="Таблица шапка1"/>
    <w:basedOn w:val="Normal"/>
    <w:qFormat/>
    <w:pPr>
      <w:keepNext w:val="true"/>
      <w:widowControl/>
      <w:spacing w:before="40" w:after="40"/>
      <w:ind w:left="57" w:right="57" w:hanging="0"/>
    </w:pPr>
    <w:rPr>
      <w:sz w:val="22"/>
    </w:rPr>
  </w:style>
  <w:style w:type="paragraph" w:styleId="138">
    <w:name w:val="Название раздела инструкции1"/>
    <w:basedOn w:val="Normal"/>
    <w:qFormat/>
    <w:pPr>
      <w:widowControl/>
      <w:jc w:val="center"/>
    </w:pPr>
    <w:rPr>
      <w:b/>
    </w:rPr>
  </w:style>
  <w:style w:type="paragraph" w:styleId="-11">
    <w:name w:val="УРОВЕНЬ_-1"/>
    <w:basedOn w:val="ListParagraph1"/>
    <w:qFormat/>
    <w:pPr>
      <w:widowControl/>
      <w:spacing w:lineRule="exact" w:line="360" w:before="120" w:after="0"/>
      <w:contextualSpacing/>
      <w:jc w:val="both"/>
      <w:outlineLvl w:val="4"/>
    </w:pPr>
    <w:rPr>
      <w:sz w:val="26"/>
    </w:rPr>
  </w:style>
  <w:style w:type="paragraph" w:styleId="71">
    <w:name w:val="Заголовок 7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mbria" w:hAnsi="Cambria" w:eastAsia="Noto Serif CJK SC" w:cs="Lohit Devanagari"/>
      <w:i/>
      <w:color w:val="404040"/>
      <w:spacing w:val="0"/>
      <w:kern w:val="0"/>
      <w:sz w:val="20"/>
      <w:szCs w:val="20"/>
      <w:lang w:val="ru-RU" w:eastAsia="zh-CN" w:bidi="hi-IN"/>
    </w:rPr>
  </w:style>
  <w:style w:type="paragraph" w:styleId="HeaderChar1">
    <w:name w:val="Header Char1"/>
    <w:basedOn w:val="DefaultParagraphFont1"/>
    <w:qFormat/>
    <w:pPr/>
    <w:rPr/>
  </w:style>
  <w:style w:type="paragraph" w:styleId="1112">
    <w:name w:val="Абзац списка11"/>
    <w:basedOn w:val="Normal"/>
    <w:qFormat/>
    <w:pPr>
      <w:widowControl/>
      <w:spacing w:lineRule="auto" w:line="276" w:before="0" w:after="200"/>
      <w:ind w:left="720" w:right="0" w:hanging="0"/>
      <w:contextualSpacing/>
    </w:pPr>
    <w:rPr>
      <w:rFonts w:ascii="Calibri" w:hAnsi="Calibri"/>
      <w:sz w:val="22"/>
    </w:rPr>
  </w:style>
  <w:style w:type="paragraph" w:styleId="215">
    <w:name w:val="Цитата 2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Noto Serif CJK SC" w:cs="Lohit Devanagari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1113">
    <w:name w:val="Шапка 11"/>
    <w:basedOn w:val="Normal"/>
    <w:qFormat/>
    <w:pPr>
      <w:widowControl/>
      <w:pBdr>
        <w:bottom w:val="single" w:sz="24" w:space="1" w:color="000000"/>
      </w:pBdr>
      <w:spacing w:before="0" w:after="240"/>
      <w:jc w:val="center"/>
    </w:pPr>
    <w:rPr>
      <w:sz w:val="22"/>
    </w:rPr>
  </w:style>
  <w:style w:type="paragraph" w:styleId="91">
    <w:name w:val="Заголовок 9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Noto Serif CJK SC" w:cs="Lohit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Revision1">
    <w:name w:val="Revision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216">
    <w:name w:val="Основной текст (2)1"/>
    <w:basedOn w:val="SubtitleChar1"/>
    <w:qFormat/>
    <w:pPr/>
    <w:rPr>
      <w:rFonts w:ascii="Times New Roman" w:hAnsi="Times New Roman"/>
      <w:b w:val="false"/>
      <w:i w:val="false"/>
      <w:caps w:val="false"/>
      <w:smallCaps w:val="false"/>
      <w:strike w:val="false"/>
      <w:dstrike w:val="false"/>
      <w:color w:val="000000"/>
      <w:spacing w:val="0"/>
      <w:sz w:val="19"/>
      <w:u w:val="none"/>
    </w:rPr>
  </w:style>
  <w:style w:type="paragraph" w:styleId="FootnoteTextChar1">
    <w:name w:val="Footnote Text Char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18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basedOn w:val="Normal"/>
    <w:qFormat/>
    <w:pPr/>
    <w:rPr>
      <w:sz w:val="20"/>
    </w:rPr>
  </w:style>
  <w:style w:type="paragraph" w:styleId="BodyTextIndent">
    <w:name w:val="Body Text Indent"/>
    <w:basedOn w:val="Normal"/>
    <w:pPr>
      <w:widowControl/>
      <w:ind w:left="360" w:right="0" w:hanging="0"/>
    </w:pPr>
    <w:rPr/>
  </w:style>
  <w:style w:type="paragraph" w:styleId="TOC1">
    <w:name w:val="TOC 1"/>
    <w:basedOn w:val="Normal"/>
    <w:uiPriority w:val="39"/>
    <w:pPr>
      <w:widowControl/>
      <w:spacing w:before="120" w:after="0"/>
    </w:pPr>
    <w:rPr>
      <w:b/>
    </w:rPr>
  </w:style>
  <w:style w:type="paragraph" w:styleId="DefaultParagraphFont1">
    <w:name w:val="Default Paragraph Font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39">
    <w:name w:val="Содержимое врезки1"/>
    <w:basedOn w:val="Normal"/>
    <w:qFormat/>
    <w:pPr/>
    <w:rPr/>
  </w:style>
  <w:style w:type="paragraph" w:styleId="Heading7Char1">
    <w:name w:val="Heading 7 Char1"/>
    <w:basedOn w:val="DefaultParagraphFont1"/>
    <w:qFormat/>
    <w:pPr/>
    <w:rPr>
      <w:rFonts w:ascii="Arial" w:hAnsi="Arial"/>
      <w:b/>
      <w:i/>
      <w:sz w:val="22"/>
    </w:rPr>
  </w:style>
  <w:style w:type="paragraph" w:styleId="Quote1">
    <w:name w:val="Quote1"/>
    <w:basedOn w:val="Normal"/>
    <w:qFormat/>
    <w:pPr/>
    <w:rPr>
      <w:rFonts w:ascii="Calibri" w:hAnsi="Calibri"/>
      <w:i/>
      <w:color w:val="000000"/>
      <w:sz w:val="20"/>
    </w:rPr>
  </w:style>
  <w:style w:type="paragraph" w:styleId="ConsPlusNormal11">
    <w:name w:val="ConsPlusNormal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" w:hAnsi="Arial" w:eastAsia="Noto Serif CJK SC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aption3">
    <w:name w:val="caption3"/>
    <w:basedOn w:val="Normal"/>
    <w:qFormat/>
    <w:pPr/>
    <w:rPr>
      <w:b/>
      <w:color w:val="4F81BD"/>
      <w:sz w:val="18"/>
    </w:rPr>
  </w:style>
  <w:style w:type="paragraph" w:styleId="140">
    <w:name w:val="Символ сноски1"/>
    <w:basedOn w:val="DefaultParagraphFont1"/>
    <w:qFormat/>
    <w:pPr/>
    <w:rPr>
      <w:vertAlign w:val="superscript"/>
    </w:rPr>
  </w:style>
  <w:style w:type="paragraph" w:styleId="TOC9">
    <w:name w:val="TOC 9"/>
    <w:basedOn w:val="Normal"/>
    <w:uiPriority w:val="39"/>
    <w:pPr>
      <w:widowControl/>
      <w:ind w:left="1960" w:right="0" w:hanging="0"/>
    </w:pPr>
    <w:rPr>
      <w:rFonts w:ascii="Calibri" w:hAnsi="Calibri" w:asciiTheme="minorAscii" w:hAnsiTheme="minorHAnsi"/>
      <w:sz w:val="20"/>
    </w:rPr>
  </w:style>
  <w:style w:type="paragraph" w:styleId="FootnoteCharacters1">
    <w:name w:val="Footnote Characters1"/>
    <w:basedOn w:val="DefaultParagraphFont1"/>
    <w:qFormat/>
    <w:pPr/>
    <w:rPr>
      <w:vertAlign w:val="superscript"/>
    </w:rPr>
  </w:style>
  <w:style w:type="paragraph" w:styleId="Pagenumber1">
    <w:name w:val="page number1"/>
    <w:basedOn w:val="DefaultParagraphFont1"/>
    <w:qFormat/>
    <w:pPr/>
    <w:rPr/>
  </w:style>
  <w:style w:type="paragraph" w:styleId="41">
    <w:name w:val="Заголовок 4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ConsPlusNormal12">
    <w:name w:val="ConsPlusNormal1"/>
    <w:qFormat/>
    <w:pPr>
      <w:widowControl w:val="false"/>
      <w:suppressAutoHyphens w:val="true"/>
      <w:bidi w:val="0"/>
      <w:spacing w:lineRule="auto" w:line="240" w:before="0" w:after="0"/>
      <w:ind w:left="0" w:right="0" w:firstLine="720"/>
      <w:jc w:val="left"/>
    </w:pPr>
    <w:rPr>
      <w:rFonts w:ascii="Arial" w:hAnsi="Arial" w:eastAsia="Noto Serif CJK SC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TOC8">
    <w:name w:val="TOC 8"/>
    <w:basedOn w:val="Normal"/>
    <w:uiPriority w:val="39"/>
    <w:pPr>
      <w:widowControl/>
      <w:ind w:left="1680" w:right="0" w:hanging="0"/>
    </w:pPr>
    <w:rPr>
      <w:rFonts w:ascii="Calibri" w:hAnsi="Calibri" w:asciiTheme="minorAscii" w:hAnsiTheme="minorHAnsi"/>
      <w:sz w:val="20"/>
    </w:rPr>
  </w:style>
  <w:style w:type="paragraph" w:styleId="141">
    <w:name w:val="Раздел регламента1"/>
    <w:basedOn w:val="Normal"/>
    <w:qFormat/>
    <w:pPr/>
    <w:rPr/>
  </w:style>
  <w:style w:type="paragraph" w:styleId="315">
    <w:name w:val="УРОВЕНЬ_Абзац_тип31"/>
    <w:basedOn w:val="ListParagraph1"/>
    <w:qFormat/>
    <w:pPr>
      <w:widowControl/>
      <w:numPr>
        <w:ilvl w:val="0"/>
        <w:numId w:val="16"/>
      </w:numPr>
      <w:spacing w:lineRule="exact" w:line="360" w:before="120" w:after="0"/>
      <w:contextualSpacing/>
      <w:jc w:val="both"/>
    </w:pPr>
    <w:rPr>
      <w:sz w:val="26"/>
    </w:rPr>
  </w:style>
  <w:style w:type="paragraph" w:styleId="1114">
    <w:name w:val="Неразрешенное упоминание11"/>
    <w:basedOn w:val="DefaultParagraphFont1"/>
    <w:qFormat/>
    <w:pPr/>
    <w:rPr>
      <w:color w:val="605E5C"/>
      <w:shd w:fill="E1DFDD" w:val="clear"/>
    </w:rPr>
  </w:style>
  <w:style w:type="paragraph" w:styleId="217">
    <w:name w:val="Заголовок 2 КВВ1"/>
    <w:basedOn w:val="Normal"/>
    <w:qFormat/>
    <w:pPr>
      <w:keepNext w:val="true"/>
      <w:widowControl/>
      <w:spacing w:before="120" w:after="120"/>
      <w:jc w:val="both"/>
      <w:outlineLvl w:val="0"/>
    </w:pPr>
    <w:rPr>
      <w:b/>
    </w:rPr>
  </w:style>
  <w:style w:type="paragraph" w:styleId="Heading9Char1">
    <w:name w:val="Heading 9 Char1"/>
    <w:basedOn w:val="DefaultParagraphFont1"/>
    <w:qFormat/>
    <w:pPr/>
    <w:rPr>
      <w:rFonts w:ascii="Arial" w:hAnsi="Arial"/>
      <w:i/>
      <w:sz w:val="21"/>
    </w:rPr>
  </w:style>
  <w:style w:type="paragraph" w:styleId="142">
    <w:name w:val="комментарий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b/>
      <w:i/>
      <w:color w:val="000000"/>
      <w:spacing w:val="0"/>
      <w:kern w:val="0"/>
      <w:sz w:val="20"/>
      <w:szCs w:val="20"/>
      <w:shd w:fill="FFFF99" w:val="clear"/>
      <w:lang w:val="ru-RU" w:eastAsia="zh-CN" w:bidi="hi-IN"/>
    </w:rPr>
  </w:style>
  <w:style w:type="paragraph" w:styleId="Heading8Char1">
    <w:name w:val="Heading 8 Char1"/>
    <w:basedOn w:val="DefaultParagraphFont1"/>
    <w:qFormat/>
    <w:pPr/>
    <w:rPr>
      <w:rFonts w:ascii="Arial" w:hAnsi="Arial"/>
      <w:i/>
      <w:sz w:val="22"/>
    </w:rPr>
  </w:style>
  <w:style w:type="paragraph" w:styleId="Heading1Char1">
    <w:name w:val="Heading 1 Char1"/>
    <w:basedOn w:val="DefaultParagraphFont1"/>
    <w:qFormat/>
    <w:pPr/>
    <w:rPr>
      <w:rFonts w:ascii="Arial" w:hAnsi="Arial"/>
      <w:sz w:val="40"/>
    </w:rPr>
  </w:style>
  <w:style w:type="paragraph" w:styleId="143">
    <w:name w:val="Текст примечания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44">
    <w:name w:val="Электронная подпись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Tableoffigures1">
    <w:name w:val="table of figures1"/>
    <w:basedOn w:val="Normal"/>
    <w:qFormat/>
    <w:pPr>
      <w:widowControl/>
      <w:spacing w:before="0" w:after="0"/>
    </w:pPr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5">
    <w:name w:val="TOC 5"/>
    <w:basedOn w:val="Normal"/>
    <w:uiPriority w:val="39"/>
    <w:pPr>
      <w:widowControl/>
      <w:ind w:left="840" w:right="0" w:hanging="0"/>
    </w:pPr>
    <w:rPr>
      <w:rFonts w:ascii="Calibri" w:hAnsi="Calibri" w:asciiTheme="minorAscii" w:hAnsiTheme="minorHAnsi"/>
      <w:sz w:val="20"/>
    </w:rPr>
  </w:style>
  <w:style w:type="paragraph" w:styleId="Heading6Char1">
    <w:name w:val="Heading 6 Char1"/>
    <w:basedOn w:val="DefaultParagraphFont1"/>
    <w:qFormat/>
    <w:pPr/>
    <w:rPr>
      <w:rFonts w:ascii="Arial" w:hAnsi="Arial"/>
      <w:b/>
      <w:sz w:val="22"/>
    </w:rPr>
  </w:style>
  <w:style w:type="paragraph" w:styleId="Style38">
    <w:name w:val="Привязка сноски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0"/>
      <w:szCs w:val="20"/>
      <w:vertAlign w:val="superscript"/>
      <w:lang w:val="ru-RU" w:eastAsia="zh-CN" w:bidi="hi-IN"/>
    </w:rPr>
  </w:style>
  <w:style w:type="paragraph" w:styleId="Blk1">
    <w:name w:val="blk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ubtleEmphasis1">
    <w:name w:val="Subtle Emphasis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i/>
      <w:color w:val="808080"/>
      <w:spacing w:val="0"/>
      <w:kern w:val="0"/>
      <w:sz w:val="20"/>
      <w:szCs w:val="20"/>
      <w:lang w:val="ru-RU" w:eastAsia="zh-CN" w:bidi="hi-IN"/>
    </w:rPr>
  </w:style>
  <w:style w:type="paragraph" w:styleId="218">
    <w:name w:val="Пункт2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15">
    <w:name w:val="Подпункт Знак1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6">
    <w:name w:val="УРОВЕНЬ_1.1"/>
    <w:basedOn w:val="ListParagraph1"/>
    <w:qFormat/>
    <w:pPr>
      <w:keepNext w:val="true"/>
      <w:keepLines/>
      <w:widowControl/>
      <w:spacing w:lineRule="auto" w:line="276" w:before="240" w:after="120"/>
      <w:ind w:left="0" w:right="0" w:hanging="0"/>
      <w:contextualSpacing/>
      <w:jc w:val="both"/>
      <w:outlineLvl w:val="0"/>
    </w:pPr>
    <w:rPr>
      <w:caps/>
      <w:sz w:val="28"/>
    </w:rPr>
  </w:style>
  <w:style w:type="paragraph" w:styleId="316">
    <w:name w:val="Заголовок 3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IntenseReference1">
    <w:name w:val="Intense Reference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b/>
      <w:smallCaps/>
      <w:color w:val="C0504D"/>
      <w:spacing w:val="5"/>
      <w:kern w:val="0"/>
      <w:sz w:val="20"/>
      <w:szCs w:val="20"/>
      <w:u w:val="single"/>
      <w:lang w:val="ru-RU" w:eastAsia="zh-CN" w:bidi="hi-IN"/>
    </w:rPr>
  </w:style>
  <w:style w:type="paragraph" w:styleId="145">
    <w:name w:val="Выделенная цитата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libri" w:hAnsi="Calibri" w:eastAsia="Noto Serif CJK SC" w:cs="Lohit Devanagari"/>
      <w:b/>
      <w:i/>
      <w:color w:val="4F81BD"/>
      <w:spacing w:val="0"/>
      <w:kern w:val="0"/>
      <w:sz w:val="20"/>
      <w:szCs w:val="20"/>
      <w:lang w:val="ru-RU" w:eastAsia="zh-CN" w:bidi="hi-IN"/>
    </w:rPr>
  </w:style>
  <w:style w:type="paragraph" w:styleId="Subtitle">
    <w:name w:val="Subtitle"/>
    <w:basedOn w:val="Normal"/>
    <w:uiPriority w:val="11"/>
    <w:qFormat/>
    <w:pPr>
      <w:widowControl/>
      <w:ind w:left="1066" w:right="0" w:firstLine="709"/>
    </w:pPr>
    <w:rPr>
      <w:rFonts w:ascii="Cambria" w:hAnsi="Cambria"/>
      <w:i/>
      <w:color w:val="4F81BD"/>
      <w:spacing w:val="15"/>
    </w:rPr>
  </w:style>
  <w:style w:type="paragraph" w:styleId="TitleChar1">
    <w:name w:val="Title Char1"/>
    <w:basedOn w:val="DefaultParagraphFont1"/>
    <w:qFormat/>
    <w:pPr/>
    <w:rPr>
      <w:sz w:val="48"/>
    </w:rPr>
  </w:style>
  <w:style w:type="paragraph" w:styleId="317">
    <w:name w:val="Нумерованный список ур31"/>
    <w:basedOn w:val="Normal"/>
    <w:qFormat/>
    <w:pPr>
      <w:widowControl/>
      <w:numPr>
        <w:ilvl w:val="0"/>
        <w:numId w:val="15"/>
      </w:numPr>
      <w:jc w:val="both"/>
    </w:pPr>
    <w:rPr>
      <w:rFonts w:ascii="Garamond" w:hAnsi="Garamond"/>
    </w:rPr>
  </w:style>
  <w:style w:type="paragraph" w:styleId="146">
    <w:name w:val="Таблица1"/>
    <w:basedOn w:val="Normal"/>
    <w:qFormat/>
    <w:pPr>
      <w:keepNext w:val="true"/>
      <w:widowControl/>
      <w:spacing w:before="60" w:after="60"/>
      <w:jc w:val="center"/>
    </w:pPr>
    <w:rPr>
      <w:b/>
    </w:rPr>
  </w:style>
  <w:style w:type="paragraph" w:styleId="219">
    <w:name w:val="Шапка 21"/>
    <w:basedOn w:val="Normal"/>
    <w:qFormat/>
    <w:pPr>
      <w:widowControl/>
      <w:pBdr>
        <w:bottom w:val="single" w:sz="24" w:space="1" w:color="000000"/>
      </w:pBdr>
      <w:spacing w:before="0" w:after="120"/>
      <w:jc w:val="center"/>
    </w:pPr>
    <w:rPr>
      <w:b/>
      <w:sz w:val="22"/>
    </w:rPr>
  </w:style>
  <w:style w:type="paragraph" w:styleId="Title">
    <w:name w:val="Title"/>
    <w:basedOn w:val="Normal"/>
    <w:uiPriority w:val="10"/>
    <w:qFormat/>
    <w:pPr>
      <w:widowControl/>
      <w:spacing w:before="300" w:after="200"/>
      <w:contextualSpacing/>
    </w:pPr>
    <w:rPr>
      <w:sz w:val="48"/>
    </w:rPr>
  </w:style>
  <w:style w:type="paragraph" w:styleId="51">
    <w:name w:val="Заголовок 5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b/>
      <w:i/>
      <w:color w:val="000000"/>
      <w:spacing w:val="0"/>
      <w:kern w:val="0"/>
      <w:sz w:val="26"/>
      <w:szCs w:val="20"/>
      <w:lang w:val="ru-RU" w:eastAsia="zh-CN" w:bidi="hi-IN"/>
    </w:rPr>
  </w:style>
  <w:style w:type="paragraph" w:styleId="BookTitle1">
    <w:name w:val="Book Title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b/>
      <w:smallCaps/>
      <w:color w:val="000000"/>
      <w:spacing w:val="5"/>
      <w:kern w:val="0"/>
      <w:sz w:val="20"/>
      <w:szCs w:val="20"/>
      <w:lang w:val="ru-RU" w:eastAsia="zh-CN" w:bidi="hi-IN"/>
    </w:rPr>
  </w:style>
  <w:style w:type="paragraph" w:styleId="147">
    <w:name w:val="Подзаголовок Знак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Cambria" w:hAnsi="Cambria" w:eastAsia="Noto Serif CJK SC" w:cs="Lohit Devanagari"/>
      <w:i/>
      <w:color w:val="4F81BD"/>
      <w:spacing w:val="15"/>
      <w:kern w:val="0"/>
      <w:sz w:val="24"/>
      <w:szCs w:val="20"/>
      <w:lang w:val="ru-RU" w:eastAsia="zh-CN" w:bidi="hi-IN"/>
    </w:rPr>
  </w:style>
  <w:style w:type="paragraph" w:styleId="148">
    <w:name w:val="УРОВЕНЬ_Подпись1"/>
    <w:basedOn w:val="ListParagraph1"/>
    <w:qFormat/>
    <w:pPr>
      <w:keepNext w:val="true"/>
      <w:widowControl/>
      <w:spacing w:lineRule="exact" w:line="360" w:before="120" w:after="120"/>
      <w:contextualSpacing/>
      <w:jc w:val="right"/>
      <w:outlineLvl w:val="3"/>
    </w:pPr>
    <w:rPr>
      <w:sz w:val="26"/>
    </w:rPr>
  </w:style>
  <w:style w:type="paragraph" w:styleId="ListParagraph1">
    <w:name w:val="List Paragraph1"/>
    <w:basedOn w:val="Normal"/>
    <w:qFormat/>
    <w:pPr>
      <w:widowControl/>
      <w:spacing w:before="0" w:after="0"/>
      <w:ind w:left="720" w:right="0" w:hanging="0"/>
      <w:contextualSpacing/>
    </w:pPr>
    <w:rPr/>
  </w:style>
  <w:style w:type="paragraph" w:styleId="2110">
    <w:name w:val="Нумерованный список ур21"/>
    <w:basedOn w:val="Normal"/>
    <w:qFormat/>
    <w:pPr>
      <w:widowControl/>
      <w:numPr>
        <w:ilvl w:val="0"/>
        <w:numId w:val="15"/>
      </w:numPr>
      <w:spacing w:before="120" w:after="0"/>
      <w:jc w:val="both"/>
    </w:pPr>
    <w:rPr>
      <w:rFonts w:ascii="Garamond" w:hAnsi="Garamond"/>
    </w:rPr>
  </w:style>
  <w:style w:type="paragraph" w:styleId="Heading5Char1">
    <w:name w:val="Heading 5 Char1"/>
    <w:basedOn w:val="DefaultParagraphFont1"/>
    <w:qFormat/>
    <w:pPr/>
    <w:rPr>
      <w:rFonts w:ascii="Arial" w:hAnsi="Arial"/>
      <w:b/>
      <w:sz w:val="24"/>
    </w:rPr>
  </w:style>
  <w:style w:type="paragraph" w:styleId="QuoteChar1">
    <w:name w:val="Quote Char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TextChar1">
    <w:name w:val="Endnote Text Char1"/>
    <w:qFormat/>
    <w:pPr>
      <w:widowControl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Noto Serif CJK SC" w:cs="Lohit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BodyTextIndent31">
    <w:name w:val="Body Text Indent 31"/>
    <w:basedOn w:val="Normal"/>
    <w:qFormat/>
    <w:pPr>
      <w:widowControl/>
      <w:spacing w:before="0" w:after="120"/>
      <w:ind w:left="283" w:right="0" w:hanging="0"/>
    </w:pPr>
    <w:rPr>
      <w:sz w:val="16"/>
    </w:rPr>
  </w:style>
  <w:style w:type="table" w:styleId="Style_160">
    <w:name w:val="List Table 1 Light - Accent 2"/>
    <w:pPr>
      <w:spacing w:after="0" w:line="240" w:lineRule="auto"/>
    </w:pPr>
  </w:style>
  <w:style w:type="table" w:styleId="Style_161">
    <w:name w:val="Bordered"/>
    <w:pPr>
      <w:spacing w:after="0" w:line="240" w:lineRule="auto"/>
    </w:pPr>
    <w:tblPr>
      <w:tblBorders>
        <w:top w:val="single" w:themeColor="text1" w:themeTint="26" w:sz="4"/>
        <w:left w:val="single" w:themeColor="text1" w:themeTint="26" w:sz="4"/>
        <w:bottom w:val="single" w:themeColor="text1" w:themeTint="26" w:sz="4"/>
        <w:right w:val="single" w:themeColor="text1" w:themeTint="26" w:sz="4"/>
        <w:insideH w:val="single" w:themeColor="text1" w:themeTint="26" w:sz="4"/>
        <w:insideV w:val="single" w:themeColor="text1" w:themeTint="26" w:sz="4"/>
      </w:tblBorders>
    </w:tblPr>
  </w:style>
  <w:style w:type="table" w:styleId="Style_162">
    <w:name w:val="Lined - Accent"/>
    <w:pPr>
      <w:spacing w:after="0" w:line="240" w:lineRule="auto"/>
    </w:pPr>
  </w:style>
  <w:style w:type="table" w:styleId="Style_163">
    <w:name w:val="List Table 6 Colorful - Accent 3"/>
    <w:pPr>
      <w:spacing w:after="0" w:line="240" w:lineRule="auto"/>
    </w:pPr>
    <w:tblPr>
      <w:tblBorders>
        <w:top w:val="single" w:themeColor="accent3" w:themeTint="98" w:sz="4"/>
        <w:bottom w:val="single" w:themeColor="accent3" w:themeTint="98" w:sz="4"/>
      </w:tblBorders>
    </w:tblPr>
  </w:style>
  <w:style w:type="table" w:styleId="Style_164">
    <w:name w:val="Grid Table 4 - Accent 2"/>
    <w:pPr>
      <w:spacing w:after="0" w:line="240" w:lineRule="auto"/>
    </w:pPr>
    <w:tblPr>
      <w:tblBorders>
        <w:top w:val="single" w:themeColor="accent2" w:themeTint="90" w:sz="4"/>
        <w:left w:val="single" w:themeColor="accent2" w:themeTint="90" w:sz="4"/>
        <w:bottom w:val="single" w:themeColor="accent2" w:themeTint="90" w:sz="4"/>
        <w:right w:val="single" w:themeColor="accent2" w:themeTint="90" w:sz="4"/>
        <w:insideH w:val="single" w:themeColor="accent2" w:themeTint="90" w:sz="4"/>
        <w:insideV w:val="single" w:themeColor="accent2" w:themeTint="90" w:sz="4"/>
      </w:tblBorders>
    </w:tblPr>
  </w:style>
  <w:style w:type="table" w:styleId="Style_165">
    <w:name w:val="Grid Table 3"/>
    <w:pPr>
      <w:spacing w:after="0" w:line="240" w:lineRule="auto"/>
    </w:pPr>
    <w:tblPr>
      <w:tblBorders>
        <w:bottom w:val="single" w:themeColor="text1" w:themeTint="95" w:sz="4"/>
        <w:insideH w:val="single" w:themeColor="text1" w:themeTint="95" w:sz="4"/>
        <w:insideV w:val="single" w:themeColor="text1" w:themeTint="95" w:sz="4"/>
      </w:tblBorders>
    </w:tblPr>
  </w:style>
  <w:style w:type="table" w:styleId="Style_166">
    <w:name w:val="List Table 1 Light - Accent 1"/>
    <w:pPr>
      <w:spacing w:after="0" w:line="240" w:lineRule="auto"/>
    </w:pPr>
  </w:style>
  <w:style w:type="table" w:styleId="Style_167">
    <w:name w:val="Plain Table 2"/>
    <w:pPr>
      <w:spacing w:after="0" w:line="240" w:lineRule="auto"/>
    </w:pPr>
    <w:tblPr>
      <w:tblBorders>
        <w:top w:val="single" w:themeColor="text1" w:sz="4"/>
        <w:left w:val="nil" w:themeColor="text1" w:sz="4"/>
        <w:bottom w:val="single" w:themeColor="text1" w:sz="4"/>
        <w:right w:val="nil" w:themeColor="text1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yle_168">
    <w:name w:val="Bordered - Accent 4"/>
    <w:pPr>
      <w:spacing w:after="0" w:line="240" w:lineRule="auto"/>
    </w:pPr>
    <w:tblPr>
      <w:tblBorders>
        <w:top w:val="single" w:themeColor="accent4" w:themeTint="67" w:sz="4"/>
        <w:left w:val="single" w:themeColor="accent4" w:themeTint="67" w:sz="4"/>
        <w:bottom w:val="single" w:themeColor="accent4" w:themeTint="67" w:sz="4"/>
        <w:right w:val="single" w:themeColor="accent4" w:themeTint="67" w:sz="4"/>
        <w:insideH w:val="single" w:themeColor="accent4" w:themeTint="67" w:sz="4"/>
        <w:insideV w:val="single" w:themeColor="accent4" w:themeTint="67" w:sz="4"/>
      </w:tblBorders>
    </w:tblPr>
  </w:style>
  <w:style w:type="table" w:styleId="Style_169">
    <w:name w:val="List Table 6 Colorful"/>
    <w:pPr>
      <w:spacing w:after="0" w:line="240" w:lineRule="auto"/>
    </w:pPr>
    <w:tblPr>
      <w:tblBorders>
        <w:top w:val="single" w:themeColor="text1" w:themeTint="80" w:sz="4"/>
        <w:bottom w:val="single" w:themeColor="text1" w:themeTint="80" w:sz="4"/>
      </w:tblBorders>
    </w:tblPr>
  </w:style>
  <w:style w:type="table" w:styleId="Style_170">
    <w:name w:val="Grid Table 7 Colorful - Accent 2"/>
    <w:pPr>
      <w:spacing w:after="0" w:line="240" w:lineRule="auto"/>
    </w:pPr>
    <w:tblPr>
      <w:tblBorders>
        <w:bottom w:val="single" w:themeColor="accent2" w:themeTint="97" w:sz="4"/>
        <w:right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171">
    <w:name w:val="List Table 5 Dark - Accent 3"/>
    <w:pPr>
      <w:spacing w:after="0" w:line="240" w:lineRule="auto"/>
    </w:pPr>
    <w:tblPr>
      <w:tblBorders>
        <w:top w:val="single" w:themeColor="accent3" w:themeTint="98" w:sz="32"/>
        <w:left w:val="single" w:themeColor="accent3" w:themeTint="98" w:sz="32"/>
        <w:bottom w:val="single" w:themeColor="accent3" w:themeTint="98" w:sz="32"/>
        <w:right w:val="single" w:themeColor="accent3" w:themeTint="98" w:sz="32"/>
      </w:tblBorders>
    </w:tblPr>
  </w:style>
  <w:style w:type="table" w:styleId="Style_172">
    <w:name w:val="Grid Table 6 Colorful"/>
    <w:pPr>
      <w:spacing w:after="0" w:line="240" w:lineRule="auto"/>
    </w:pPr>
    <w:tblPr>
      <w:tblBorders>
        <w:top w:val="single" w:themeColor="text1" w:themeTint="80" w:sz="4"/>
        <w:left w:val="single" w:themeColor="text1" w:themeTint="80" w:sz="4"/>
        <w:bottom w:val="single" w:themeColor="text1" w:themeTint="80" w:sz="4"/>
        <w:right w:val="single" w:themeColor="text1" w:themeTint="80" w:sz="4"/>
        <w:insideH w:val="single" w:themeColor="text1" w:themeTint="80" w:sz="4"/>
        <w:insideV w:val="single" w:themeColor="text1" w:themeTint="80" w:sz="4"/>
      </w:tblBorders>
    </w:tblPr>
  </w:style>
  <w:style w:type="table" w:styleId="Style_173">
    <w:name w:val="List Table 4 - Accent 5"/>
    <w:pPr>
      <w:spacing w:after="0" w:line="240" w:lineRule="auto"/>
    </w:pPr>
    <w:tblPr>
      <w:tblBorders>
        <w:top w:val="single" w:themeColor="accent5" w:themeTint="90" w:sz="4"/>
        <w:left w:val="single" w:themeColor="accent5" w:themeTint="90" w:sz="4"/>
        <w:bottom w:val="single" w:themeColor="accent5" w:themeTint="90" w:sz="4"/>
        <w:right w:val="single" w:themeColor="accent5" w:themeTint="90" w:sz="4"/>
        <w:insideH w:val="single" w:themeColor="accent5" w:themeTint="90" w:sz="4"/>
      </w:tblBorders>
    </w:tblPr>
  </w:style>
  <w:style w:type="table" w:styleId="Style_174">
    <w:name w:val="List Table 3 - Accent 4"/>
    <w:pPr>
      <w:spacing w:after="0" w:line="240" w:lineRule="auto"/>
    </w:pPr>
    <w:tblPr>
      <w:tblBorders>
        <w:top w:val="single" w:themeColor="accent4" w:themeTint="9a" w:sz="4"/>
        <w:left w:val="single" w:themeColor="accent4" w:themeTint="9a" w:sz="4"/>
        <w:bottom w:val="single" w:themeColor="accent4" w:themeTint="9a" w:sz="4"/>
        <w:right w:val="single" w:themeColor="accent4" w:themeTint="9a" w:sz="4"/>
      </w:tblBorders>
    </w:tblPr>
  </w:style>
  <w:style w:type="table" w:styleId="Style_175">
    <w:name w:val="Grid Table 5 Dark - Accent 5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176">
    <w:name w:val="Bordered - Accent 2"/>
    <w:pPr>
      <w:spacing w:after="0" w:line="240" w:lineRule="auto"/>
    </w:pPr>
    <w:tblPr>
      <w:tblBorders>
        <w:top w:val="single" w:themeColor="accent2" w:themeTint="67" w:sz="4"/>
        <w:left w:val="single" w:themeColor="accent2" w:themeTint="67" w:sz="4"/>
        <w:bottom w:val="single" w:themeColor="accent2" w:themeTint="67" w:sz="4"/>
        <w:right w:val="single" w:themeColor="accent2" w:themeTint="67" w:sz="4"/>
        <w:insideH w:val="single" w:themeColor="accent2" w:themeTint="67" w:sz="4"/>
        <w:insideV w:val="single" w:themeColor="accent2" w:themeTint="67" w:sz="4"/>
      </w:tblBorders>
    </w:tblPr>
  </w:style>
  <w:style w:type="table" w:styleId="Style_177">
    <w:name w:val="Grid Table 3 - Accent 4"/>
    <w:pPr>
      <w:spacing w:after="0" w:line="240" w:lineRule="auto"/>
    </w:pPr>
    <w:tblPr>
      <w:tblBorders>
        <w:bottom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178">
    <w:name w:val="Grid Table 3 - Accent 2"/>
    <w:pPr>
      <w:spacing w:after="0" w:line="240" w:lineRule="auto"/>
    </w:pPr>
    <w:tblPr>
      <w:tblBorders>
        <w:bottom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179">
    <w:name w:val="Table Grid"/>
    <w:pPr>
      <w:spacing w:after="0" w:line="240" w:lineRule="auto"/>
    </w:pPr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yle_180">
    <w:name w:val="Lined - Accent 4"/>
    <w:pPr>
      <w:spacing w:after="0" w:line="240" w:lineRule="auto"/>
    </w:pPr>
  </w:style>
  <w:style w:type="table" w:styleId="Style_181">
    <w:name w:val="Grid Table 3 - Accent 1"/>
    <w:pPr>
      <w:spacing w:after="0" w:line="240" w:lineRule="auto"/>
    </w:pPr>
    <w:tblPr>
      <w:tblBorders>
        <w:bottom w:val="single" w:themeColor="accent1" w:themeTint="ea" w:sz="4"/>
        <w:insideH w:val="single" w:themeColor="accent1" w:themeTint="ea" w:sz="4"/>
        <w:insideV w:val="single" w:themeColor="accent1" w:themeTint="ea" w:sz="4"/>
      </w:tblBorders>
    </w:tblPr>
  </w:style>
  <w:style w:type="table" w:styleId="Style_182">
    <w:name w:val="Lined - Accent 5"/>
    <w:pPr>
      <w:spacing w:after="0" w:line="240" w:lineRule="auto"/>
    </w:pPr>
  </w:style>
  <w:style w:type="table" w:styleId="Style_183">
    <w:name w:val="Grid Table 7 Colorful - Accent 6"/>
    <w:pPr>
      <w:spacing w:after="0" w:line="240" w:lineRule="auto"/>
    </w:pPr>
    <w:tblPr>
      <w:tblBorders>
        <w:bottom w:val="single" w:themeColor="accent6" w:themeTint="90" w:sz="4"/>
        <w:right w:val="single" w:themeColor="accent6" w:themeTint="90" w:sz="4"/>
        <w:insideH w:val="single" w:themeColor="accent6" w:themeTint="90" w:sz="4"/>
        <w:insideV w:val="single" w:themeColor="accent6" w:themeTint="90" w:sz="4"/>
      </w:tblBorders>
    </w:tblPr>
  </w:style>
  <w:style w:type="table" w:styleId="Style_184">
    <w:name w:val="Grid Table 2 - Accent 5"/>
    <w:pPr>
      <w:spacing w:after="0" w:line="240" w:lineRule="auto"/>
    </w:pPr>
    <w:tblPr>
      <w:tblBorders>
        <w:bottom w:val="single" w:themeColor="accent5" w:sz="4"/>
        <w:insideH w:val="single" w:themeColor="accent5" w:sz="4"/>
        <w:insideV w:val="single" w:themeColor="accent5" w:sz="4"/>
      </w:tblBorders>
    </w:tblPr>
  </w:style>
  <w:style w:type="table" w:styleId="Style_185">
    <w:name w:val="List Table 1 Light"/>
    <w:pPr>
      <w:spacing w:after="0" w:line="240" w:lineRule="auto"/>
    </w:pPr>
  </w:style>
  <w:style w:type="table" w:styleId="Style_186">
    <w:name w:val="List Table 6 Colorful - Accent 1"/>
    <w:pPr>
      <w:spacing w:after="0" w:line="240" w:lineRule="auto"/>
    </w:pPr>
    <w:tblPr>
      <w:tblBorders>
        <w:top w:val="single" w:themeColor="accent1" w:sz="4"/>
        <w:bottom w:val="single" w:themeColor="accent1" w:sz="4"/>
      </w:tblBorders>
    </w:tblPr>
  </w:style>
  <w:style w:type="table" w:styleId="Style_187">
    <w:name w:val="Bordered &amp; Lined - Accent 2"/>
    <w:pPr>
      <w:spacing w:after="0" w:line="240" w:lineRule="auto"/>
    </w:pPr>
    <w:tblPr>
      <w:tblBorders>
        <w:top w:val="single" w:themeColor="accent2" w:sz="4"/>
        <w:left w:val="single" w:themeColor="accent2" w:sz="4"/>
        <w:bottom w:val="single" w:themeColor="accent2" w:sz="4"/>
        <w:right w:val="single" w:themeColor="accent2" w:sz="4"/>
        <w:insideH w:val="single" w:themeColor="accent2" w:sz="4"/>
        <w:insideV w:val="single" w:themeColor="accent2" w:sz="4"/>
      </w:tblBorders>
    </w:tblPr>
  </w:style>
  <w:style w:type="table" w:styleId="Style_188">
    <w:name w:val="List Table 2 - Accent 2"/>
    <w:pPr>
      <w:spacing w:after="0" w:line="240" w:lineRule="auto"/>
    </w:pPr>
    <w:tblPr>
      <w:tblBorders>
        <w:top w:val="single" w:themeColor="accent2" w:themeTint="90" w:sz="4"/>
        <w:bottom w:val="single" w:themeColor="accent2" w:themeTint="90" w:sz="4"/>
        <w:insideH w:val="single" w:themeColor="accent2" w:themeTint="90" w:sz="4"/>
      </w:tblBorders>
    </w:tblPr>
  </w:style>
  <w:style w:type="table" w:styleId="Style_189">
    <w:name w:val="Grid Table 6 Colorful - Accent 4"/>
    <w:pPr>
      <w:spacing w:after="0" w:line="240" w:lineRule="auto"/>
    </w:pPr>
    <w:tblPr>
      <w:tblBorders>
        <w:top w:val="single" w:themeColor="accent4" w:themeTint="9a" w:sz="4"/>
        <w:left w:val="single" w:themeColor="accent4" w:themeTint="9a" w:sz="4"/>
        <w:bottom w:val="single" w:themeColor="accent4" w:themeTint="9a" w:sz="4"/>
        <w:right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190">
    <w:name w:val="Grid Table 1 Light"/>
    <w:pPr>
      <w:spacing w:after="0" w:line="240" w:lineRule="auto"/>
    </w:pPr>
    <w:tblPr>
      <w:tblBorders>
        <w:top w:val="single" w:themeColor="text1" w:themeTint="67" w:sz="4"/>
        <w:left w:val="single" w:themeColor="text1" w:themeTint="67" w:sz="4"/>
        <w:bottom w:val="single" w:themeColor="text1" w:themeTint="67" w:sz="4"/>
        <w:right w:val="single" w:themeColor="text1" w:themeTint="67" w:sz="4"/>
        <w:insideH w:val="single" w:themeColor="text1" w:themeTint="67" w:sz="4"/>
        <w:insideV w:val="single" w:themeColor="text1" w:themeTint="67" w:sz="4"/>
      </w:tblBorders>
    </w:tblPr>
  </w:style>
  <w:style w:type="table" w:styleId="Style_191">
    <w:name w:val="Grid Table 4"/>
    <w:pPr>
      <w:spacing w:after="0" w:line="240" w:lineRule="auto"/>
    </w:pPr>
    <w:tblPr>
      <w:tblBorders>
        <w:top w:val="single" w:themeColor="text1" w:themeTint="90" w:sz="4"/>
        <w:left w:val="single" w:themeColor="text1" w:themeTint="90" w:sz="4"/>
        <w:bottom w:val="single" w:themeColor="text1" w:themeTint="90" w:sz="4"/>
        <w:right w:val="single" w:themeColor="text1" w:themeTint="90" w:sz="4"/>
        <w:insideH w:val="single" w:themeColor="text1" w:themeTint="90" w:sz="4"/>
        <w:insideV w:val="single" w:themeColor="text1" w:themeTint="90" w:sz="4"/>
      </w:tblBorders>
    </w:tblPr>
  </w:style>
  <w:style w:type="table" w:styleId="Style_192">
    <w:name w:val="List Table 2 - Accent 5"/>
    <w:pPr>
      <w:spacing w:after="0" w:line="240" w:lineRule="auto"/>
    </w:pPr>
    <w:tblPr>
      <w:tblBorders>
        <w:top w:val="single" w:themeColor="accent5" w:themeTint="90" w:sz="4"/>
        <w:bottom w:val="single" w:themeColor="accent5" w:themeTint="90" w:sz="4"/>
        <w:insideH w:val="single" w:themeColor="accent5" w:themeTint="90" w:sz="4"/>
      </w:tblBorders>
    </w:tblPr>
  </w:style>
  <w:style w:type="table" w:styleId="Style_193">
    <w:name w:val="Grid Table 7 Colorful - Accent 4"/>
    <w:pPr>
      <w:spacing w:after="0" w:line="240" w:lineRule="auto"/>
    </w:pPr>
    <w:tblPr>
      <w:tblBorders>
        <w:bottom w:val="single" w:themeColor="accent4" w:themeTint="9a" w:sz="4"/>
        <w:right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194">
    <w:name w:val="Grid Table 1 Light - Accent 3"/>
    <w:pPr>
      <w:spacing w:after="0" w:line="240" w:lineRule="auto"/>
    </w:pPr>
    <w:tblPr>
      <w:tblBorders>
        <w:top w:val="single" w:themeColor="accent3" w:themeTint="67" w:sz="4"/>
        <w:left w:val="single" w:themeColor="accent3" w:themeTint="67" w:sz="4"/>
        <w:bottom w:val="single" w:themeColor="accent3" w:themeTint="67" w:sz="4"/>
        <w:right w:val="single" w:themeColor="accent3" w:themeTint="67" w:sz="4"/>
        <w:insideH w:val="single" w:themeColor="accent3" w:themeTint="67" w:sz="4"/>
        <w:insideV w:val="single" w:themeColor="accent3" w:themeTint="67" w:sz="4"/>
      </w:tblBorders>
    </w:tblPr>
  </w:style>
  <w:style w:type="table" w:styleId="Style_195">
    <w:name w:val="List Table 2 - Accent 3"/>
    <w:pPr>
      <w:spacing w:after="0" w:line="240" w:lineRule="auto"/>
    </w:pPr>
    <w:tblPr>
      <w:tblBorders>
        <w:top w:val="single" w:themeColor="accent3" w:themeTint="90" w:sz="4"/>
        <w:bottom w:val="single" w:themeColor="accent3" w:themeTint="90" w:sz="4"/>
        <w:insideH w:val="single" w:themeColor="accent3" w:themeTint="90" w:sz="4"/>
      </w:tblBorders>
    </w:tblPr>
  </w:style>
  <w:style w:type="table" w:styleId="Style_196">
    <w:name w:val="Grid Table 5 Dark - Accent 6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197">
    <w:name w:val="List Table 1 Light - Accent 6"/>
    <w:pPr>
      <w:spacing w:after="0" w:line="240" w:lineRule="auto"/>
    </w:pPr>
  </w:style>
  <w:style w:type="table" w:styleId="Style_198">
    <w:name w:val="Grid Table 4 - Accent 6"/>
    <w:pPr>
      <w:spacing w:after="0" w:line="240" w:lineRule="auto"/>
    </w:pPr>
    <w:tblPr>
      <w:tblBorders>
        <w:top w:val="single" w:themeColor="accent6" w:themeTint="90" w:sz="4"/>
        <w:left w:val="single" w:themeColor="accent6" w:themeTint="90" w:sz="4"/>
        <w:bottom w:val="single" w:themeColor="accent6" w:themeTint="90" w:sz="4"/>
        <w:right w:val="single" w:themeColor="accent6" w:themeTint="90" w:sz="4"/>
        <w:insideH w:val="single" w:themeColor="accent6" w:themeTint="90" w:sz="4"/>
        <w:insideV w:val="single" w:themeColor="accent6" w:themeTint="90" w:sz="4"/>
      </w:tblBorders>
    </w:tblPr>
  </w:style>
  <w:style w:type="table" w:styleId="Style_199">
    <w:name w:val="Grid Table 4 - Accent 5"/>
    <w:pPr>
      <w:spacing w:after="0" w:line="240" w:lineRule="auto"/>
    </w:pPr>
    <w:tblPr>
      <w:tblBorders>
        <w:top w:val="single" w:themeColor="accent5" w:themeTint="90" w:sz="4"/>
        <w:left w:val="single" w:themeColor="accent5" w:themeTint="90" w:sz="4"/>
        <w:bottom w:val="single" w:themeColor="accent5" w:themeTint="90" w:sz="4"/>
        <w:right w:val="single" w:themeColor="accent5" w:themeTint="90" w:sz="4"/>
        <w:insideH w:val="single" w:themeColor="accent5" w:themeTint="90" w:sz="4"/>
        <w:insideV w:val="single" w:themeColor="accent5" w:themeTint="90" w:sz="4"/>
      </w:tblBorders>
    </w:tblPr>
  </w:style>
  <w:style w:type="table" w:styleId="Style_200">
    <w:name w:val="Bordered - Accent 6"/>
    <w:pPr>
      <w:spacing w:after="0" w:line="240" w:lineRule="auto"/>
    </w:pPr>
    <w:tblPr>
      <w:tblBorders>
        <w:top w:val="single" w:themeColor="accent6" w:themeTint="67" w:sz="4"/>
        <w:left w:val="single" w:themeColor="accent6" w:themeTint="67" w:sz="4"/>
        <w:bottom w:val="single" w:themeColor="accent6" w:themeTint="67" w:sz="4"/>
        <w:right w:val="single" w:themeColor="accent6" w:themeTint="67" w:sz="4"/>
        <w:insideH w:val="single" w:themeColor="accent6" w:themeTint="67" w:sz="4"/>
        <w:insideV w:val="single" w:themeColor="accent6" w:themeTint="67" w:sz="4"/>
      </w:tblBorders>
    </w:tblPr>
  </w:style>
  <w:style w:type="table" w:styleId="Style_201">
    <w:name w:val="Plain Table 1"/>
    <w:pPr>
      <w:spacing w:after="0" w:line="240" w:lineRule="auto"/>
    </w:pPr>
    <w:tblPr>
      <w:tblBorders>
        <w:top w:val="single" w:themeColor="text1" w:themeTint="50" w:sz="4"/>
        <w:left w:val="single" w:themeColor="text1" w:themeTint="50" w:sz="4"/>
        <w:bottom w:val="single" w:themeColor="text1" w:themeTint="50" w:sz="4"/>
        <w:right w:val="single" w:themeColor="text1" w:themeTint="50" w:sz="4"/>
        <w:insideH w:val="single" w:themeColor="text1" w:themeTint="50" w:sz="4"/>
        <w:insideV w:val="single" w:themeColor="text1" w:themeTint="50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yle_202">
    <w:name w:val="Plain Table 3"/>
    <w:pPr>
      <w:spacing w:after="0" w:line="240" w:lineRule="auto"/>
    </w:pPr>
  </w:style>
  <w:style w:type="table" w:styleId="Style_203">
    <w:name w:val="List Table 5 Dark"/>
    <w:pPr>
      <w:spacing w:after="0" w:line="240" w:lineRule="auto"/>
    </w:pPr>
    <w:tblPr>
      <w:tblBorders>
        <w:top w:val="single" w:themeColor="text1" w:themeTint="80" w:sz="32"/>
        <w:left w:val="single" w:themeColor="text1" w:themeTint="80" w:sz="32"/>
        <w:bottom w:val="single" w:themeColor="text1" w:themeTint="80" w:sz="32"/>
        <w:right w:val="single" w:themeColor="text1" w:themeTint="80" w:sz="32"/>
      </w:tblBorders>
    </w:tblPr>
  </w:style>
  <w:style w:type="table" w:styleId="Style_204">
    <w:name w:val="List Table 4 - Accent 2"/>
    <w:pPr>
      <w:spacing w:after="0" w:line="240" w:lineRule="auto"/>
    </w:pPr>
    <w:tblPr>
      <w:tblBorders>
        <w:top w:val="single" w:themeColor="accent2" w:themeTint="90" w:sz="4"/>
        <w:left w:val="single" w:themeColor="accent2" w:themeTint="90" w:sz="4"/>
        <w:bottom w:val="single" w:themeColor="accent2" w:themeTint="90" w:sz="4"/>
        <w:right w:val="single" w:themeColor="accent2" w:themeTint="90" w:sz="4"/>
        <w:insideH w:val="single" w:themeColor="accent2" w:themeTint="90" w:sz="4"/>
      </w:tblBorders>
    </w:tblPr>
  </w:style>
  <w:style w:type="table" w:styleId="Style_205">
    <w:name w:val="List Table 3 - Accent 1"/>
    <w:pPr>
      <w:spacing w:after="0" w:line="240" w:lineRule="auto"/>
    </w:pPr>
    <w:tblPr>
      <w:tblBorders>
        <w:top w:val="single" w:themeColor="accent1" w:sz="4"/>
        <w:left w:val="single" w:themeColor="accent1" w:sz="4"/>
        <w:bottom w:val="single" w:themeColor="accent1" w:sz="4"/>
        <w:right w:val="single" w:themeColor="accent1" w:sz="4"/>
      </w:tblBorders>
    </w:tblPr>
  </w:style>
  <w:style w:type="table" w:styleId="Style_206">
    <w:name w:val="List Table 6 Colorful - Accent 2"/>
    <w:pPr>
      <w:spacing w:after="0" w:line="240" w:lineRule="auto"/>
    </w:pPr>
    <w:tblPr>
      <w:tblBorders>
        <w:top w:val="single" w:themeColor="accent2" w:themeTint="97" w:sz="4"/>
        <w:bottom w:val="single" w:themeColor="accent2" w:themeTint="97" w:sz="4"/>
      </w:tblBorders>
    </w:tblPr>
  </w:style>
  <w:style w:type="table" w:styleId="Style_207">
    <w:name w:val="Grid Table 1 Light - Accent 2"/>
    <w:pPr>
      <w:spacing w:after="0" w:line="240" w:lineRule="auto"/>
    </w:pPr>
    <w:tblPr>
      <w:tblBorders>
        <w:top w:val="single" w:themeColor="accent2" w:themeTint="67" w:sz="4"/>
        <w:left w:val="single" w:themeColor="accent2" w:themeTint="67" w:sz="4"/>
        <w:bottom w:val="single" w:themeColor="accent2" w:themeTint="67" w:sz="4"/>
        <w:right w:val="single" w:themeColor="accent2" w:themeTint="67" w:sz="4"/>
        <w:insideH w:val="single" w:themeColor="accent2" w:themeTint="67" w:sz="4"/>
        <w:insideV w:val="single" w:themeColor="accent2" w:themeTint="67" w:sz="4"/>
      </w:tblBorders>
    </w:tblPr>
  </w:style>
  <w:style w:type="table" w:styleId="Style_208">
    <w:name w:val="Bordered &amp; Lined - Accent"/>
    <w:pPr>
      <w:spacing w:after="0" w:line="240" w:lineRule="auto"/>
    </w:pPr>
    <w:tblPr>
      <w:tblBorders>
        <w:top w:val="single" w:themeColor="text1" w:themeTint="a6" w:sz="4"/>
        <w:left w:val="single" w:themeColor="text1" w:themeTint="a6" w:sz="4"/>
        <w:bottom w:val="single" w:themeColor="text1" w:themeTint="a6" w:sz="4"/>
        <w:right w:val="single" w:themeColor="text1" w:themeTint="a6" w:sz="4"/>
        <w:insideH w:val="single" w:themeColor="text1" w:themeTint="a6" w:sz="4"/>
        <w:insideV w:val="single" w:themeColor="text1" w:themeTint="a6" w:sz="4"/>
      </w:tblBorders>
    </w:tblPr>
  </w:style>
  <w:style w:type="table" w:styleId="Style_209">
    <w:name w:val="Grid Table 3 - Accent 3"/>
    <w:pPr>
      <w:spacing w:after="0" w:line="240" w:lineRule="auto"/>
    </w:pPr>
    <w:tblPr>
      <w:tblBorders>
        <w:bottom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210">
    <w:name w:val="Bordered &amp; Lined - Accent 3"/>
    <w:pPr>
      <w:spacing w:after="0" w:line="240" w:lineRule="auto"/>
    </w:pPr>
    <w:tblPr>
      <w:tblBorders>
        <w:top w:val="single" w:themeColor="accent3" w:sz="4"/>
        <w:left w:val="single" w:themeColor="accent3" w:sz="4"/>
        <w:bottom w:val="single" w:themeColor="accent3" w:sz="4"/>
        <w:right w:val="single" w:themeColor="accent3" w:sz="4"/>
        <w:insideH w:val="single" w:themeColor="accent3" w:sz="4"/>
        <w:insideV w:val="single" w:themeColor="accent3" w:sz="4"/>
      </w:tblBorders>
    </w:tblPr>
  </w:style>
  <w:style w:type="table" w:styleId="Style_211">
    <w:name w:val="List Table 3 - Accent 3"/>
    <w:pPr>
      <w:spacing w:after="0" w:line="240" w:lineRule="auto"/>
    </w:pPr>
    <w:tblPr>
      <w:tblBorders>
        <w:top w:val="single" w:themeColor="accent3" w:themeTint="98" w:sz="4"/>
        <w:left w:val="single" w:themeColor="accent3" w:themeTint="98" w:sz="4"/>
        <w:bottom w:val="single" w:themeColor="accent3" w:themeTint="98" w:sz="4"/>
        <w:right w:val="single" w:themeColor="accent3" w:themeTint="98" w:sz="4"/>
      </w:tblBorders>
    </w:tblPr>
  </w:style>
  <w:style w:type="table" w:styleId="Style_212">
    <w:name w:val="Grid Table 4 - Accent 3"/>
    <w:pPr>
      <w:spacing w:after="0" w:line="240" w:lineRule="auto"/>
    </w:pPr>
    <w:tblPr>
      <w:tblBorders>
        <w:top w:val="single" w:themeColor="accent3" w:themeTint="90" w:sz="4"/>
        <w:left w:val="single" w:themeColor="accent3" w:themeTint="90" w:sz="4"/>
        <w:bottom w:val="single" w:themeColor="accent3" w:themeTint="90" w:sz="4"/>
        <w:right w:val="single" w:themeColor="accent3" w:themeTint="90" w:sz="4"/>
        <w:insideH w:val="single" w:themeColor="accent3" w:themeTint="90" w:sz="4"/>
        <w:insideV w:val="single" w:themeColor="accent3" w:themeTint="90" w:sz="4"/>
      </w:tblBorders>
    </w:tblPr>
  </w:style>
  <w:style w:type="table" w:styleId="Style_213">
    <w:name w:val="List Table 1 Light - Accent 5"/>
    <w:pPr>
      <w:spacing w:after="0" w:line="240" w:lineRule="auto"/>
    </w:pPr>
  </w:style>
  <w:style w:type="table" w:styleId="Style_214">
    <w:name w:val="Bordered &amp; Lined - Accent 4"/>
    <w:pPr>
      <w:spacing w:after="0" w:line="240" w:lineRule="auto"/>
    </w:pPr>
    <w:tblPr>
      <w:tblBorders>
        <w:top w:val="single" w:themeColor="accent4" w:sz="4"/>
        <w:left w:val="single" w:themeColor="accent4" w:sz="4"/>
        <w:bottom w:val="single" w:themeColor="accent4" w:sz="4"/>
        <w:right w:val="single" w:themeColor="accent4" w:sz="4"/>
        <w:insideH w:val="single" w:themeColor="accent4" w:sz="4"/>
        <w:insideV w:val="single" w:themeColor="accent4" w:sz="4"/>
      </w:tblBorders>
    </w:tblPr>
  </w:style>
  <w:style w:type="table" w:styleId="Style_215">
    <w:name w:val="List Table 5 Dark - Accent 1"/>
    <w:pPr>
      <w:spacing w:after="0" w:line="240" w:lineRule="auto"/>
    </w:pPr>
    <w:tblPr>
      <w:tblBorders>
        <w:top w:val="single" w:themeColor="accent1" w:sz="32"/>
        <w:left w:val="single" w:themeColor="accent1" w:sz="32"/>
        <w:bottom w:val="single" w:themeColor="accent1" w:sz="32"/>
        <w:right w:val="single" w:themeColor="accent1" w:sz="32"/>
      </w:tblBorders>
    </w:tblPr>
  </w:style>
  <w:style w:type="table" w:styleId="Style_216">
    <w:name w:val="Grid Table 1 Light - Accent 6"/>
    <w:pPr>
      <w:spacing w:after="0" w:line="240" w:lineRule="auto"/>
    </w:pPr>
    <w:tblPr>
      <w:tblBorders>
        <w:top w:val="single" w:themeColor="accent6" w:themeTint="67" w:sz="4"/>
        <w:left w:val="single" w:themeColor="accent6" w:themeTint="67" w:sz="4"/>
        <w:bottom w:val="single" w:themeColor="accent6" w:themeTint="67" w:sz="4"/>
        <w:right w:val="single" w:themeColor="accent6" w:themeTint="67" w:sz="4"/>
        <w:insideH w:val="single" w:themeColor="accent6" w:themeTint="67" w:sz="4"/>
        <w:insideV w:val="single" w:themeColor="accent6" w:themeTint="67" w:sz="4"/>
      </w:tblBorders>
    </w:tblPr>
  </w:style>
  <w:style w:type="table" w:styleId="Style_217">
    <w:name w:val="List Table 3"/>
    <w:pPr>
      <w:spacing w:after="0" w:line="240" w:lineRule="auto"/>
    </w:pPr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</w:tblBorders>
    </w:tblPr>
  </w:style>
  <w:style w:type="table" w:styleId="Style_218">
    <w:name w:val="Bordered - Accent 3"/>
    <w:pPr>
      <w:spacing w:after="0" w:line="240" w:lineRule="auto"/>
    </w:pPr>
    <w:tblPr>
      <w:tblBorders>
        <w:top w:val="single" w:themeColor="accent3" w:themeTint="67" w:sz="4"/>
        <w:left w:val="single" w:themeColor="accent3" w:themeTint="67" w:sz="4"/>
        <w:bottom w:val="single" w:themeColor="accent3" w:themeTint="67" w:sz="4"/>
        <w:right w:val="single" w:themeColor="accent3" w:themeTint="67" w:sz="4"/>
        <w:insideH w:val="single" w:themeColor="accent3" w:themeTint="67" w:sz="4"/>
        <w:insideV w:val="single" w:themeColor="accent3" w:themeTint="67" w:sz="4"/>
      </w:tblBorders>
    </w:tblPr>
  </w:style>
  <w:style w:type="table" w:styleId="Style_219">
    <w:name w:val="Grid Table 3 - Accent 6"/>
    <w:pPr>
      <w:spacing w:after="0" w:line="240" w:lineRule="auto"/>
    </w:pPr>
    <w:tblPr>
      <w:tblBorders>
        <w:bottom w:val="single" w:themeColor="accent6" w:sz="4"/>
        <w:insideH w:val="single" w:themeColor="accent6" w:sz="4"/>
        <w:insideV w:val="single" w:themeColor="accent6" w:sz="4"/>
      </w:tblBorders>
    </w:tblPr>
  </w:style>
  <w:style w:type="table" w:styleId="Style_220">
    <w:name w:val="Grid Table 2 - Accent 2"/>
    <w:pPr>
      <w:spacing w:after="0" w:line="240" w:lineRule="auto"/>
    </w:pPr>
    <w:tblPr>
      <w:tblBorders>
        <w:bottom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221">
    <w:name w:val="Table Grid Light"/>
    <w:pPr>
      <w:spacing w:after="0" w:line="240" w:lineRule="auto"/>
    </w:pPr>
    <w:tblPr>
      <w:tblBorders>
        <w:top w:val="single" w:themeColor="text1" w:themeTint="50" w:sz="4"/>
        <w:left w:val="single" w:themeColor="text1" w:themeTint="50" w:sz="4"/>
        <w:bottom w:val="single" w:themeColor="text1" w:themeTint="50" w:sz="4"/>
        <w:right w:val="single" w:themeColor="text1" w:themeTint="50" w:sz="4"/>
        <w:insideH w:val="single" w:themeColor="text1" w:themeTint="50" w:sz="4"/>
        <w:insideV w:val="single" w:themeColor="text1" w:themeTint="50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Style_3">
    <w:name w:val="Normal Table"/>
  </w:style>
  <w:style w:type="table" w:styleId="Style_222">
    <w:name w:val="List Table 1 Light - Accent 3"/>
    <w:pPr>
      <w:spacing w:after="0" w:line="240" w:lineRule="auto"/>
    </w:pPr>
  </w:style>
  <w:style w:type="table" w:styleId="Style_223">
    <w:name w:val="List Table 5 Dark - Accent 6"/>
    <w:pPr>
      <w:spacing w:after="0" w:line="240" w:lineRule="auto"/>
    </w:pPr>
    <w:tblPr>
      <w:tblBorders>
        <w:top w:val="single" w:themeColor="accent6" w:themeTint="98" w:sz="32"/>
        <w:left w:val="single" w:themeColor="accent6" w:themeTint="98" w:sz="32"/>
        <w:bottom w:val="single" w:themeColor="accent6" w:themeTint="98" w:sz="32"/>
        <w:right w:val="single" w:themeColor="accent6" w:themeTint="98" w:sz="32"/>
      </w:tblBorders>
    </w:tblPr>
  </w:style>
  <w:style w:type="table" w:styleId="Style_224">
    <w:name w:val="Grid Table 6 Colorful - Accent 3"/>
    <w:pPr>
      <w:spacing w:after="0" w:line="240" w:lineRule="auto"/>
    </w:pPr>
    <w:tblPr>
      <w:tblBorders>
        <w:top w:val="single" w:themeColor="accent3" w:themeTint="fe" w:sz="4"/>
        <w:left w:val="single" w:themeColor="accent3" w:themeTint="fe" w:sz="4"/>
        <w:bottom w:val="single" w:themeColor="accent3" w:themeTint="fe" w:sz="4"/>
        <w:right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225">
    <w:name w:val="Bordered &amp; Lined - Accent 1"/>
    <w:pPr>
      <w:spacing w:after="0" w:line="240" w:lineRule="auto"/>
    </w:pPr>
    <w:tblPr>
      <w:tblBorders>
        <w:top w:val="single" w:themeColor="accent1" w:sz="4"/>
        <w:left w:val="single" w:themeColor="accent1" w:sz="4"/>
        <w:bottom w:val="single" w:themeColor="accent1" w:sz="4"/>
        <w:right w:val="single" w:themeColor="accent1" w:sz="4"/>
        <w:insideH w:val="single" w:themeColor="accent1" w:sz="4"/>
        <w:insideV w:val="single" w:themeColor="accent1" w:sz="4"/>
      </w:tblBorders>
    </w:tblPr>
  </w:style>
  <w:style w:type="table" w:styleId="Style_226">
    <w:name w:val="Grid Table 2 - Accent 6"/>
    <w:pPr>
      <w:spacing w:after="0" w:line="240" w:lineRule="auto"/>
    </w:pPr>
    <w:tblPr>
      <w:tblBorders>
        <w:bottom w:val="single" w:themeColor="accent6" w:sz="4"/>
        <w:insideH w:val="single" w:themeColor="accent6" w:sz="4"/>
        <w:insideV w:val="single" w:themeColor="accent6" w:sz="4"/>
      </w:tblBorders>
    </w:tblPr>
  </w:style>
  <w:style w:type="table" w:styleId="Style_227">
    <w:name w:val="Grid Table 5 Dark - Accent 3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228">
    <w:name w:val="Bordered &amp; Lined - Accent 5"/>
    <w:pPr>
      <w:spacing w:after="0" w:line="240" w:lineRule="auto"/>
    </w:pPr>
    <w:tblPr>
      <w:tblBorders>
        <w:top w:val="single" w:themeColor="accent5" w:sz="4"/>
        <w:left w:val="single" w:themeColor="accent5" w:sz="4"/>
        <w:bottom w:val="single" w:themeColor="accent5" w:sz="4"/>
        <w:right w:val="single" w:themeColor="accent5" w:sz="4"/>
        <w:insideH w:val="single" w:themeColor="accent5" w:sz="4"/>
        <w:insideV w:val="single" w:themeColor="accent5" w:sz="4"/>
      </w:tblBorders>
    </w:tblPr>
  </w:style>
  <w:style w:type="table" w:styleId="Style_229">
    <w:name w:val="List Table 6 Colorful - Accent 5"/>
    <w:pPr>
      <w:spacing w:after="0" w:line="240" w:lineRule="auto"/>
    </w:pPr>
    <w:tblPr>
      <w:tblBorders>
        <w:top w:val="single" w:themeColor="accent5" w:themeTint="9a" w:sz="4"/>
        <w:bottom w:val="single" w:themeColor="accent5" w:themeTint="9a" w:sz="4"/>
      </w:tblBorders>
    </w:tblPr>
  </w:style>
  <w:style w:type="table" w:styleId="Style_230">
    <w:name w:val="Grid Table 1 Light - Accent 4"/>
    <w:pPr>
      <w:spacing w:after="0" w:line="240" w:lineRule="auto"/>
    </w:pPr>
    <w:tblPr>
      <w:tblBorders>
        <w:top w:val="single" w:themeColor="accent4" w:themeTint="67" w:sz="4"/>
        <w:left w:val="single" w:themeColor="accent4" w:themeTint="67" w:sz="4"/>
        <w:bottom w:val="single" w:themeColor="accent4" w:themeTint="67" w:sz="4"/>
        <w:right w:val="single" w:themeColor="accent4" w:themeTint="67" w:sz="4"/>
        <w:insideH w:val="single" w:themeColor="accent4" w:themeTint="67" w:sz="4"/>
        <w:insideV w:val="single" w:themeColor="accent4" w:themeTint="67" w:sz="4"/>
      </w:tblBorders>
    </w:tblPr>
  </w:style>
  <w:style w:type="table" w:styleId="Style_231">
    <w:name w:val="Lined - Accent 6"/>
    <w:pPr>
      <w:spacing w:after="0" w:line="240" w:lineRule="auto"/>
    </w:pPr>
  </w:style>
  <w:style w:type="table" w:styleId="Style_232">
    <w:name w:val="List Table 7 Colorful - Accent 4"/>
    <w:pPr>
      <w:spacing w:after="0" w:line="240" w:lineRule="auto"/>
    </w:pPr>
    <w:tblPr>
      <w:tblBorders>
        <w:right w:val="single" w:themeColor="accent4" w:themeTint="9a" w:sz="4"/>
      </w:tblBorders>
    </w:tblPr>
  </w:style>
  <w:style w:type="table" w:styleId="Style_233">
    <w:name w:val="List Table 5 Dark - Accent 5"/>
    <w:pPr>
      <w:spacing w:after="0" w:line="240" w:lineRule="auto"/>
    </w:pPr>
    <w:tblPr>
      <w:tblBorders>
        <w:top w:val="single" w:themeColor="accent5" w:themeTint="9a" w:sz="32"/>
        <w:left w:val="single" w:themeColor="accent5" w:themeTint="9a" w:sz="32"/>
        <w:bottom w:val="single" w:themeColor="accent5" w:themeTint="9a" w:sz="32"/>
        <w:right w:val="single" w:themeColor="accent5" w:themeTint="9a" w:sz="32"/>
      </w:tblBorders>
    </w:tblPr>
  </w:style>
  <w:style w:type="table" w:styleId="Style_234">
    <w:name w:val="List Table 2 - Accent 6"/>
    <w:pPr>
      <w:spacing w:after="0" w:line="240" w:lineRule="auto"/>
    </w:pPr>
    <w:tblPr>
      <w:tblBorders>
        <w:top w:val="single" w:themeColor="accent6" w:themeTint="90" w:sz="4"/>
        <w:bottom w:val="single" w:themeColor="accent6" w:themeTint="90" w:sz="4"/>
        <w:insideH w:val="single" w:themeColor="accent6" w:themeTint="90" w:sz="4"/>
      </w:tblBorders>
    </w:tblPr>
  </w:style>
  <w:style w:type="table" w:styleId="Style_235">
    <w:name w:val="Lined - Accent 2"/>
    <w:pPr>
      <w:spacing w:after="0" w:line="240" w:lineRule="auto"/>
    </w:pPr>
  </w:style>
  <w:style w:type="table" w:styleId="Style_236">
    <w:name w:val="Grid Table 5 Dark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237">
    <w:name w:val="List Table 3 - Accent 6"/>
    <w:pPr>
      <w:spacing w:after="0" w:line="240" w:lineRule="auto"/>
    </w:pPr>
    <w:tblPr>
      <w:tblBorders>
        <w:top w:val="single" w:themeColor="accent6" w:themeTint="98" w:sz="4"/>
        <w:left w:val="single" w:themeColor="accent6" w:themeTint="98" w:sz="4"/>
        <w:bottom w:val="single" w:themeColor="accent6" w:themeTint="98" w:sz="4"/>
        <w:right w:val="single" w:themeColor="accent6" w:themeTint="98" w:sz="4"/>
      </w:tblBorders>
    </w:tblPr>
  </w:style>
  <w:style w:type="table" w:styleId="Style_238">
    <w:name w:val="List Table 4 - Accent 6"/>
    <w:pPr>
      <w:spacing w:after="0" w:line="240" w:lineRule="auto"/>
    </w:pPr>
    <w:tblPr>
      <w:tblBorders>
        <w:top w:val="single" w:themeColor="accent6" w:themeTint="90" w:sz="4"/>
        <w:left w:val="single" w:themeColor="accent6" w:themeTint="90" w:sz="4"/>
        <w:bottom w:val="single" w:themeColor="accent6" w:themeTint="90" w:sz="4"/>
        <w:right w:val="single" w:themeColor="accent6" w:themeTint="90" w:sz="4"/>
        <w:insideH w:val="single" w:themeColor="accent6" w:themeTint="90" w:sz="4"/>
      </w:tblBorders>
    </w:tblPr>
  </w:style>
  <w:style w:type="table" w:styleId="Style_239">
    <w:name w:val="List Table 1 Light - Accent 4"/>
    <w:pPr>
      <w:spacing w:after="0" w:line="240" w:lineRule="auto"/>
    </w:pPr>
  </w:style>
  <w:style w:type="table" w:styleId="Style_240">
    <w:name w:val="List Table 7 Colorful - Accent 1"/>
    <w:pPr>
      <w:spacing w:after="0" w:line="240" w:lineRule="auto"/>
    </w:pPr>
    <w:tblPr>
      <w:tblBorders>
        <w:right w:val="single" w:themeColor="accent1" w:sz="4"/>
      </w:tblBorders>
    </w:tblPr>
  </w:style>
  <w:style w:type="table" w:styleId="Style_241">
    <w:name w:val="Grid Table 1 Light - Accent 5"/>
    <w:pPr>
      <w:spacing w:after="0" w:line="240" w:lineRule="auto"/>
    </w:pPr>
    <w:tblPr>
      <w:tblBorders>
        <w:top w:val="single" w:themeColor="accent5" w:themeTint="67" w:sz="4"/>
        <w:left w:val="single" w:themeColor="accent5" w:themeTint="67" w:sz="4"/>
        <w:bottom w:val="single" w:themeColor="accent5" w:themeTint="67" w:sz="4"/>
        <w:right w:val="single" w:themeColor="accent5" w:themeTint="67" w:sz="4"/>
        <w:insideH w:val="single" w:themeColor="accent5" w:themeTint="67" w:sz="4"/>
        <w:insideV w:val="single" w:themeColor="accent5" w:themeTint="67" w:sz="4"/>
      </w:tblBorders>
    </w:tblPr>
  </w:style>
  <w:style w:type="table" w:styleId="Style_242">
    <w:name w:val="List Table 7 Colorful - Accent 2"/>
    <w:pPr>
      <w:spacing w:after="0" w:line="240" w:lineRule="auto"/>
    </w:pPr>
    <w:tblPr>
      <w:tblBorders>
        <w:right w:val="single" w:themeColor="accent2" w:themeTint="97" w:sz="4"/>
      </w:tblBorders>
    </w:tblPr>
  </w:style>
  <w:style w:type="table" w:styleId="Style_243">
    <w:name w:val="List Table 5 Dark - Accent 2"/>
    <w:pPr>
      <w:spacing w:after="0" w:line="240" w:lineRule="auto"/>
    </w:pPr>
    <w:tblPr>
      <w:tblBorders>
        <w:top w:val="single" w:themeColor="accent2" w:themeTint="97" w:sz="32"/>
        <w:left w:val="single" w:themeColor="accent2" w:themeTint="97" w:sz="32"/>
        <w:bottom w:val="single" w:themeColor="accent2" w:themeTint="97" w:sz="32"/>
        <w:right w:val="single" w:themeColor="accent2" w:themeTint="97" w:sz="32"/>
      </w:tblBorders>
    </w:tblPr>
  </w:style>
  <w:style w:type="table" w:styleId="Style_244">
    <w:name w:val="List Table 4"/>
    <w:pPr>
      <w:spacing w:after="0" w:line="240" w:lineRule="auto"/>
    </w:pPr>
    <w:tblPr>
      <w:tblBorders>
        <w:top w:val="single" w:themeColor="text1" w:sz="4"/>
        <w:left w:val="single" w:themeColor="text1" w:sz="4"/>
        <w:bottom w:val="single" w:themeColor="text1" w:sz="4"/>
        <w:right w:val="single" w:themeColor="text1" w:sz="4"/>
        <w:insideH w:val="single" w:themeColor="text1" w:sz="4"/>
      </w:tblBorders>
    </w:tblPr>
  </w:style>
  <w:style w:type="table" w:styleId="Style_245">
    <w:name w:val="Grid Table 7 Colorful"/>
    <w:pPr>
      <w:spacing w:after="0" w:line="240" w:lineRule="auto"/>
    </w:pPr>
    <w:tblPr>
      <w:tblBorders>
        <w:bottom w:val="single" w:themeColor="text1" w:themeTint="80" w:sz="4"/>
        <w:right w:val="single" w:themeColor="text1" w:themeTint="80" w:sz="4"/>
        <w:insideH w:val="single" w:themeColor="text1" w:themeTint="80" w:sz="4"/>
        <w:insideV w:val="single" w:themeColor="text1" w:themeTint="80" w:sz="4"/>
      </w:tblBorders>
    </w:tblPr>
  </w:style>
  <w:style w:type="table" w:styleId="Style_246">
    <w:name w:val="List Table 5 Dark - Accent 4"/>
    <w:pPr>
      <w:spacing w:after="0" w:line="240" w:lineRule="auto"/>
    </w:pPr>
    <w:tblPr>
      <w:tblBorders>
        <w:top w:val="single" w:themeColor="accent4" w:themeTint="9a" w:sz="32"/>
        <w:left w:val="single" w:themeColor="accent4" w:themeTint="9a" w:sz="32"/>
        <w:bottom w:val="single" w:themeColor="accent4" w:themeTint="9a" w:sz="32"/>
        <w:right w:val="single" w:themeColor="accent4" w:themeTint="9a" w:sz="32"/>
      </w:tblBorders>
    </w:tblPr>
  </w:style>
  <w:style w:type="table" w:styleId="Style_247">
    <w:name w:val="List Table 2 - Accent 1"/>
    <w:pPr>
      <w:spacing w:after="0" w:line="240" w:lineRule="auto"/>
    </w:pPr>
    <w:tblPr>
      <w:tblBorders>
        <w:top w:val="single" w:themeColor="accent1" w:themeTint="90" w:sz="4"/>
        <w:bottom w:val="single" w:themeColor="accent1" w:themeTint="90" w:sz="4"/>
        <w:insideH w:val="single" w:themeColor="accent1" w:themeTint="90" w:sz="4"/>
      </w:tblBorders>
    </w:tblPr>
  </w:style>
  <w:style w:type="table" w:styleId="Style_248">
    <w:name w:val="Grid Table 2 - Accent 4"/>
    <w:pPr>
      <w:spacing w:after="0" w:line="240" w:lineRule="auto"/>
    </w:pPr>
    <w:tblPr>
      <w:tblBorders>
        <w:bottom w:val="single" w:themeColor="accent4" w:themeTint="9a" w:sz="4"/>
        <w:insideH w:val="single" w:themeColor="accent4" w:themeTint="9a" w:sz="4"/>
        <w:insideV w:val="single" w:themeColor="accent4" w:themeTint="9a" w:sz="4"/>
      </w:tblBorders>
    </w:tblPr>
  </w:style>
  <w:style w:type="table" w:styleId="Style_249">
    <w:name w:val="Bordered - Accent 5"/>
    <w:pPr>
      <w:spacing w:after="0" w:line="240" w:lineRule="auto"/>
    </w:pPr>
    <w:tblPr>
      <w:tblBorders>
        <w:top w:val="single" w:themeColor="accent5" w:themeTint="67" w:sz="4"/>
        <w:left w:val="single" w:themeColor="accent5" w:themeTint="67" w:sz="4"/>
        <w:bottom w:val="single" w:themeColor="accent5" w:themeTint="67" w:sz="4"/>
        <w:right w:val="single" w:themeColor="accent5" w:themeTint="67" w:sz="4"/>
        <w:insideH w:val="single" w:themeColor="accent5" w:themeTint="67" w:sz="4"/>
        <w:insideV w:val="single" w:themeColor="accent5" w:themeTint="67" w:sz="4"/>
      </w:tblBorders>
    </w:tblPr>
  </w:style>
  <w:style w:type="table" w:styleId="Style_250">
    <w:name w:val="Grid Table 7 Colorful - Accent 3"/>
    <w:pPr>
      <w:spacing w:after="0" w:line="240" w:lineRule="auto"/>
    </w:pPr>
    <w:tblPr>
      <w:tblBorders>
        <w:bottom w:val="single" w:themeColor="accent3" w:themeTint="fe" w:sz="4"/>
        <w:right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251">
    <w:name w:val="Grid Table 4 - Accent 1"/>
    <w:pPr>
      <w:spacing w:after="0" w:line="240" w:lineRule="auto"/>
    </w:pPr>
    <w:tblPr>
      <w:tblBorders>
        <w:top w:val="single" w:themeColor="accent1" w:themeTint="90" w:sz="4"/>
        <w:left w:val="single" w:themeColor="accent1" w:themeTint="90" w:sz="4"/>
        <w:bottom w:val="single" w:themeColor="accent1" w:themeTint="90" w:sz="4"/>
        <w:right w:val="single" w:themeColor="accent1" w:themeTint="90" w:sz="4"/>
        <w:insideH w:val="single" w:themeColor="accent1" w:themeTint="90" w:sz="4"/>
        <w:insideV w:val="single" w:themeColor="accent1" w:themeTint="90" w:sz="4"/>
      </w:tblBorders>
    </w:tblPr>
  </w:style>
  <w:style w:type="table" w:styleId="Style_252">
    <w:name w:val="List Table 2"/>
    <w:pPr>
      <w:spacing w:after="0" w:line="240" w:lineRule="auto"/>
    </w:pPr>
    <w:tblPr>
      <w:tblBorders>
        <w:top w:val="single" w:themeColor="text1" w:themeTint="90" w:sz="4"/>
        <w:bottom w:val="single" w:themeColor="text1" w:themeTint="90" w:sz="4"/>
        <w:insideH w:val="single" w:themeColor="text1" w:themeTint="90" w:sz="4"/>
      </w:tblBorders>
    </w:tblPr>
  </w:style>
  <w:style w:type="table" w:styleId="Style_253">
    <w:name w:val="List Table 7 Colorful - Accent 5"/>
    <w:pPr>
      <w:spacing w:after="0" w:line="240" w:lineRule="auto"/>
    </w:pPr>
    <w:tblPr>
      <w:tblBorders>
        <w:right w:val="single" w:themeColor="accent5" w:themeTint="9a" w:sz="4"/>
      </w:tblBorders>
    </w:tblPr>
  </w:style>
  <w:style w:type="table" w:styleId="Style_254">
    <w:name w:val="List Table 4 - Accent 3"/>
    <w:pPr>
      <w:spacing w:after="0" w:line="240" w:lineRule="auto"/>
    </w:pPr>
    <w:tblPr>
      <w:tblBorders>
        <w:top w:val="single" w:themeColor="accent3" w:themeTint="90" w:sz="4"/>
        <w:left w:val="single" w:themeColor="accent3" w:themeTint="90" w:sz="4"/>
        <w:bottom w:val="single" w:themeColor="accent3" w:themeTint="90" w:sz="4"/>
        <w:right w:val="single" w:themeColor="accent3" w:themeTint="90" w:sz="4"/>
        <w:insideH w:val="single" w:themeColor="accent3" w:themeTint="90" w:sz="4"/>
      </w:tblBorders>
    </w:tblPr>
  </w:style>
  <w:style w:type="table" w:styleId="Style_255">
    <w:name w:val="List Table 4 - Accent 1"/>
    <w:pPr>
      <w:spacing w:after="0" w:line="240" w:lineRule="auto"/>
    </w:pPr>
    <w:tblPr>
      <w:tblBorders>
        <w:top w:val="single" w:themeColor="accent1" w:themeTint="90" w:sz="4"/>
        <w:left w:val="single" w:themeColor="accent1" w:themeTint="90" w:sz="4"/>
        <w:bottom w:val="single" w:themeColor="accent1" w:themeTint="90" w:sz="4"/>
        <w:right w:val="single" w:themeColor="accent1" w:themeTint="90" w:sz="4"/>
        <w:insideH w:val="single" w:themeColor="accent1" w:themeTint="90" w:sz="4"/>
      </w:tblBorders>
    </w:tblPr>
  </w:style>
  <w:style w:type="table" w:styleId="Style_256">
    <w:name w:val="Plain Table 4"/>
    <w:pPr>
      <w:spacing w:after="0" w:line="240" w:lineRule="auto"/>
    </w:pPr>
  </w:style>
  <w:style w:type="table" w:styleId="Style_257">
    <w:name w:val="Lined - Accent 3"/>
    <w:pPr>
      <w:spacing w:after="0" w:line="240" w:lineRule="auto"/>
    </w:pPr>
  </w:style>
  <w:style w:type="table" w:styleId="Style_258">
    <w:name w:val="Grid Table 7 Colorful - Accent 5"/>
    <w:pPr>
      <w:spacing w:after="0" w:line="240" w:lineRule="auto"/>
    </w:pPr>
    <w:tblPr>
      <w:tblBorders>
        <w:bottom w:val="single" w:themeColor="accent5" w:themeTint="90" w:sz="4"/>
        <w:right w:val="single" w:themeColor="accent5" w:themeTint="90" w:sz="4"/>
        <w:insideH w:val="single" w:themeColor="accent5" w:themeTint="90" w:sz="4"/>
        <w:insideV w:val="single" w:themeColor="accent5" w:themeTint="90" w:sz="4"/>
      </w:tblBorders>
    </w:tblPr>
  </w:style>
  <w:style w:type="table" w:styleId="Style_259">
    <w:name w:val="List Table 4 - Accent 4"/>
    <w:pPr>
      <w:spacing w:after="0" w:line="240" w:lineRule="auto"/>
    </w:pPr>
    <w:tblPr>
      <w:tblBorders>
        <w:top w:val="single" w:themeColor="accent4" w:themeTint="90" w:sz="4"/>
        <w:left w:val="single" w:themeColor="accent4" w:themeTint="90" w:sz="4"/>
        <w:bottom w:val="single" w:themeColor="accent4" w:themeTint="90" w:sz="4"/>
        <w:right w:val="single" w:themeColor="accent4" w:themeTint="90" w:sz="4"/>
        <w:insideH w:val="single" w:themeColor="accent4" w:themeTint="90" w:sz="4"/>
      </w:tblBorders>
    </w:tblPr>
  </w:style>
  <w:style w:type="table" w:styleId="Style_260">
    <w:name w:val="Grid Table 4 - Accent 4"/>
    <w:pPr>
      <w:spacing w:after="0" w:line="240" w:lineRule="auto"/>
    </w:pPr>
    <w:tblPr>
      <w:tblBorders>
        <w:top w:val="single" w:themeColor="accent4" w:themeTint="90" w:sz="4"/>
        <w:left w:val="single" w:themeColor="accent4" w:themeTint="90" w:sz="4"/>
        <w:bottom w:val="single" w:themeColor="accent4" w:themeTint="90" w:sz="4"/>
        <w:right w:val="single" w:themeColor="accent4" w:themeTint="90" w:sz="4"/>
        <w:insideH w:val="single" w:themeColor="accent4" w:themeTint="90" w:sz="4"/>
        <w:insideV w:val="single" w:themeColor="accent4" w:themeTint="90" w:sz="4"/>
      </w:tblBorders>
    </w:tblPr>
  </w:style>
  <w:style w:type="table" w:styleId="Style_261">
    <w:name w:val="Grid Table 6 Colorful - Accent 5"/>
    <w:pPr>
      <w:spacing w:after="0" w:line="240" w:lineRule="auto"/>
    </w:pPr>
    <w:tblPr>
      <w:tblBorders>
        <w:top w:val="single" w:themeColor="accent5" w:sz="4"/>
        <w:left w:val="single" w:themeColor="accent5" w:sz="4"/>
        <w:bottom w:val="single" w:themeColor="accent5" w:sz="4"/>
        <w:right w:val="single" w:themeColor="accent5" w:sz="4"/>
        <w:insideH w:val="single" w:themeColor="accent5" w:sz="4"/>
        <w:insideV w:val="single" w:themeColor="accent5" w:sz="4"/>
      </w:tblBorders>
    </w:tblPr>
  </w:style>
  <w:style w:type="table" w:styleId="Style_262">
    <w:name w:val="Bordered - Accent 1"/>
    <w:pPr>
      <w:spacing w:after="0" w:line="240" w:lineRule="auto"/>
    </w:pPr>
    <w:tblPr>
      <w:tblBorders>
        <w:top w:val="single" w:themeColor="accent1" w:themeTint="67" w:sz="4"/>
        <w:left w:val="single" w:themeColor="accent1" w:themeTint="67" w:sz="4"/>
        <w:bottom w:val="single" w:themeColor="accent1" w:themeTint="67" w:sz="4"/>
        <w:right w:val="single" w:themeColor="accent1" w:themeTint="67" w:sz="4"/>
        <w:insideH w:val="single" w:themeColor="accent1" w:themeTint="67" w:sz="4"/>
        <w:insideV w:val="single" w:themeColor="accent1" w:themeTint="67" w:sz="4"/>
      </w:tblBorders>
    </w:tblPr>
  </w:style>
  <w:style w:type="table" w:styleId="Style_263">
    <w:name w:val="List Table 6 Colorful - Accent 6"/>
    <w:pPr>
      <w:spacing w:after="0" w:line="240" w:lineRule="auto"/>
    </w:pPr>
    <w:tblPr>
      <w:tblBorders>
        <w:top w:val="single" w:themeColor="accent6" w:themeTint="98" w:sz="4"/>
        <w:bottom w:val="single" w:themeColor="accent6" w:themeTint="98" w:sz="4"/>
      </w:tblBorders>
    </w:tblPr>
  </w:style>
  <w:style w:type="table" w:styleId="Style_264">
    <w:name w:val="List Table 6 Colorful - Accent 4"/>
    <w:pPr>
      <w:spacing w:after="0" w:line="240" w:lineRule="auto"/>
    </w:pPr>
    <w:tblPr>
      <w:tblBorders>
        <w:top w:val="single" w:themeColor="accent4" w:themeTint="9a" w:sz="4"/>
        <w:bottom w:val="single" w:themeColor="accent4" w:themeTint="9a" w:sz="4"/>
      </w:tblBorders>
    </w:tblPr>
  </w:style>
  <w:style w:type="table" w:styleId="Style_265">
    <w:name w:val="Grid Table 6 Colorful - Accent 2"/>
    <w:pPr>
      <w:spacing w:after="0" w:line="240" w:lineRule="auto"/>
    </w:pPr>
    <w:tblPr>
      <w:tblBorders>
        <w:top w:val="single" w:themeColor="accent2" w:themeTint="97" w:sz="4"/>
        <w:left w:val="single" w:themeColor="accent2" w:themeTint="97" w:sz="4"/>
        <w:bottom w:val="single" w:themeColor="accent2" w:themeTint="97" w:sz="4"/>
        <w:right w:val="single" w:themeColor="accent2" w:themeTint="97" w:sz="4"/>
        <w:insideH w:val="single" w:themeColor="accent2" w:themeTint="97" w:sz="4"/>
        <w:insideV w:val="single" w:themeColor="accent2" w:themeTint="97" w:sz="4"/>
      </w:tblBorders>
    </w:tblPr>
  </w:style>
  <w:style w:type="table" w:styleId="Style_266">
    <w:name w:val="Grid Table 2"/>
    <w:pPr>
      <w:spacing w:after="0" w:line="240" w:lineRule="auto"/>
    </w:pPr>
    <w:tblPr>
      <w:tblBorders>
        <w:bottom w:val="single" w:themeColor="text1" w:themeTint="95" w:sz="4"/>
        <w:insideH w:val="single" w:themeColor="text1" w:themeTint="95" w:sz="4"/>
        <w:insideV w:val="single" w:themeColor="text1" w:themeTint="95" w:sz="4"/>
      </w:tblBorders>
    </w:tblPr>
  </w:style>
  <w:style w:type="table" w:styleId="Style_267">
    <w:name w:val="List Table 7 Colorful - Accent 3"/>
    <w:pPr>
      <w:spacing w:after="0" w:line="240" w:lineRule="auto"/>
    </w:pPr>
    <w:tblPr>
      <w:tblBorders>
        <w:right w:val="single" w:themeColor="accent3" w:themeTint="98" w:sz="4"/>
      </w:tblBorders>
    </w:tblPr>
  </w:style>
  <w:style w:type="table" w:styleId="Style_268">
    <w:name w:val="Grid Table 5 Dark- Accent 1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269">
    <w:name w:val="List Table 3 - Accent 5"/>
    <w:pPr>
      <w:spacing w:after="0" w:line="240" w:lineRule="auto"/>
    </w:pPr>
    <w:tblPr>
      <w:tblBorders>
        <w:top w:val="single" w:themeColor="accent5" w:themeTint="9a" w:sz="4"/>
        <w:left w:val="single" w:themeColor="accent5" w:themeTint="9a" w:sz="4"/>
        <w:bottom w:val="single" w:themeColor="accent5" w:themeTint="9a" w:sz="4"/>
        <w:right w:val="single" w:themeColor="accent5" w:themeTint="9a" w:sz="4"/>
      </w:tblBorders>
    </w:tblPr>
  </w:style>
  <w:style w:type="table" w:styleId="Style_270">
    <w:name w:val="List Table 7 Colorful - Accent 6"/>
    <w:pPr>
      <w:spacing w:after="0" w:line="240" w:lineRule="auto"/>
    </w:pPr>
    <w:tblPr>
      <w:tblBorders>
        <w:right w:val="single" w:themeColor="accent6" w:themeTint="98" w:sz="4"/>
      </w:tblBorders>
    </w:tblPr>
  </w:style>
  <w:style w:type="table" w:styleId="Style_271">
    <w:name w:val="Grid Table 6 Colorful - Accent 1"/>
    <w:pPr>
      <w:spacing w:after="0" w:line="240" w:lineRule="auto"/>
    </w:pPr>
    <w:tblPr>
      <w:tblBorders>
        <w:top w:val="single" w:themeColor="accent1" w:themeTint="80" w:sz="4"/>
        <w:left w:val="single" w:themeColor="accent1" w:themeTint="80" w:sz="4"/>
        <w:bottom w:val="single" w:themeColor="accent1" w:themeTint="80" w:sz="4"/>
        <w:right w:val="single" w:themeColor="accent1" w:themeTint="80" w:sz="4"/>
        <w:insideH w:val="single" w:themeColor="accent1" w:themeTint="80" w:sz="4"/>
        <w:insideV w:val="single" w:themeColor="accent1" w:themeTint="80" w:sz="4"/>
      </w:tblBorders>
    </w:tblPr>
  </w:style>
  <w:style w:type="table" w:styleId="Style_272">
    <w:name w:val="Grid Table 2 - Accent 1"/>
    <w:pPr>
      <w:spacing w:after="0" w:line="240" w:lineRule="auto"/>
    </w:pPr>
    <w:tblPr>
      <w:tblBorders>
        <w:bottom w:val="single" w:themeColor="accent1" w:themeTint="ea" w:sz="4"/>
        <w:insideH w:val="single" w:themeColor="accent1" w:themeTint="ea" w:sz="4"/>
        <w:insideV w:val="single" w:themeColor="accent1" w:themeTint="ea" w:sz="4"/>
      </w:tblBorders>
    </w:tblPr>
  </w:style>
  <w:style w:type="table" w:styleId="Style_273">
    <w:name w:val="List Table 3 - Accent 2"/>
    <w:pPr>
      <w:spacing w:after="0" w:line="240" w:lineRule="auto"/>
    </w:pPr>
    <w:tblPr>
      <w:tblBorders>
        <w:top w:val="single" w:themeColor="accent2" w:themeTint="97" w:sz="4"/>
        <w:left w:val="single" w:themeColor="accent2" w:themeTint="97" w:sz="4"/>
        <w:bottom w:val="single" w:themeColor="accent2" w:themeTint="97" w:sz="4"/>
        <w:right w:val="single" w:themeColor="accent2" w:themeTint="97" w:sz="4"/>
      </w:tblBorders>
    </w:tblPr>
  </w:style>
  <w:style w:type="table" w:styleId="Style_274">
    <w:name w:val="List Table 2 - Accent 4"/>
    <w:pPr>
      <w:spacing w:after="0" w:line="240" w:lineRule="auto"/>
    </w:pPr>
    <w:tblPr>
      <w:tblBorders>
        <w:top w:val="single" w:themeColor="accent4" w:themeTint="90" w:sz="4"/>
        <w:bottom w:val="single" w:themeColor="accent4" w:themeTint="90" w:sz="4"/>
        <w:insideH w:val="single" w:themeColor="accent4" w:themeTint="90" w:sz="4"/>
      </w:tblBorders>
    </w:tblPr>
  </w:style>
  <w:style w:type="table" w:styleId="Style_275">
    <w:name w:val="Grid Table 7 Colorful - Accent 1"/>
    <w:pPr>
      <w:spacing w:after="0" w:line="240" w:lineRule="auto"/>
    </w:pPr>
    <w:tblPr>
      <w:tblBorders>
        <w:bottom w:val="single" w:themeColor="accent1" w:themeTint="80" w:sz="4"/>
        <w:right w:val="single" w:themeColor="accent1" w:themeTint="80" w:sz="4"/>
        <w:insideH w:val="single" w:themeColor="accent1" w:themeTint="80" w:sz="4"/>
        <w:insideV w:val="single" w:themeColor="accent1" w:themeTint="80" w:sz="4"/>
      </w:tblBorders>
    </w:tblPr>
  </w:style>
  <w:style w:type="table" w:styleId="Style_276">
    <w:name w:val="Plain Table 5"/>
    <w:pPr>
      <w:spacing w:after="0" w:line="240" w:lineRule="auto"/>
    </w:pPr>
  </w:style>
  <w:style w:type="table" w:styleId="Style_277">
    <w:name w:val="Grid Table 2 - Accent 3"/>
    <w:pPr>
      <w:spacing w:after="0" w:line="240" w:lineRule="auto"/>
    </w:pPr>
    <w:tblPr>
      <w:tblBorders>
        <w:bottom w:val="single" w:themeColor="accent3" w:themeTint="fe" w:sz="4"/>
        <w:insideH w:val="single" w:themeColor="accent3" w:themeTint="fe" w:sz="4"/>
        <w:insideV w:val="single" w:themeColor="accent3" w:themeTint="fe" w:sz="4"/>
      </w:tblBorders>
    </w:tblPr>
  </w:style>
  <w:style w:type="table" w:styleId="Style_278">
    <w:name w:val="Grid Table 6 Colorful - Accent 6"/>
    <w:pPr>
      <w:spacing w:after="0" w:line="240" w:lineRule="auto"/>
    </w:pPr>
    <w:tblPr>
      <w:tblBorders>
        <w:top w:val="single" w:themeColor="accent6" w:sz="4"/>
        <w:left w:val="single" w:themeColor="accent6" w:sz="4"/>
        <w:bottom w:val="single" w:themeColor="accent6" w:sz="4"/>
        <w:right w:val="single" w:themeColor="accent6" w:sz="4"/>
        <w:insideH w:val="single" w:themeColor="accent6" w:sz="4"/>
        <w:insideV w:val="single" w:themeColor="accent6" w:sz="4"/>
      </w:tblBorders>
    </w:tblPr>
  </w:style>
  <w:style w:type="table" w:styleId="Style_279">
    <w:name w:val="List Table 7 Colorful"/>
    <w:pPr>
      <w:spacing w:after="0" w:line="240" w:lineRule="auto"/>
    </w:pPr>
    <w:tblPr>
      <w:tblBorders>
        <w:right w:val="single" w:themeColor="text1" w:themeTint="80" w:sz="4"/>
      </w:tblBorders>
    </w:tblPr>
  </w:style>
  <w:style w:type="table" w:styleId="Style_280">
    <w:name w:val="Grid Table 5 Dark- Accent 4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281">
    <w:name w:val="Lined - Accent 1"/>
    <w:pPr>
      <w:spacing w:after="0" w:line="240" w:lineRule="auto"/>
    </w:pPr>
  </w:style>
  <w:style w:type="table" w:styleId="Style_282">
    <w:name w:val="Grid Table 3 - Accent 5"/>
    <w:pPr>
      <w:spacing w:after="0" w:line="240" w:lineRule="auto"/>
    </w:pPr>
    <w:tblPr>
      <w:tblBorders>
        <w:bottom w:val="single" w:themeColor="accent5" w:sz="4"/>
        <w:insideH w:val="single" w:themeColor="accent5" w:sz="4"/>
        <w:insideV w:val="single" w:themeColor="accent5" w:sz="4"/>
      </w:tblBorders>
    </w:tblPr>
  </w:style>
  <w:style w:type="table" w:styleId="Style_283">
    <w:name w:val="Grid Table 5 Dark - Accent 2"/>
    <w:pPr>
      <w:spacing w:after="0" w:line="240" w:lineRule="auto"/>
    </w:pPr>
    <w:tblPr>
      <w:tblBorders>
        <w:top w:val="single" w:themeColor="light1" w:sz="4"/>
        <w:left w:val="single" w:themeColor="light1" w:sz="4"/>
        <w:bottom w:val="single" w:themeColor="light1" w:sz="4"/>
        <w:right w:val="single" w:themeColor="light1" w:sz="4"/>
        <w:insideH w:val="single" w:themeColor="light1" w:sz="4"/>
        <w:insideV w:val="single" w:themeColor="light1" w:sz="4"/>
      </w:tblBorders>
    </w:tblPr>
  </w:style>
  <w:style w:type="table" w:styleId="Style_284">
    <w:name w:val="Grid Table 1 Light - Accent 1"/>
    <w:pPr>
      <w:spacing w:after="0" w:line="240" w:lineRule="auto"/>
    </w:pPr>
    <w:tblPr>
      <w:tblBorders>
        <w:top w:val="single" w:themeColor="accent1" w:themeTint="67" w:sz="4"/>
        <w:left w:val="single" w:themeColor="accent1" w:themeTint="67" w:sz="4"/>
        <w:bottom w:val="single" w:themeColor="accent1" w:themeTint="67" w:sz="4"/>
        <w:right w:val="single" w:themeColor="accent1" w:themeTint="67" w:sz="4"/>
        <w:insideH w:val="single" w:themeColor="accent1" w:themeTint="67" w:sz="4"/>
        <w:insideV w:val="single" w:themeColor="accent1" w:themeTint="67" w:sz="4"/>
      </w:tblBorders>
    </w:tblPr>
  </w:style>
  <w:style w:type="table" w:styleId="Style_285">
    <w:name w:val="Bordered &amp; Lined - Accent 6"/>
    <w:pPr>
      <w:spacing w:after="0" w:line="240" w:lineRule="auto"/>
    </w:pPr>
    <w:tblPr>
      <w:tblBorders>
        <w:top w:val="single" w:themeColor="accent6" w:sz="4"/>
        <w:left w:val="single" w:themeColor="accent6" w:sz="4"/>
        <w:bottom w:val="single" w:themeColor="accent6" w:sz="4"/>
        <w:right w:val="single" w:themeColor="accent6" w:sz="4"/>
        <w:insideH w:val="single" w:themeColor="accent6" w:sz="4"/>
        <w:insideV w:val="single" w:themeColor="accent6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AlterOffice/3.4.0.8$Linux_X86_64 LibreOffice_project/8f3f3c847f0b8d6fea24e251d3d8ed4f23cbe23c</Application>
  <AppVersion>15.0000</AppVersion>
  <Pages>19</Pages>
  <Words>2395</Words>
  <Characters>17791</Characters>
  <CharactersWithSpaces>19858</CharactersWithSpaces>
  <Paragraphs>339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2024-01-30T08:51:00Z</dcterms:created>
  <dc:creator/>
  <dc:description/>
  <dc:language>ru-RU</dc:language>
  <cp:lastModifiedBy/>
  <dcterms:modified xsi:type="dcterms:W3CDTF">2026-10-26T14:35:24Z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