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b/>
          <w:bCs/>
        </w:rPr>
      </w:pPr>
      <w:r>
        <w:rPr>
          <w:b/>
          <w:bCs/>
        </w:rPr>
        <w:t>Технические требования на поставку МТР</w:t>
      </w:r>
    </w:p>
    <w:p>
      <w:pPr>
        <w:pStyle w:val="Normal"/>
        <w:jc w:val="center"/>
        <w:rPr/>
      </w:pPr>
      <w:r>
        <w:rPr/>
      </w:r>
    </w:p>
    <w:p>
      <w:pPr>
        <w:pStyle w:val="Normal"/>
        <w:bidi w:val="0"/>
        <w:jc w:val="center"/>
        <w:rPr>
          <w:rFonts w:ascii="Times New Roman" w:hAnsi="Times New Roman"/>
          <w:b/>
          <w:bCs/>
          <w:i/>
          <w:i/>
          <w:iCs/>
          <w:strike w:val="false"/>
          <w:dstrike w:val="false"/>
          <w:outline w:val="false"/>
          <w:shadow w:val="false"/>
          <w:sz w:val="26"/>
          <w:szCs w:val="26"/>
          <w:u w:val="none"/>
          <w:em w:val="none"/>
        </w:rPr>
      </w:pPr>
      <w:r>
        <w:rPr>
          <w:rFonts w:ascii="Times New Roman" w:hAnsi="Times New Roman"/>
          <w:b/>
          <w:bCs/>
          <w:i/>
          <w:iCs/>
          <w:strike w:val="false"/>
          <w:dstrike w:val="false"/>
          <w:outline w:val="false"/>
          <w:shadow w:val="false"/>
          <w:sz w:val="26"/>
          <w:szCs w:val="26"/>
          <w:u w:val="none"/>
          <w:em w:val="none"/>
        </w:rPr>
        <w:t xml:space="preserve">ОКПД2 26.20.40.144 Поставка аппаратно-программного комплекса защиты информации для нужд филиала "Южно Якутские электрические сети" </w:t>
      </w:r>
    </w:p>
    <w:p>
      <w:pPr>
        <w:pStyle w:val="Normal"/>
        <w:jc w:val="center"/>
        <w:rPr>
          <w:b/>
          <w:bCs/>
          <w:i/>
          <w:i/>
          <w:iCs/>
        </w:rPr>
      </w:pPr>
      <w:r>
        <w:rPr>
          <w:b/>
          <w:bCs/>
          <w:i/>
          <w:iCs/>
        </w:rPr>
      </w:r>
    </w:p>
    <w:p>
      <w:pPr>
        <w:pStyle w:val="Normal"/>
        <w:bidi w:val="0"/>
        <w:jc w:val="center"/>
        <w:rPr>
          <w:rFonts w:ascii="Liberation Serif" w:hAnsi="Liberation Serif"/>
          <w:b/>
          <w:bCs/>
          <w:i/>
          <w:i/>
          <w:iCs/>
          <w:strike w:val="false"/>
          <w:dstrike w:val="false"/>
          <w:outline w:val="false"/>
          <w:shadow w:val="false"/>
          <w:sz w:val="24"/>
          <w:u w:val="none"/>
          <w:em w:val="none"/>
        </w:rPr>
      </w:pPr>
      <w:r>
        <w:rPr>
          <w:b/>
          <w:bCs/>
          <w:i/>
          <w:iCs/>
          <w:strike w:val="false"/>
          <w:dstrike w:val="false"/>
          <w:outline w:val="false"/>
          <w:shadow w:val="false"/>
          <w:sz w:val="24"/>
          <w:u w:val="none"/>
          <w:em w:val="none"/>
        </w:rPr>
        <w:t>31301-ТПИР ОНМ-2026-ДРСК-ЮЯЭС</w:t>
      </w:r>
      <w:r>
        <w:br w:type="page"/>
      </w:r>
    </w:p>
    <w:p>
      <w:pPr>
        <w:pStyle w:val="Normal"/>
        <w:jc w:val="center"/>
        <w:rPr>
          <w:b/>
          <w:bCs/>
          <w:i w:val="false"/>
          <w:i w:val="false"/>
          <w:iCs w:val="false"/>
        </w:rPr>
      </w:pPr>
      <w:r>
        <w:rPr>
          <w:b/>
          <w:bCs/>
          <w:i w:val="false"/>
          <w:iCs w:val="false"/>
        </w:rPr>
        <w:t>1. Общие сведения</w:t>
      </w:r>
    </w:p>
    <w:p>
      <w:pPr>
        <w:pStyle w:val="Normal"/>
        <w:ind w:left="0" w:right="0" w:firstLine="850"/>
        <w:jc w:val="both"/>
        <w:rPr>
          <w:b w:val="false"/>
          <w:bCs w:val="false"/>
          <w:i w:val="false"/>
          <w:i w:val="false"/>
          <w:iCs w:val="false"/>
        </w:rPr>
      </w:pPr>
      <w:r>
        <w:rPr>
          <w:b w:val="false"/>
          <w:bCs w:val="false"/>
          <w:i w:val="false"/>
          <w:iCs w:val="false"/>
        </w:rPr>
        <w:t>Настоящее приложение определяет требования к составу поставляемого оборудования для модернизации защищенной сети передачи данных с использованием СКЗИ.</w:t>
      </w:r>
    </w:p>
    <w:p>
      <w:pPr>
        <w:pStyle w:val="Normal"/>
        <w:ind w:left="0" w:right="0" w:firstLine="850"/>
        <w:jc w:val="both"/>
        <w:rPr>
          <w:b w:val="false"/>
          <w:bCs w:val="false"/>
          <w:i w:val="false"/>
          <w:i w:val="false"/>
          <w:iCs w:val="false"/>
        </w:rPr>
      </w:pPr>
      <w:r>
        <w:rPr>
          <w:b w:val="false"/>
          <w:bCs w:val="false"/>
          <w:i w:val="false"/>
          <w:iCs w:val="false"/>
        </w:rPr>
      </w:r>
    </w:p>
    <w:p>
      <w:pPr>
        <w:pStyle w:val="Normal"/>
        <w:ind w:left="0" w:right="0" w:firstLine="850"/>
        <w:jc w:val="both"/>
        <w:rPr>
          <w:b/>
          <w:bCs/>
          <w:i w:val="false"/>
          <w:i w:val="false"/>
          <w:iCs w:val="false"/>
        </w:rPr>
      </w:pPr>
      <w:r>
        <w:rPr>
          <w:b/>
          <w:bCs/>
          <w:i w:val="false"/>
          <w:iCs w:val="false"/>
        </w:rPr>
        <w:t>1.1. Обозначения и сокращения</w:t>
      </w:r>
    </w:p>
    <w:p>
      <w:pPr>
        <w:pStyle w:val="Normal"/>
        <w:ind w:left="0" w:right="0" w:firstLine="850"/>
        <w:jc w:val="both"/>
        <w:rPr>
          <w:b/>
          <w:bCs/>
          <w:i w:val="false"/>
          <w:i w:val="false"/>
          <w:iCs w:val="false"/>
        </w:rPr>
      </w:pPr>
      <w:r>
        <w:rPr>
          <w:b/>
          <w:bCs/>
          <w:i w:val="false"/>
          <w:iCs w:val="false"/>
        </w:rPr>
      </w:r>
    </w:p>
    <w:tbl>
      <w:tblPr>
        <w:tblW w:w="13664" w:type="dxa"/>
        <w:jc w:val="left"/>
        <w:tblInd w:w="-5" w:type="dxa"/>
        <w:tblLayout w:type="fixed"/>
        <w:tblCellMar>
          <w:top w:w="28" w:type="dxa"/>
          <w:left w:w="108" w:type="dxa"/>
          <w:bottom w:w="28" w:type="dxa"/>
          <w:right w:w="108" w:type="dxa"/>
        </w:tblCellMar>
      </w:tblPr>
      <w:tblGrid>
        <w:gridCol w:w="2030"/>
        <w:gridCol w:w="11634"/>
      </w:tblGrid>
      <w:tr>
        <w:trPr/>
        <w:tc>
          <w:tcPr>
            <w:tcW w:w="20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4"/>
                <w:szCs w:val="24"/>
              </w:rPr>
            </w:pPr>
            <w:r>
              <w:rPr>
                <w:sz w:val="24"/>
                <w:szCs w:val="24"/>
              </w:rPr>
              <w:t>КСПД</w:t>
            </w:r>
          </w:p>
        </w:tc>
        <w:tc>
          <w:tcPr>
            <w:tcW w:w="11634"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Корпоративная сеть передачи данных</w:t>
            </w:r>
          </w:p>
        </w:tc>
      </w:tr>
      <w:tr>
        <w:trPr/>
        <w:tc>
          <w:tcPr>
            <w:tcW w:w="2030" w:type="dxa"/>
            <w:tcBorders>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Компл.</w:t>
            </w:r>
          </w:p>
        </w:tc>
        <w:tc>
          <w:tcPr>
            <w:tcW w:w="11634" w:type="dxa"/>
            <w:tcBorders>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Комплект</w:t>
            </w:r>
          </w:p>
        </w:tc>
      </w:tr>
      <w:tr>
        <w:trPr/>
        <w:tc>
          <w:tcPr>
            <w:tcW w:w="20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шт.</w:t>
            </w:r>
          </w:p>
        </w:tc>
        <w:tc>
          <w:tcPr>
            <w:tcW w:w="11634"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Штуки</w:t>
            </w:r>
          </w:p>
        </w:tc>
      </w:tr>
      <w:tr>
        <w:trPr/>
        <w:tc>
          <w:tcPr>
            <w:tcW w:w="20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УПД</w:t>
            </w:r>
          </w:p>
        </w:tc>
        <w:tc>
          <w:tcPr>
            <w:tcW w:w="11634"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Универсальный передаточный документ</w:t>
            </w:r>
          </w:p>
        </w:tc>
      </w:tr>
      <w:tr>
        <w:trPr/>
        <w:tc>
          <w:tcPr>
            <w:tcW w:w="20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Ед.измер.</w:t>
            </w:r>
          </w:p>
        </w:tc>
        <w:tc>
          <w:tcPr>
            <w:tcW w:w="11634"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Единица измерения</w:t>
            </w:r>
          </w:p>
        </w:tc>
      </w:tr>
      <w:tr>
        <w:trPr/>
        <w:tc>
          <w:tcPr>
            <w:tcW w:w="20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Кол-во</w:t>
            </w:r>
          </w:p>
        </w:tc>
        <w:tc>
          <w:tcPr>
            <w:tcW w:w="11634"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Количество</w:t>
            </w:r>
          </w:p>
        </w:tc>
      </w:tr>
      <w:tr>
        <w:trPr/>
        <w:tc>
          <w:tcPr>
            <w:tcW w:w="20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СКЗИ</w:t>
            </w:r>
          </w:p>
        </w:tc>
        <w:tc>
          <w:tcPr>
            <w:tcW w:w="11634"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Средства криптографической защиты информации</w:t>
            </w:r>
          </w:p>
        </w:tc>
      </w:tr>
      <w:tr>
        <w:trPr/>
        <w:tc>
          <w:tcPr>
            <w:tcW w:w="20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ЗСПД</w:t>
            </w:r>
          </w:p>
        </w:tc>
        <w:tc>
          <w:tcPr>
            <w:tcW w:w="11634"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4"/>
                <w:szCs w:val="24"/>
              </w:rPr>
            </w:pPr>
            <w:r>
              <w:rPr>
                <w:color w:val="000000"/>
                <w:sz w:val="24"/>
                <w:szCs w:val="24"/>
              </w:rPr>
              <w:t>Защищенная сеть передачи данных</w:t>
            </w:r>
          </w:p>
        </w:tc>
      </w:tr>
      <w:tr>
        <w:trPr/>
        <w:tc>
          <w:tcPr>
            <w:tcW w:w="20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ПО</w:t>
            </w:r>
          </w:p>
        </w:tc>
        <w:tc>
          <w:tcPr>
            <w:tcW w:w="116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Программное обеспечение</w:t>
            </w:r>
          </w:p>
        </w:tc>
      </w:tr>
      <w:tr>
        <w:trPr/>
        <w:tc>
          <w:tcPr>
            <w:tcW w:w="20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ПО УКС</w:t>
            </w:r>
          </w:p>
        </w:tc>
        <w:tc>
          <w:tcPr>
            <w:tcW w:w="116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Программное обеспечение управления криптографической сетью</w:t>
            </w:r>
          </w:p>
        </w:tc>
      </w:tr>
      <w:tr>
        <w:trPr/>
        <w:tc>
          <w:tcPr>
            <w:tcW w:w="20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ПАК</w:t>
            </w:r>
          </w:p>
        </w:tc>
        <w:tc>
          <w:tcPr>
            <w:tcW w:w="116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Программно-аппаратный комплекс</w:t>
            </w:r>
          </w:p>
        </w:tc>
      </w:tr>
      <w:tr>
        <w:trPr/>
        <w:tc>
          <w:tcPr>
            <w:tcW w:w="20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ОС</w:t>
            </w:r>
          </w:p>
        </w:tc>
        <w:tc>
          <w:tcPr>
            <w:tcW w:w="116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Операционная система</w:t>
            </w:r>
          </w:p>
        </w:tc>
      </w:tr>
      <w:tr>
        <w:trPr/>
        <w:tc>
          <w:tcPr>
            <w:tcW w:w="20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ФСБ</w:t>
            </w:r>
          </w:p>
        </w:tc>
        <w:tc>
          <w:tcPr>
            <w:tcW w:w="116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Федеральная служба безопасности России</w:t>
            </w:r>
          </w:p>
        </w:tc>
      </w:tr>
      <w:tr>
        <w:trPr/>
        <w:tc>
          <w:tcPr>
            <w:tcW w:w="2030"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ФСТЭК</w:t>
            </w:r>
          </w:p>
        </w:tc>
        <w:tc>
          <w:tcPr>
            <w:tcW w:w="116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4"/>
                <w:szCs w:val="24"/>
              </w:rPr>
            </w:pPr>
            <w:r>
              <w:rPr>
                <w:color w:val="000000"/>
                <w:sz w:val="24"/>
                <w:szCs w:val="24"/>
              </w:rPr>
              <w:t>Федеральная служба по техническому и экспортному контролю России</w:t>
            </w:r>
          </w:p>
        </w:tc>
      </w:tr>
    </w:tbl>
    <w:p>
      <w:pPr>
        <w:pStyle w:val="Normal"/>
        <w:ind w:left="0" w:right="0" w:firstLine="850"/>
        <w:jc w:val="both"/>
        <w:rPr>
          <w:b w:val="false"/>
          <w:bCs w:val="false"/>
          <w:i w:val="false"/>
          <w:i w:val="false"/>
          <w:iCs w:val="false"/>
        </w:rPr>
      </w:pPr>
      <w:r>
        <w:rPr>
          <w:b w:val="false"/>
          <w:bCs w:val="false"/>
          <w:i w:val="false"/>
          <w:iCs w:val="false"/>
        </w:rPr>
      </w:r>
    </w:p>
    <w:p>
      <w:pPr>
        <w:pStyle w:val="Normal"/>
        <w:ind w:left="0" w:right="0" w:firstLine="850"/>
        <w:jc w:val="both"/>
        <w:rPr>
          <w:b/>
          <w:bCs/>
          <w:i w:val="false"/>
          <w:i w:val="false"/>
          <w:iCs w:val="false"/>
        </w:rPr>
      </w:pPr>
      <w:r>
        <w:rPr>
          <w:b/>
          <w:bCs/>
          <w:i w:val="false"/>
          <w:iCs w:val="false"/>
        </w:rPr>
        <w:t>1.2.</w:t>
        <w:tab/>
        <w:t>Наименование закупаемой продукции</w:t>
      </w:r>
    </w:p>
    <w:p>
      <w:pPr>
        <w:pStyle w:val="Normal"/>
        <w:ind w:left="0" w:right="0" w:firstLine="850"/>
        <w:jc w:val="both"/>
        <w:rPr>
          <w:b/>
          <w:bCs/>
          <w:i w:val="false"/>
          <w:i w:val="false"/>
          <w:iCs w:val="false"/>
        </w:rPr>
      </w:pPr>
      <w:r>
        <w:rPr>
          <w:b/>
          <w:bCs/>
          <w:i w:val="false"/>
          <w:iCs w:val="false"/>
        </w:rPr>
      </w:r>
    </w:p>
    <w:p>
      <w:pPr>
        <w:pStyle w:val="Normal"/>
        <w:ind w:left="0" w:right="0" w:firstLine="850"/>
        <w:jc w:val="both"/>
        <w:rPr>
          <w:b w:val="false"/>
          <w:bCs w:val="false"/>
          <w:i w:val="false"/>
          <w:i w:val="false"/>
          <w:iCs w:val="false"/>
        </w:rPr>
      </w:pPr>
      <w:r>
        <w:rPr>
          <w:b w:val="false"/>
          <w:bCs w:val="false"/>
          <w:i w:val="false"/>
          <w:iCs w:val="false"/>
        </w:rPr>
        <w:t>Оборудование связи для оснащения корпоративной и технологической сети передачи данных средствами защиты информации</w:t>
      </w:r>
    </w:p>
    <w:p>
      <w:pPr>
        <w:pStyle w:val="Normal"/>
        <w:ind w:left="0" w:right="0" w:firstLine="850"/>
        <w:jc w:val="both"/>
        <w:rPr>
          <w:b w:val="false"/>
          <w:bCs w:val="false"/>
          <w:i w:val="false"/>
          <w:i w:val="false"/>
          <w:iCs w:val="false"/>
        </w:rPr>
      </w:pPr>
      <w:r>
        <w:rPr>
          <w:b w:val="false"/>
          <w:bCs w:val="false"/>
          <w:i w:val="false"/>
          <w:iCs w:val="false"/>
        </w:rPr>
      </w:r>
    </w:p>
    <w:p>
      <w:pPr>
        <w:pStyle w:val="Normal"/>
        <w:ind w:left="0" w:right="0" w:firstLine="850"/>
        <w:jc w:val="both"/>
        <w:rPr>
          <w:b/>
          <w:bCs/>
          <w:i w:val="false"/>
          <w:i w:val="false"/>
          <w:iCs w:val="false"/>
        </w:rPr>
      </w:pPr>
      <w:r>
        <w:rPr>
          <w:b/>
          <w:bCs/>
          <w:i w:val="false"/>
          <w:iCs w:val="false"/>
        </w:rPr>
        <w:t>1.3.</w:t>
        <w:tab/>
        <w:t>Цель закупки и назначение поставляемого оборудования</w:t>
      </w:r>
    </w:p>
    <w:p>
      <w:pPr>
        <w:pStyle w:val="Normal"/>
        <w:ind w:left="0" w:right="0" w:firstLine="850"/>
        <w:jc w:val="both"/>
        <w:rPr>
          <w:b/>
          <w:bCs/>
          <w:i w:val="false"/>
          <w:i w:val="false"/>
          <w:iCs w:val="false"/>
        </w:rPr>
      </w:pPr>
      <w:r>
        <w:rPr>
          <w:b/>
          <w:bCs/>
          <w:i w:val="false"/>
          <w:iCs w:val="false"/>
        </w:rPr>
      </w:r>
    </w:p>
    <w:p>
      <w:pPr>
        <w:pStyle w:val="Normal"/>
        <w:ind w:left="0" w:right="0" w:firstLine="850"/>
        <w:jc w:val="both"/>
        <w:rPr>
          <w:b w:val="false"/>
          <w:bCs w:val="false"/>
          <w:i w:val="false"/>
          <w:i w:val="false"/>
          <w:iCs w:val="false"/>
        </w:rPr>
      </w:pPr>
      <w:r>
        <w:rPr>
          <w:b w:val="false"/>
          <w:bCs w:val="false"/>
          <w:i w:val="false"/>
          <w:iCs w:val="false"/>
        </w:rPr>
        <w:t>Соблюдение требований законодательства Российской Федерации в области защиты информации к обеспечению безопасности информации при её обработке в информационных системах, обеспечивающих исключение несанкционированного доступа, уничтожения, изменения, блокирования, копирования и распространения конфиденциальной информации.</w:t>
      </w:r>
    </w:p>
    <w:p>
      <w:pPr>
        <w:pStyle w:val="Normal"/>
        <w:ind w:left="0" w:right="0" w:firstLine="850"/>
        <w:jc w:val="both"/>
        <w:rPr>
          <w:b w:val="false"/>
          <w:bCs w:val="false"/>
          <w:i w:val="false"/>
          <w:i w:val="false"/>
          <w:iCs w:val="false"/>
        </w:rPr>
      </w:pPr>
      <w:r>
        <w:rPr>
          <w:b w:val="false"/>
          <w:bCs w:val="false"/>
          <w:i w:val="false"/>
          <w:iCs w:val="false"/>
        </w:rPr>
        <w:t>Назначением поставляемого оборудования является модернизация защищенной сети передачи данных для обеспечения конфиденциальности и защиты информации в инфраструктуре Заказчика в процессе ее обмена между пользователями.</w:t>
      </w:r>
    </w:p>
    <w:p>
      <w:pPr>
        <w:pStyle w:val="Normal"/>
        <w:ind w:left="0" w:right="0" w:firstLine="850"/>
        <w:jc w:val="both"/>
        <w:rPr>
          <w:b w:val="false"/>
          <w:bCs w:val="false"/>
          <w:i w:val="false"/>
          <w:i w:val="false"/>
          <w:iCs w:val="false"/>
        </w:rPr>
      </w:pPr>
      <w:r>
        <w:rPr>
          <w:b w:val="false"/>
          <w:bCs w:val="false"/>
          <w:i w:val="false"/>
          <w:iCs w:val="false"/>
        </w:rPr>
        <w:t>Защищенная сеть передачи данных должна обеспечить защиту информации, хранящейся на рабочих станциях пользователей. Сеть должна быть масштабируема, с возможностью дальнейшего приобретения дополнительных лицензий и подключения дополнительных рабочих станций силами Заказчика при необходимости.</w:t>
      </w:r>
      <w:r>
        <w:br w:type="page"/>
      </w:r>
    </w:p>
    <w:p>
      <w:pPr>
        <w:pStyle w:val="Normal"/>
        <w:ind w:left="0" w:right="0" w:hanging="0"/>
        <w:jc w:val="center"/>
        <w:rPr>
          <w:b/>
          <w:bCs/>
          <w:i w:val="false"/>
          <w:i w:val="false"/>
          <w:iCs w:val="false"/>
        </w:rPr>
      </w:pPr>
      <w:r>
        <w:rPr>
          <w:b/>
          <w:bCs/>
          <w:i w:val="false"/>
          <w:iCs w:val="false"/>
        </w:rPr>
        <w:t>2. Требования к продукции</w:t>
      </w:r>
    </w:p>
    <w:p>
      <w:pPr>
        <w:pStyle w:val="Normal"/>
        <w:ind w:left="0" w:right="0" w:hanging="0"/>
        <w:jc w:val="center"/>
        <w:rPr>
          <w:b/>
          <w:bCs/>
          <w:i w:val="false"/>
          <w:i w:val="false"/>
          <w:iCs w:val="false"/>
        </w:rPr>
      </w:pPr>
      <w:r>
        <w:rPr>
          <w:b/>
          <w:bCs/>
          <w:i w:val="false"/>
          <w:iCs w:val="false"/>
        </w:rPr>
      </w:r>
    </w:p>
    <w:p>
      <w:pPr>
        <w:pStyle w:val="Normal"/>
        <w:ind w:left="0" w:right="0" w:firstLine="850"/>
        <w:jc w:val="both"/>
        <w:rPr>
          <w:b/>
          <w:bCs/>
          <w:i w:val="false"/>
          <w:i w:val="false"/>
          <w:iCs w:val="false"/>
        </w:rPr>
      </w:pPr>
      <w:r>
        <w:rPr>
          <w:b/>
          <w:bCs/>
          <w:i w:val="false"/>
          <w:iCs w:val="false"/>
        </w:rPr>
        <w:t>2.1. Требования к объемам и срокам поставки</w:t>
      </w:r>
    </w:p>
    <w:p>
      <w:pPr>
        <w:pStyle w:val="Heading1"/>
        <w:ind w:left="0" w:right="0" w:hanging="0"/>
        <w:jc w:val="both"/>
        <w:rPr>
          <w:rFonts w:ascii="Liberation Serif" w:hAnsi="Liberation Serif"/>
          <w:b w:val="false"/>
          <w:bCs w:val="false"/>
          <w:i w:val="false"/>
          <w:i w:val="false"/>
          <w:iCs w:val="false"/>
          <w:color w:val="000000"/>
          <w:sz w:val="24"/>
          <w:szCs w:val="24"/>
        </w:rPr>
      </w:pPr>
      <w:bookmarkStart w:id="0" w:name="_Toc75446576"/>
      <w:bookmarkStart w:id="1" w:name="_Toc51339695"/>
      <w:bookmarkEnd w:id="0"/>
      <w:bookmarkEnd w:id="1"/>
      <w:r>
        <w:rPr>
          <w:b w:val="false"/>
          <w:bCs w:val="false"/>
          <w:i w:val="false"/>
          <w:iCs w:val="false"/>
          <w:color w:val="000000"/>
          <w:sz w:val="24"/>
          <w:szCs w:val="24"/>
        </w:rPr>
        <w:t>Таблица 1. Перечень и объем закупаемой продукции</w:t>
      </w:r>
    </w:p>
    <w:tbl>
      <w:tblPr>
        <w:tblW w:w="14570" w:type="dxa"/>
        <w:jc w:val="left"/>
        <w:tblInd w:w="-5" w:type="dxa"/>
        <w:tblLayout w:type="fixed"/>
        <w:tblCellMar>
          <w:top w:w="28" w:type="dxa"/>
          <w:left w:w="108" w:type="dxa"/>
          <w:bottom w:w="28" w:type="dxa"/>
          <w:right w:w="108" w:type="dxa"/>
        </w:tblCellMar>
      </w:tblPr>
      <w:tblGrid>
        <w:gridCol w:w="1458"/>
        <w:gridCol w:w="10202"/>
        <w:gridCol w:w="1578"/>
        <w:gridCol w:w="1332"/>
      </w:tblGrid>
      <w:tr>
        <w:trPr/>
        <w:tc>
          <w:tcPr>
            <w:tcW w:w="1458" w:type="dxa"/>
            <w:vMerge w:val="restart"/>
            <w:tcBorders>
              <w:top w:val="single" w:sz="4" w:space="0" w:color="000000"/>
              <w:left w:val="single" w:sz="4" w:space="0" w:color="000000"/>
              <w:bottom w:val="single" w:sz="4" w:space="0" w:color="000000"/>
              <w:right w:val="single" w:sz="4" w:space="0" w:color="000000"/>
            </w:tcBorders>
            <w:vAlign w:val="center"/>
          </w:tcPr>
          <w:p>
            <w:pPr>
              <w:pStyle w:val="Style14"/>
              <w:keepNext w:val="true"/>
              <w:widowControl w:val="false"/>
              <w:spacing w:before="0" w:after="0"/>
              <w:jc w:val="center"/>
              <w:rPr>
                <w:rFonts w:ascii="Liberation Serif" w:hAnsi="Liberation Serif"/>
                <w:color w:val="000000"/>
                <w:sz w:val="20"/>
                <w:szCs w:val="20"/>
              </w:rPr>
            </w:pPr>
            <w:r>
              <w:rPr>
                <w:color w:val="000000"/>
                <w:sz w:val="20"/>
                <w:szCs w:val="20"/>
              </w:rPr>
              <w:t>№</w:t>
            </w:r>
          </w:p>
          <w:p>
            <w:pPr>
              <w:pStyle w:val="Style14"/>
              <w:keepNext w:val="true"/>
              <w:widowControl w:val="false"/>
              <w:spacing w:before="0" w:after="0"/>
              <w:jc w:val="center"/>
              <w:rPr>
                <w:rFonts w:ascii="Liberation Serif" w:hAnsi="Liberation Serif"/>
                <w:b/>
                <w:color w:val="000000"/>
                <w:sz w:val="20"/>
                <w:szCs w:val="20"/>
              </w:rPr>
            </w:pPr>
            <w:r>
              <w:rPr>
                <w:b/>
                <w:color w:val="000000"/>
                <w:sz w:val="20"/>
                <w:szCs w:val="20"/>
              </w:rPr>
              <w:t>п/п</w:t>
            </w:r>
          </w:p>
        </w:tc>
        <w:tc>
          <w:tcPr>
            <w:tcW w:w="13112" w:type="dxa"/>
            <w:gridSpan w:val="3"/>
            <w:tcBorders>
              <w:top w:val="single" w:sz="4" w:space="0" w:color="000000"/>
              <w:left w:val="single" w:sz="4" w:space="0" w:color="000000"/>
              <w:bottom w:val="single" w:sz="4" w:space="0" w:color="000000"/>
              <w:right w:val="single" w:sz="4" w:space="0" w:color="000000"/>
            </w:tcBorders>
            <w:vAlign w:val="center"/>
          </w:tcPr>
          <w:p>
            <w:pPr>
              <w:pStyle w:val="Style14"/>
              <w:keepNext w:val="true"/>
              <w:widowControl w:val="false"/>
              <w:spacing w:before="0" w:after="0"/>
              <w:jc w:val="center"/>
              <w:rPr>
                <w:rFonts w:ascii="Liberation Serif" w:hAnsi="Liberation Serif"/>
                <w:b/>
                <w:color w:val="000000"/>
                <w:sz w:val="20"/>
                <w:szCs w:val="20"/>
              </w:rPr>
            </w:pPr>
            <w:r>
              <w:rPr>
                <w:b/>
                <w:color w:val="000000"/>
                <w:sz w:val="20"/>
                <w:szCs w:val="20"/>
              </w:rPr>
              <w:t>Требование Заказчика</w:t>
            </w:r>
          </w:p>
        </w:tc>
      </w:tr>
      <w:tr>
        <w:trPr/>
        <w:tc>
          <w:tcPr>
            <w:tcW w:w="145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0202" w:type="dxa"/>
            <w:tcBorders>
              <w:top w:val="single" w:sz="4" w:space="0" w:color="000000"/>
              <w:left w:val="single" w:sz="4" w:space="0" w:color="000000"/>
              <w:bottom w:val="single" w:sz="4" w:space="0" w:color="000000"/>
              <w:right w:val="single" w:sz="4" w:space="0" w:color="000000"/>
            </w:tcBorders>
            <w:vAlign w:val="center"/>
          </w:tcPr>
          <w:p>
            <w:pPr>
              <w:pStyle w:val="Style14"/>
              <w:keepNext w:val="true"/>
              <w:widowControl w:val="false"/>
              <w:spacing w:before="0" w:after="0"/>
              <w:jc w:val="center"/>
              <w:rPr>
                <w:rFonts w:ascii="Liberation Serif" w:hAnsi="Liberation Serif"/>
                <w:b/>
                <w:color w:val="000000"/>
                <w:sz w:val="20"/>
                <w:szCs w:val="20"/>
              </w:rPr>
            </w:pPr>
            <w:r>
              <w:rPr>
                <w:b/>
                <w:color w:val="000000"/>
                <w:sz w:val="20"/>
                <w:szCs w:val="20"/>
              </w:rPr>
              <w:t>Наименование продукции</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Style14"/>
              <w:keepNext w:val="true"/>
              <w:widowControl w:val="false"/>
              <w:spacing w:before="0" w:after="0"/>
              <w:jc w:val="center"/>
              <w:rPr>
                <w:rFonts w:ascii="Liberation Serif" w:hAnsi="Liberation Serif"/>
                <w:b/>
                <w:color w:val="000000"/>
                <w:sz w:val="20"/>
                <w:szCs w:val="20"/>
              </w:rPr>
            </w:pPr>
            <w:r>
              <w:rPr>
                <w:b/>
                <w:color w:val="000000"/>
                <w:sz w:val="20"/>
                <w:szCs w:val="20"/>
              </w:rPr>
              <w:t>Ед. измер.</w:t>
            </w:r>
          </w:p>
        </w:tc>
        <w:tc>
          <w:tcPr>
            <w:tcW w:w="1332" w:type="dxa"/>
            <w:tcBorders>
              <w:top w:val="single" w:sz="4" w:space="0" w:color="000000"/>
              <w:left w:val="single" w:sz="4" w:space="0" w:color="000000"/>
              <w:bottom w:val="single" w:sz="4" w:space="0" w:color="000000"/>
              <w:right w:val="single" w:sz="4" w:space="0" w:color="000000"/>
            </w:tcBorders>
            <w:vAlign w:val="center"/>
          </w:tcPr>
          <w:p>
            <w:pPr>
              <w:pStyle w:val="Style14"/>
              <w:keepNext w:val="true"/>
              <w:widowControl w:val="false"/>
              <w:spacing w:before="0" w:after="0"/>
              <w:jc w:val="center"/>
              <w:rPr>
                <w:rFonts w:ascii="Liberation Serif" w:hAnsi="Liberation Serif"/>
                <w:b/>
                <w:color w:val="000000"/>
                <w:sz w:val="20"/>
                <w:szCs w:val="20"/>
              </w:rPr>
            </w:pPr>
            <w:r>
              <w:rPr>
                <w:b/>
                <w:color w:val="000000"/>
                <w:sz w:val="20"/>
                <w:szCs w:val="20"/>
              </w:rPr>
              <w:t>Кол-во</w:t>
            </w:r>
          </w:p>
        </w:tc>
      </w:tr>
      <w:tr>
        <w:trPr/>
        <w:tc>
          <w:tcPr>
            <w:tcW w:w="1458"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1</w:t>
            </w:r>
          </w:p>
        </w:tc>
        <w:tc>
          <w:tcPr>
            <w:tcW w:w="10202"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2</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3</w:t>
            </w:r>
          </w:p>
        </w:tc>
        <w:tc>
          <w:tcPr>
            <w:tcW w:w="1332"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4</w:t>
            </w:r>
          </w:p>
        </w:tc>
      </w:tr>
      <w:tr>
        <w:trPr/>
        <w:tc>
          <w:tcPr>
            <w:tcW w:w="1458"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0"/>
                <w:numId w:val="4"/>
              </w:numPr>
              <w:tabs>
                <w:tab w:val="clear" w:pos="709"/>
                <w:tab w:val="left" w:pos="0" w:leader="none"/>
              </w:tabs>
              <w:spacing w:before="60" w:after="60"/>
              <w:ind w:left="1399" w:right="0" w:hanging="973"/>
              <w:rPr>
                <w:rFonts w:ascii="Liberation Serif" w:hAnsi="Liberation Serif"/>
                <w:sz w:val="20"/>
                <w:szCs w:val="20"/>
              </w:rPr>
            </w:pPr>
            <w:r>
              <w:rPr>
                <w:sz w:val="20"/>
                <w:szCs w:val="20"/>
              </w:rPr>
              <w:t> </w:t>
            </w:r>
          </w:p>
        </w:tc>
        <w:tc>
          <w:tcPr>
            <w:tcW w:w="10202"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ПАК ViPNet Coordinator HW1000 D 4.x с Сертификатом активации сервиса совместной технической поддержки ПАК ViPNet Coordinator HW1000 D 4.x на срок 1 год, уровень - Расширенный или эквивалент</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шт.</w:t>
            </w:r>
          </w:p>
        </w:tc>
        <w:tc>
          <w:tcPr>
            <w:tcW w:w="1332"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1</w:t>
            </w:r>
          </w:p>
        </w:tc>
      </w:tr>
      <w:tr>
        <w:trPr/>
        <w:tc>
          <w:tcPr>
            <w:tcW w:w="1458"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0"/>
                <w:numId w:val="5"/>
              </w:numPr>
              <w:tabs>
                <w:tab w:val="clear" w:pos="709"/>
                <w:tab w:val="left" w:pos="0" w:leader="none"/>
              </w:tabs>
              <w:spacing w:before="60" w:after="60"/>
              <w:ind w:left="1399" w:right="0" w:hanging="973"/>
              <w:rPr>
                <w:rFonts w:ascii="Liberation Serif" w:hAnsi="Liberation Serif"/>
                <w:sz w:val="20"/>
                <w:szCs w:val="20"/>
              </w:rPr>
            </w:pPr>
            <w:r>
              <w:rPr>
                <w:sz w:val="20"/>
                <w:szCs w:val="20"/>
              </w:rPr>
              <w:t> </w:t>
            </w:r>
          </w:p>
        </w:tc>
        <w:tc>
          <w:tcPr>
            <w:tcW w:w="10202"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ПАК ViPNet Coordinator HW100 С 4.x (+unlim) (платформа HW100 Q1) с Сертификатом активации сервиса совместной технической поддержки ПАК ViPNet Coordinator HW100 C 4.x (+unlim) (платформа HW100 Q1) на срок 1 год, уровень - Расширенный или эквивалент</w:t>
            </w:r>
          </w:p>
        </w:tc>
        <w:tc>
          <w:tcPr>
            <w:tcW w:w="1578"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шт.</w:t>
            </w:r>
          </w:p>
        </w:tc>
        <w:tc>
          <w:tcPr>
            <w:tcW w:w="1332"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5</w:t>
            </w:r>
          </w:p>
        </w:tc>
      </w:tr>
      <w:tr>
        <w:trPr/>
        <w:tc>
          <w:tcPr>
            <w:tcW w:w="1458" w:type="dxa"/>
            <w:tcBorders>
              <w:left w:val="single" w:sz="4" w:space="0" w:color="000000"/>
              <w:bottom w:val="single" w:sz="4" w:space="0" w:color="000000"/>
              <w:right w:val="single" w:sz="4" w:space="0" w:color="000000"/>
            </w:tcBorders>
            <w:shd w:fill="FAEBD7" w:val="clear"/>
            <w:vAlign w:val="center"/>
          </w:tcPr>
          <w:p>
            <w:pPr>
              <w:pStyle w:val="Style14"/>
              <w:widowControl w:val="false"/>
              <w:numPr>
                <w:ilvl w:val="0"/>
                <w:numId w:val="5"/>
              </w:numPr>
              <w:tabs>
                <w:tab w:val="clear" w:pos="709"/>
                <w:tab w:val="left" w:pos="0" w:leader="none"/>
              </w:tabs>
              <w:spacing w:before="60" w:after="60"/>
              <w:ind w:left="1399" w:right="0" w:hanging="973"/>
              <w:rPr>
                <w:rFonts w:ascii="Liberation Serif" w:hAnsi="Liberation Serif"/>
                <w:sz w:val="20"/>
                <w:szCs w:val="20"/>
              </w:rPr>
            </w:pPr>
            <w:r>
              <w:rPr>
                <w:sz w:val="20"/>
                <w:szCs w:val="20"/>
              </w:rPr>
            </w:r>
          </w:p>
        </w:tc>
        <w:tc>
          <w:tcPr>
            <w:tcW w:w="10202" w:type="dxa"/>
            <w:tcBorders>
              <w:left w:val="single" w:sz="4" w:space="0" w:color="000000"/>
              <w:bottom w:val="single" w:sz="4" w:space="0" w:color="000000"/>
              <w:right w:val="single" w:sz="4" w:space="0" w:color="000000"/>
            </w:tcBorders>
            <w:shd w:fill="FAEBD7" w:val="clear"/>
            <w:vAlign w:val="center"/>
          </w:tcPr>
          <w:p>
            <w:pPr>
              <w:pStyle w:val="Normal"/>
              <w:widowControl w:val="false"/>
              <w:jc w:val="both"/>
              <w:rPr>
                <w:sz w:val="20"/>
                <w:szCs w:val="20"/>
              </w:rPr>
            </w:pPr>
            <w:r>
              <w:rPr>
                <w:sz w:val="20"/>
                <w:szCs w:val="20"/>
              </w:rPr>
              <w:t xml:space="preserve">     </w:t>
            </w:r>
            <w:r>
              <w:rPr>
                <w:sz w:val="20"/>
                <w:szCs w:val="20"/>
              </w:rPr>
              <w:t xml:space="preserve">Указанные в таблице 1. настоящего ТТ ссылки на марку (тип) продукции носят описательный, а не обязательный характер. </w:t>
            </w:r>
          </w:p>
          <w:p>
            <w:pPr>
              <w:pStyle w:val="FootnoteText"/>
              <w:widowControl w:val="false"/>
              <w:jc w:val="both"/>
              <w:rPr>
                <w:sz w:val="20"/>
                <w:szCs w:val="20"/>
              </w:rPr>
            </w:pPr>
            <w:r>
              <w:rPr>
                <w:sz w:val="20"/>
                <w:szCs w:val="20"/>
              </w:rPr>
              <w:t xml:space="preserve">   </w:t>
            </w:r>
            <w:r>
              <w:rPr>
                <w:sz w:val="20"/>
                <w:szCs w:val="20"/>
              </w:rPr>
              <w:t>В случае, если Участником предлагается эквивалентная продукция требуемой Заказчику продукции или ее составных частей, он должен в обязательном порядке в составе своего предложения предоставить подробное техническое и конструктивное описание предлагаемого к поставке эквивалента, в объеме не менее установленных в настоящем ТТ требований, обозначенных как «параметры эквивалентности»</w:t>
            </w:r>
          </w:p>
          <w:p>
            <w:pPr>
              <w:pStyle w:val="FootnoteText"/>
              <w:widowControl w:val="false"/>
              <w:jc w:val="both"/>
              <w:rPr>
                <w:sz w:val="20"/>
                <w:szCs w:val="20"/>
              </w:rPr>
            </w:pPr>
            <w:r>
              <w:rPr>
                <w:sz w:val="20"/>
                <w:szCs w:val="20"/>
              </w:rPr>
              <w:t>Параметрами эквивалентности являются технические характеристики продукции, указанные в таблице № 3 настоящих технических требований.</w:t>
            </w:r>
          </w:p>
          <w:p>
            <w:pPr>
              <w:pStyle w:val="FootnoteText"/>
              <w:widowControl w:val="false"/>
              <w:jc w:val="both"/>
              <w:rPr>
                <w:sz w:val="20"/>
                <w:szCs w:val="20"/>
              </w:rPr>
            </w:pPr>
            <w:r>
              <w:rPr>
                <w:sz w:val="20"/>
                <w:szCs w:val="20"/>
              </w:rPr>
              <w:t>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p>
        </w:tc>
        <w:tc>
          <w:tcPr>
            <w:tcW w:w="1578" w:type="dxa"/>
            <w:tcBorders>
              <w:left w:val="single" w:sz="4" w:space="0" w:color="000000"/>
              <w:bottom w:val="single" w:sz="4" w:space="0" w:color="000000"/>
              <w:right w:val="single" w:sz="4" w:space="0" w:color="000000"/>
            </w:tcBorders>
            <w:shd w:fill="FAEBD7" w:val="clear"/>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332" w:type="dxa"/>
            <w:tcBorders>
              <w:left w:val="single" w:sz="4" w:space="0" w:color="000000"/>
              <w:bottom w:val="single" w:sz="4" w:space="0" w:color="000000"/>
              <w:right w:val="single" w:sz="4" w:space="0" w:color="000000"/>
            </w:tcBorders>
            <w:shd w:fill="FAEBD7" w:val="clear"/>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r>
    </w:tbl>
    <w:p>
      <w:pPr>
        <w:pStyle w:val="BodyText"/>
        <w:spacing w:before="0" w:after="0"/>
        <w:rPr>
          <w:b/>
          <w:bCs/>
          <w:i w:val="false"/>
          <w:i w:val="false"/>
          <w:iCs w:val="false"/>
        </w:rPr>
      </w:pPr>
      <w:r>
        <w:rPr>
          <w:b/>
          <w:bCs/>
          <w:i w:val="false"/>
          <w:iCs w:val="false"/>
        </w:rPr>
      </w:r>
    </w:p>
    <w:p>
      <w:pPr>
        <w:pStyle w:val="BodyText"/>
        <w:spacing w:lineRule="auto" w:line="276" w:before="0" w:after="0"/>
        <w:ind w:left="0" w:right="0" w:firstLine="850"/>
        <w:rPr>
          <w:b/>
          <w:bCs/>
          <w:i w:val="false"/>
          <w:i w:val="false"/>
          <w:iCs w:val="false"/>
        </w:rPr>
      </w:pPr>
      <w:r>
        <w:rPr>
          <w:b/>
          <w:bCs/>
          <w:i w:val="false"/>
          <w:iCs w:val="false"/>
        </w:rPr>
        <w:t>2.1.1. Требования к срокам поставки продукции</w:t>
      </w:r>
    </w:p>
    <w:p>
      <w:pPr>
        <w:pStyle w:val="BodyText"/>
        <w:spacing w:lineRule="auto" w:line="276" w:before="0" w:after="0"/>
        <w:ind w:left="0" w:right="0" w:firstLine="850"/>
        <w:rPr>
          <w:b/>
          <w:bCs/>
          <w:i w:val="false"/>
          <w:i w:val="false"/>
          <w:iCs w:val="false"/>
        </w:rPr>
      </w:pPr>
      <w:r>
        <w:rPr>
          <w:b/>
          <w:bCs/>
          <w:i w:val="false"/>
          <w:iCs w:val="false"/>
        </w:rPr>
      </w:r>
    </w:p>
    <w:p>
      <w:pPr>
        <w:pStyle w:val="BodyText"/>
        <w:spacing w:lineRule="auto" w:line="276" w:before="0" w:after="0"/>
        <w:ind w:left="0" w:right="0" w:hanging="0"/>
        <w:rPr>
          <w:b w:val="false"/>
          <w:bCs w:val="false"/>
          <w:i w:val="false"/>
          <w:i w:val="false"/>
          <w:iCs w:val="false"/>
        </w:rPr>
      </w:pPr>
      <w:r>
        <w:rPr>
          <w:b w:val="false"/>
          <w:bCs w:val="false"/>
          <w:i w:val="false"/>
          <w:iCs w:val="false"/>
        </w:rPr>
        <w:t>Таблица 2 Требования по срокам поставки продукции</w:t>
      </w:r>
    </w:p>
    <w:tbl>
      <w:tblPr>
        <w:tblW w:w="14570" w:type="dxa"/>
        <w:jc w:val="left"/>
        <w:tblInd w:w="-5" w:type="dxa"/>
        <w:tblLayout w:type="fixed"/>
        <w:tblCellMar>
          <w:top w:w="28" w:type="dxa"/>
          <w:left w:w="108" w:type="dxa"/>
          <w:bottom w:w="28" w:type="dxa"/>
          <w:right w:w="108" w:type="dxa"/>
        </w:tblCellMar>
      </w:tblPr>
      <w:tblGrid>
        <w:gridCol w:w="1458"/>
        <w:gridCol w:w="5522"/>
        <w:gridCol w:w="2760"/>
        <w:gridCol w:w="4830"/>
      </w:tblGrid>
      <w:tr>
        <w:trPr/>
        <w:tc>
          <w:tcPr>
            <w:tcW w:w="1458"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 xml:space="preserve">№ </w:t>
            </w:r>
            <w:r>
              <w:rPr>
                <w:b/>
                <w:color w:val="000000"/>
                <w:sz w:val="20"/>
                <w:szCs w:val="20"/>
              </w:rPr>
              <w:t>п/п</w:t>
            </w:r>
          </w:p>
        </w:tc>
        <w:tc>
          <w:tcPr>
            <w:tcW w:w="5522"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Наименование продукции / партии продукции</w:t>
            </w:r>
          </w:p>
        </w:tc>
        <w:tc>
          <w:tcPr>
            <w:tcW w:w="276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Требования к началу срока поставки продукции</w:t>
            </w:r>
          </w:p>
        </w:tc>
        <w:tc>
          <w:tcPr>
            <w:tcW w:w="48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Требования к окончанию срока поставки продукции</w:t>
            </w:r>
          </w:p>
        </w:tc>
      </w:tr>
      <w:tr>
        <w:trPr/>
        <w:tc>
          <w:tcPr>
            <w:tcW w:w="1458"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1</w:t>
            </w:r>
          </w:p>
        </w:tc>
        <w:tc>
          <w:tcPr>
            <w:tcW w:w="5522"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2</w:t>
            </w:r>
          </w:p>
        </w:tc>
        <w:tc>
          <w:tcPr>
            <w:tcW w:w="276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40" w:after="40"/>
              <w:ind w:left="57" w:right="57" w:hanging="0"/>
              <w:jc w:val="center"/>
              <w:rPr>
                <w:rFonts w:ascii="Liberation Serif" w:hAnsi="Liberation Serif"/>
                <w:b/>
                <w:color w:val="000000"/>
                <w:sz w:val="20"/>
                <w:szCs w:val="20"/>
              </w:rPr>
            </w:pPr>
            <w:r>
              <w:rPr>
                <w:b/>
                <w:color w:val="000000"/>
                <w:sz w:val="20"/>
                <w:szCs w:val="20"/>
              </w:rPr>
              <w:t>3</w:t>
            </w:r>
          </w:p>
        </w:tc>
        <w:tc>
          <w:tcPr>
            <w:tcW w:w="48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40" w:after="40"/>
              <w:ind w:left="57" w:right="57" w:hanging="0"/>
              <w:jc w:val="center"/>
              <w:rPr>
                <w:rFonts w:ascii="Liberation Serif" w:hAnsi="Liberation Serif"/>
                <w:b/>
                <w:color w:val="000000"/>
                <w:sz w:val="20"/>
                <w:szCs w:val="20"/>
              </w:rPr>
            </w:pPr>
            <w:r>
              <w:rPr>
                <w:b/>
                <w:color w:val="000000"/>
                <w:sz w:val="20"/>
                <w:szCs w:val="20"/>
              </w:rPr>
              <w:t>4</w:t>
            </w:r>
          </w:p>
        </w:tc>
      </w:tr>
      <w:tr>
        <w:trPr/>
        <w:tc>
          <w:tcPr>
            <w:tcW w:w="1458"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numPr>
                <w:ilvl w:val="0"/>
                <w:numId w:val="6"/>
              </w:numPr>
              <w:tabs>
                <w:tab w:val="clear" w:pos="709"/>
                <w:tab w:val="left" w:pos="0" w:leader="none"/>
              </w:tabs>
              <w:spacing w:before="60" w:after="60"/>
              <w:ind w:left="1399" w:right="0" w:hanging="973"/>
              <w:rPr>
                <w:rFonts w:ascii="Liberation Serif" w:hAnsi="Liberation Serif"/>
                <w:sz w:val="20"/>
                <w:szCs w:val="20"/>
              </w:rPr>
            </w:pPr>
            <w:r>
              <w:rPr>
                <w:sz w:val="20"/>
                <w:szCs w:val="20"/>
              </w:rPr>
              <w:t> </w:t>
            </w:r>
          </w:p>
        </w:tc>
        <w:tc>
          <w:tcPr>
            <w:tcW w:w="5522"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0"/>
                <w:szCs w:val="20"/>
              </w:rPr>
            </w:pPr>
            <w:r>
              <w:rPr>
                <w:color w:val="000000"/>
                <w:sz w:val="20"/>
                <w:szCs w:val="20"/>
              </w:rPr>
              <w:t>ПАК ViPNet Coordinator HW1000 D 4.x с Сертификатом активации сервиса совместной технической поддержки ПАК ViPNet Coordinator HW1000 D 4.x на срок 1 год, уровень - Расширенный или эквивалент</w:t>
            </w:r>
          </w:p>
        </w:tc>
        <w:tc>
          <w:tcPr>
            <w:tcW w:w="276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с даты подписания договора</w:t>
            </w:r>
          </w:p>
        </w:tc>
        <w:tc>
          <w:tcPr>
            <w:tcW w:w="48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в течение 120 (ста двадцати) календарных дней с даты подписания договора.</w:t>
            </w:r>
          </w:p>
        </w:tc>
      </w:tr>
      <w:tr>
        <w:trPr/>
        <w:tc>
          <w:tcPr>
            <w:tcW w:w="1458"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numPr>
                <w:ilvl w:val="0"/>
                <w:numId w:val="7"/>
              </w:numPr>
              <w:tabs>
                <w:tab w:val="clear" w:pos="709"/>
                <w:tab w:val="left" w:pos="0" w:leader="none"/>
              </w:tabs>
              <w:spacing w:before="60" w:after="60"/>
              <w:ind w:left="1399" w:right="0" w:hanging="973"/>
              <w:rPr>
                <w:rFonts w:ascii="Liberation Serif" w:hAnsi="Liberation Serif"/>
                <w:sz w:val="20"/>
                <w:szCs w:val="20"/>
              </w:rPr>
            </w:pPr>
            <w:r>
              <w:rPr>
                <w:sz w:val="20"/>
                <w:szCs w:val="20"/>
              </w:rPr>
              <w:t> </w:t>
            </w:r>
          </w:p>
        </w:tc>
        <w:tc>
          <w:tcPr>
            <w:tcW w:w="5522"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rPr>
                <w:rFonts w:ascii="Liberation Serif" w:hAnsi="Liberation Serif"/>
                <w:color w:val="000000"/>
                <w:sz w:val="20"/>
                <w:szCs w:val="20"/>
              </w:rPr>
            </w:pPr>
            <w:r>
              <w:rPr>
                <w:color w:val="000000"/>
                <w:sz w:val="20"/>
                <w:szCs w:val="20"/>
              </w:rPr>
              <w:t>ПАК ViPNet Coordinator HW100 С 4.x (+unlim) (платформа HW100 Q1) с Сертификатом активации сервиса совместной технической поддержки ПАК ViPNet Coordinator HW100 C 4.x (+unlim) (платформа HW100 Q1) на срок 1 год, уровень - Расширенный или эквивалент</w:t>
            </w:r>
          </w:p>
        </w:tc>
        <w:tc>
          <w:tcPr>
            <w:tcW w:w="276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с даты подписания договора</w:t>
            </w:r>
          </w:p>
        </w:tc>
        <w:tc>
          <w:tcPr>
            <w:tcW w:w="483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в течение 120 (ста двадцати) календарных дней с даты подписания договора.</w:t>
            </w:r>
          </w:p>
        </w:tc>
      </w:tr>
    </w:tbl>
    <w:p>
      <w:pPr>
        <w:pStyle w:val="BodyText"/>
        <w:spacing w:lineRule="auto" w:line="276" w:before="0" w:after="0"/>
        <w:ind w:left="0" w:right="0" w:firstLine="850"/>
        <w:rPr>
          <w:b w:val="false"/>
          <w:bCs w:val="false"/>
          <w:i w:val="false"/>
          <w:i w:val="false"/>
          <w:iCs w:val="false"/>
        </w:rPr>
      </w:pPr>
      <w:r>
        <w:rPr>
          <w:b w:val="false"/>
          <w:bCs w:val="false"/>
          <w:i w:val="false"/>
          <w:iCs w:val="false"/>
        </w:rPr>
      </w:r>
    </w:p>
    <w:p>
      <w:pPr>
        <w:pStyle w:val="BodyText"/>
        <w:spacing w:lineRule="auto" w:line="276" w:before="0" w:after="0"/>
        <w:ind w:left="0" w:right="0" w:firstLine="850"/>
        <w:rPr>
          <w:b/>
          <w:bCs/>
          <w:i w:val="false"/>
          <w:i w:val="false"/>
          <w:iCs w:val="false"/>
        </w:rPr>
      </w:pPr>
      <w:r>
        <w:rPr>
          <w:b/>
          <w:bCs/>
          <w:i w:val="false"/>
          <w:iCs w:val="false"/>
        </w:rPr>
        <w:t>2.2. Требования к качеству продукции для защиты каналов связи КСПД</w:t>
      </w:r>
    </w:p>
    <w:p>
      <w:pPr>
        <w:pStyle w:val="BodyText"/>
        <w:spacing w:lineRule="auto" w:line="276" w:before="0" w:after="0"/>
        <w:ind w:left="0" w:right="0" w:firstLine="850"/>
        <w:rPr>
          <w:b w:val="false"/>
          <w:bCs w:val="false"/>
          <w:i w:val="false"/>
          <w:i w:val="false"/>
          <w:iCs w:val="false"/>
        </w:rPr>
      </w:pPr>
      <w:r>
        <w:rPr>
          <w:b w:val="false"/>
          <w:bCs w:val="false"/>
          <w:i w:val="false"/>
          <w:iCs w:val="false"/>
        </w:rPr>
      </w:r>
    </w:p>
    <w:p>
      <w:pPr>
        <w:pStyle w:val="BodyText"/>
        <w:spacing w:lineRule="auto" w:line="276" w:before="0" w:after="0"/>
        <w:ind w:left="0" w:right="0" w:hanging="0"/>
        <w:rPr>
          <w:b w:val="false"/>
          <w:bCs w:val="false"/>
          <w:i w:val="false"/>
          <w:i w:val="false"/>
          <w:iCs w:val="false"/>
        </w:rPr>
      </w:pPr>
      <w:r>
        <w:rPr>
          <w:b w:val="false"/>
          <w:bCs w:val="false"/>
          <w:i w:val="false"/>
          <w:iCs w:val="false"/>
        </w:rPr>
        <w:t>Таблица 3. Требования к продукции для защиты каналов связи КСПД</w:t>
      </w:r>
    </w:p>
    <w:tbl>
      <w:tblPr>
        <w:tblW w:w="14570" w:type="dxa"/>
        <w:jc w:val="left"/>
        <w:tblInd w:w="-5" w:type="dxa"/>
        <w:tblLayout w:type="fixed"/>
        <w:tblCellMar>
          <w:top w:w="28" w:type="dxa"/>
          <w:left w:w="108" w:type="dxa"/>
          <w:bottom w:w="28" w:type="dxa"/>
          <w:right w:w="108" w:type="dxa"/>
        </w:tblCellMar>
      </w:tblPr>
      <w:tblGrid>
        <w:gridCol w:w="1477"/>
        <w:gridCol w:w="4036"/>
        <w:gridCol w:w="192"/>
        <w:gridCol w:w="82"/>
        <w:gridCol w:w="3791"/>
        <w:gridCol w:w="1573"/>
        <w:gridCol w:w="1810"/>
        <w:gridCol w:w="1609"/>
      </w:tblGrid>
      <w:tr>
        <w:trPr/>
        <w:tc>
          <w:tcPr>
            <w:tcW w:w="1477" w:type="dxa"/>
            <w:vMerge w:val="restart"/>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b/>
                <w:bCs/>
                <w:color w:val="000000"/>
                <w:sz w:val="20"/>
                <w:szCs w:val="20"/>
              </w:rPr>
              <w:t xml:space="preserve">№ </w:t>
            </w:r>
            <w:r>
              <w:rPr>
                <w:b/>
                <w:color w:val="000000"/>
                <w:sz w:val="20"/>
                <w:szCs w:val="20"/>
              </w:rPr>
              <w:t>п/п</w:t>
            </w:r>
          </w:p>
        </w:tc>
        <w:tc>
          <w:tcPr>
            <w:tcW w:w="4228"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Наименование параметра</w:t>
            </w:r>
          </w:p>
        </w:tc>
        <w:tc>
          <w:tcPr>
            <w:tcW w:w="387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Требование заказчика</w:t>
            </w:r>
          </w:p>
        </w:tc>
        <w:tc>
          <w:tcPr>
            <w:tcW w:w="338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Способ подтверждения участником соответствия требованиям</w:t>
            </w:r>
          </w:p>
        </w:tc>
        <w:tc>
          <w:tcPr>
            <w:tcW w:w="1609" w:type="dxa"/>
            <w:vMerge w:val="restart"/>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Предложение участника по характеристикам и параметрам</w:t>
            </w:r>
          </w:p>
        </w:tc>
      </w:tr>
      <w:tr>
        <w:trPr/>
        <w:tc>
          <w:tcPr>
            <w:tcW w:w="14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228"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387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Согласие с требованием/ указание характеристик</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Предоставление подтверждающего документа или иной способ подтверждения</w:t>
            </w:r>
          </w:p>
        </w:tc>
        <w:tc>
          <w:tcPr>
            <w:tcW w:w="16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1</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2</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3</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4</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5</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6</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0"/>
                <w:numId w:val="2"/>
              </w:numPr>
              <w:spacing w:before="60" w:after="60"/>
              <w:rPr>
                <w:rFonts w:ascii="Liberation Serif" w:hAnsi="Liberation Serif"/>
                <w:sz w:val="20"/>
                <w:szCs w:val="20"/>
              </w:rPr>
            </w:pPr>
            <w:r>
              <w:rPr>
                <w:sz w:val="20"/>
                <w:szCs w:val="20"/>
              </w:rPr>
              <w:t> </w:t>
            </w:r>
          </w:p>
        </w:tc>
        <w:tc>
          <w:tcPr>
            <w:tcW w:w="13093" w:type="dxa"/>
            <w:gridSpan w:val="7"/>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b/>
                <w:color w:val="000000"/>
                <w:sz w:val="20"/>
                <w:szCs w:val="20"/>
              </w:rPr>
              <w:t>Требования к техническим и функциональным характеристикам</w:t>
            </w:r>
            <w:r>
              <w:rPr>
                <w:color w:val="000000"/>
                <w:sz w:val="20"/>
                <w:szCs w:val="20"/>
              </w:rPr>
              <w:t> </w:t>
            </w:r>
            <w:r>
              <w:rPr>
                <w:b/>
                <w:color w:val="000000"/>
                <w:sz w:val="20"/>
                <w:szCs w:val="20"/>
              </w:rPr>
              <w:t>ПАК</w:t>
            </w:r>
            <w:r>
              <w:rPr>
                <w:color w:val="000000"/>
                <w:sz w:val="20"/>
                <w:szCs w:val="20"/>
              </w:rPr>
              <w:t> </w:t>
            </w:r>
            <w:r>
              <w:rPr>
                <w:b/>
                <w:color w:val="000000"/>
                <w:sz w:val="20"/>
                <w:szCs w:val="20"/>
              </w:rPr>
              <w:t>ViPNet</w:t>
            </w:r>
            <w:r>
              <w:rPr>
                <w:color w:val="000000"/>
                <w:sz w:val="20"/>
                <w:szCs w:val="20"/>
              </w:rPr>
              <w:t> </w:t>
            </w:r>
            <w:r>
              <w:rPr>
                <w:b/>
                <w:color w:val="000000"/>
                <w:sz w:val="20"/>
                <w:szCs w:val="20"/>
              </w:rPr>
              <w:t>Coordinator</w:t>
            </w:r>
            <w:r>
              <w:rPr>
                <w:color w:val="000000"/>
                <w:sz w:val="20"/>
                <w:szCs w:val="20"/>
              </w:rPr>
              <w:t xml:space="preserve"> </w:t>
            </w:r>
            <w:r>
              <w:rPr>
                <w:b/>
                <w:color w:val="000000"/>
                <w:sz w:val="20"/>
                <w:szCs w:val="20"/>
              </w:rPr>
              <w:t>HW1000 D 4.x с Сертификатом активации сервиса совместной технической поддержки ПАК ViPNet</w:t>
            </w:r>
            <w:r>
              <w:rPr>
                <w:color w:val="000000"/>
                <w:sz w:val="20"/>
                <w:szCs w:val="20"/>
              </w:rPr>
              <w:t> </w:t>
            </w:r>
            <w:r>
              <w:rPr>
                <w:b/>
                <w:color w:val="000000"/>
                <w:sz w:val="20"/>
                <w:szCs w:val="20"/>
              </w:rPr>
              <w:t>Coordinator</w:t>
            </w:r>
            <w:r>
              <w:rPr>
                <w:color w:val="000000"/>
                <w:sz w:val="20"/>
                <w:szCs w:val="20"/>
              </w:rPr>
              <w:t> </w:t>
            </w:r>
            <w:r>
              <w:rPr>
                <w:b/>
                <w:color w:val="000000"/>
                <w:sz w:val="20"/>
                <w:szCs w:val="20"/>
              </w:rPr>
              <w:t>HW</w:t>
            </w:r>
            <w:r>
              <w:rPr>
                <w:color w:val="000000"/>
                <w:sz w:val="20"/>
                <w:szCs w:val="20"/>
              </w:rPr>
              <w:t xml:space="preserve"> </w:t>
            </w:r>
            <w:r>
              <w:rPr>
                <w:b/>
                <w:color w:val="000000"/>
                <w:sz w:val="20"/>
                <w:szCs w:val="20"/>
              </w:rPr>
              <w:t>1000 D</w:t>
            </w:r>
            <w:r>
              <w:rPr>
                <w:color w:val="000000"/>
                <w:sz w:val="20"/>
                <w:szCs w:val="20"/>
              </w:rPr>
              <w:t xml:space="preserve"> </w:t>
            </w:r>
            <w:r>
              <w:rPr>
                <w:b/>
                <w:color w:val="000000"/>
                <w:sz w:val="20"/>
                <w:szCs w:val="20"/>
              </w:rPr>
              <w:t>4.x</w:t>
            </w:r>
            <w:r>
              <w:rPr>
                <w:color w:val="000000"/>
                <w:sz w:val="20"/>
                <w:szCs w:val="20"/>
              </w:rPr>
              <w:t> </w:t>
            </w:r>
            <w:r>
              <w:rPr>
                <w:b/>
                <w:color w:val="000000"/>
                <w:sz w:val="20"/>
                <w:szCs w:val="20"/>
              </w:rPr>
              <w:t>на срок 1 год, уровень - Расширенный или эквивалент.</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color w:val="000000"/>
                <w:sz w:val="20"/>
                <w:szCs w:val="20"/>
              </w:rPr>
              <w:t>Совместимость (полная) с программным обеспечением, реализующим функции управления защищённой сетью, в действующую у Заказчик</w:t>
            </w:r>
            <w:r>
              <w:rPr>
                <w:color w:val="000000"/>
                <w:sz w:val="20"/>
                <w:szCs w:val="20"/>
                <w:shd w:fill="auto" w:val="clear"/>
              </w:rPr>
              <w:t>а сеть ViPNet № 1259.</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color w:val="000000"/>
                <w:sz w:val="20"/>
                <w:szCs w:val="20"/>
              </w:rPr>
              <w:t xml:space="preserve">Совместимость (полная) с используемыми в сети программно-аппаратными комплексами, реализующими функции криптографического шлюза, действующие у Заказчика в </w:t>
            </w:r>
            <w:r>
              <w:rPr>
                <w:color w:val="000000"/>
                <w:sz w:val="20"/>
                <w:szCs w:val="20"/>
                <w:shd w:fill="auto" w:val="clear"/>
              </w:rPr>
              <w:t>сети ViPNet № 1259.</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Форм-фактор RACK высотой 1U (unit), предназначенный для монтажа в телекоммуникационной стойке (монтажном шкафу)</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Источник питания в комплекте поставки</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Количество блоков питания, шт.</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2</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Мощность блока питания, В.</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300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сетевых интерфейсов Ethernet 10/100/1000 Мбит/с с разъемами RJ45, шт.</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8</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сетевых интерфейсов Ethernet 1 Гбит/с с разъемами SFP, шт.</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4</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Пропускная способность межсетевого экрана, Мбит/с.</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2800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Пропускная способность L2 VPN, Мбит/с.</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2500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Пропускная способность L3 VPN, Мбит/с.</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2500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Максимальное количество обслуживаемых соединений, шт.</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1000000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портов ввода-вывода VGA, шт.</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1</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порта ввода-вывода COM-порт RS-232, шт.</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1</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4228"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портов ввода-вывода USB, шт.</w:t>
            </w:r>
          </w:p>
        </w:tc>
        <w:tc>
          <w:tcPr>
            <w:tcW w:w="3873" w:type="dxa"/>
            <w:gridSpan w:val="2"/>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6</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прозрачного шифратора протокола IP</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защиты соединения между удаленными сегментами сети на сетевом и канальном уровне модели OSI</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 xml:space="preserve">Функция шифрования и имитозащиты сетевого трафика </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шифрования каждого IP-пакет на уникальных симметричных ключах связи с другими VPN-узлами</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поддержки технологии виртуальных IP-адресов с целью обеспечения связи между защищаемыми сетями с пересекающейся IP адресацией</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сокрытия сетевой структуры VPN сети, которая обеспечивает работу защищенных компьютеров локальной сети (сегмента сети) в VPN от имени одного адреса</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поддержка прозрачной работы через различные NAT-устройства</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подключения VPN клиентов по протоколам UDP и TCP</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сервера IP-адресов для VPN-узлов для регистрации и предоставления информации о текущих IP-адресах и способах подключения VPN-узлов к VPN-сети</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обработки прикладных протоколов (FTP, DNS, H.323, SCCP (Ciscoskinny), SIP) на защищенных узлах, которым назначены виртуальные IP-адреса или для которых выполняется трансляция адресов</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межсетевого экранирования расшифрованного IP-трафика и IP-трафика, подлежащего шифрованию</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перехвата всего IP-трафика на сетевом уровне модели OSI и блокирования всех протоколов, кроме IP</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фиксации событий, связанных с фильтрацией IP-трафика, в электронном журнале регистрации IP-пакетов</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принимать централизованные политики безопасности с сервера управления</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мониторинга по протоколу SNMP (включая асинхронный режим работы SNMP Traps)</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удаленного администрирования с помощью графического WEB-интерфейса и протокола SSH</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контроля целостности ПО, программных модулей и данных, осуществляемый путем вычисления контрольных значений</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автоматического приема и обновления справочной и ключевой информации, а также программного обеспечения</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numPr>
                <w:ilvl w:val="1"/>
                <w:numId w:val="3"/>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spacing w:before="0" w:after="0"/>
              <w:jc w:val="both"/>
              <w:rPr>
                <w:rFonts w:ascii="Liberation Serif" w:hAnsi="Liberation Serif"/>
                <w:color w:val="000000"/>
                <w:sz w:val="20"/>
                <w:szCs w:val="20"/>
              </w:rPr>
            </w:pPr>
            <w:r>
              <w:rPr>
                <w:b/>
                <w:bCs/>
                <w:color w:val="C9211E"/>
                <w:sz w:val="20"/>
                <w:szCs w:val="20"/>
              </w:rPr>
              <w:t xml:space="preserve">В соответствии с Указом Президента РФ от 30.03.2022 № 166 «О мерах по обеспечению технологической независимости и безопасности критической информационной инфраструктуры» </w:t>
            </w:r>
            <w:r>
              <w:rPr>
                <w:b w:val="false"/>
                <w:bCs w:val="false"/>
                <w:color w:val="auto"/>
                <w:sz w:val="20"/>
                <w:szCs w:val="20"/>
              </w:rPr>
              <w:t>п</w:t>
            </w:r>
            <w:r>
              <w:rPr>
                <w:color w:val="000000"/>
                <w:sz w:val="20"/>
                <w:szCs w:val="20"/>
              </w:rPr>
              <w:t>оставляемое оборудование должно быть сертифицировано как СЗИ и отвечать требованиям:</w:t>
            </w:r>
          </w:p>
          <w:p>
            <w:pPr>
              <w:pStyle w:val="Style14"/>
              <w:widowControl w:val="false"/>
              <w:spacing w:before="0" w:after="0"/>
              <w:jc w:val="both"/>
              <w:rPr>
                <w:rFonts w:ascii="Liberation Serif" w:hAnsi="Liberation Serif"/>
                <w:color w:val="000000"/>
                <w:sz w:val="20"/>
                <w:szCs w:val="20"/>
              </w:rPr>
            </w:pPr>
            <w:r>
              <w:rPr>
                <w:color w:val="000000"/>
                <w:sz w:val="20"/>
                <w:szCs w:val="20"/>
              </w:rPr>
              <w:t>«Требования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 (ФСТЭК России, 2020) по 4 уровню доверия, «Требования к межсетевым экранам» (ФСТЭК России, 2016), «Профиль защиты межсетевых экранов типа А четвертого класса защиты. ИТ.МЭ.А4.ПЗ» (ФСТЭК России, 2016), «Требования ФСБ России к устройствам типа межсетевые экраны 4 класса защищенности»,</w:t>
            </w:r>
          </w:p>
          <w:p>
            <w:pPr>
              <w:pStyle w:val="Style14"/>
              <w:widowControl w:val="false"/>
              <w:spacing w:before="0" w:after="0"/>
              <w:jc w:val="both"/>
              <w:rPr>
                <w:rFonts w:ascii="Liberation Serif" w:hAnsi="Liberation Serif"/>
                <w:color w:val="000000"/>
                <w:sz w:val="20"/>
                <w:szCs w:val="20"/>
              </w:rPr>
            </w:pPr>
            <w:r>
              <w:rPr>
                <w:color w:val="000000"/>
                <w:sz w:val="20"/>
                <w:szCs w:val="20"/>
              </w:rPr>
              <w:t>«Требованиям к средствам криптографической защиты информации класса КС3» (ФСБ России)</w:t>
            </w:r>
          </w:p>
        </w:tc>
        <w:tc>
          <w:tcPr>
            <w:tcW w:w="1573" w:type="dxa"/>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spacing w:before="0" w:after="0"/>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0"/>
                <w:numId w:val="2"/>
              </w:numPr>
              <w:spacing w:before="0" w:after="0"/>
              <w:rPr>
                <w:rFonts w:ascii="Liberation Serif" w:hAnsi="Liberation Serif"/>
                <w:sz w:val="20"/>
                <w:szCs w:val="20"/>
              </w:rPr>
            </w:pPr>
            <w:r>
              <w:rPr>
                <w:sz w:val="20"/>
                <w:szCs w:val="20"/>
              </w:rPr>
              <w:t> </w:t>
            </w:r>
          </w:p>
        </w:tc>
        <w:tc>
          <w:tcPr>
            <w:tcW w:w="13093" w:type="dxa"/>
            <w:gridSpan w:val="7"/>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b/>
                <w:color w:val="000000"/>
                <w:sz w:val="20"/>
                <w:szCs w:val="20"/>
              </w:rPr>
              <w:t>Требования к техническим и функциональным характеристикам</w:t>
            </w:r>
            <w:r>
              <w:rPr>
                <w:color w:val="000000"/>
                <w:sz w:val="20"/>
                <w:szCs w:val="20"/>
              </w:rPr>
              <w:t xml:space="preserve"> </w:t>
            </w:r>
            <w:r>
              <w:rPr>
                <w:b/>
                <w:color w:val="000000"/>
                <w:sz w:val="20"/>
                <w:szCs w:val="20"/>
              </w:rPr>
              <w:t>ПАК ViPNet</w:t>
            </w:r>
            <w:r>
              <w:rPr>
                <w:color w:val="000000"/>
                <w:sz w:val="20"/>
                <w:szCs w:val="20"/>
              </w:rPr>
              <w:t> </w:t>
            </w:r>
            <w:r>
              <w:rPr>
                <w:b/>
                <w:color w:val="000000"/>
                <w:sz w:val="20"/>
                <w:szCs w:val="20"/>
              </w:rPr>
              <w:t>Coordinator</w:t>
            </w:r>
            <w:r>
              <w:rPr>
                <w:color w:val="000000"/>
                <w:sz w:val="20"/>
                <w:szCs w:val="20"/>
              </w:rPr>
              <w:t xml:space="preserve"> </w:t>
            </w:r>
            <w:r>
              <w:rPr>
                <w:b/>
                <w:color w:val="000000"/>
                <w:sz w:val="20"/>
                <w:szCs w:val="20"/>
              </w:rPr>
              <w:t>HW100 C</w:t>
            </w:r>
            <w:r>
              <w:rPr>
                <w:color w:val="000000"/>
                <w:sz w:val="20"/>
                <w:szCs w:val="20"/>
              </w:rPr>
              <w:t xml:space="preserve"> </w:t>
            </w:r>
            <w:r>
              <w:rPr>
                <w:b/>
                <w:color w:val="000000"/>
                <w:sz w:val="20"/>
                <w:szCs w:val="20"/>
              </w:rPr>
              <w:t>4.x</w:t>
            </w:r>
            <w:r>
              <w:rPr>
                <w:color w:val="000000"/>
                <w:sz w:val="20"/>
                <w:szCs w:val="20"/>
              </w:rPr>
              <w:t xml:space="preserve"> </w:t>
            </w:r>
            <w:r>
              <w:rPr>
                <w:b/>
                <w:color w:val="000000"/>
                <w:sz w:val="20"/>
                <w:szCs w:val="20"/>
              </w:rPr>
              <w:t>(+unlim)</w:t>
            </w:r>
            <w:r>
              <w:rPr>
                <w:color w:val="000000"/>
                <w:sz w:val="20"/>
                <w:szCs w:val="20"/>
              </w:rPr>
              <w:t xml:space="preserve"> </w:t>
            </w:r>
            <w:r>
              <w:rPr>
                <w:b/>
                <w:color w:val="000000"/>
                <w:sz w:val="20"/>
                <w:szCs w:val="20"/>
              </w:rPr>
              <w:t>(платформа HW100 Q1)</w:t>
            </w:r>
            <w:r>
              <w:rPr>
                <w:color w:val="000000"/>
                <w:sz w:val="20"/>
                <w:szCs w:val="20"/>
              </w:rPr>
              <w:t xml:space="preserve"> </w:t>
            </w:r>
            <w:r>
              <w:rPr>
                <w:b/>
                <w:color w:val="000000"/>
                <w:sz w:val="20"/>
                <w:szCs w:val="20"/>
              </w:rPr>
              <w:t>с Сертификатом активации сервиса совместной технической поддержки ПАК ViPNet</w:t>
            </w:r>
            <w:r>
              <w:rPr>
                <w:color w:val="000000"/>
                <w:sz w:val="20"/>
                <w:szCs w:val="20"/>
              </w:rPr>
              <w:t> </w:t>
            </w:r>
            <w:r>
              <w:rPr>
                <w:b/>
                <w:color w:val="000000"/>
                <w:sz w:val="20"/>
                <w:szCs w:val="20"/>
              </w:rPr>
              <w:t>Coordinator</w:t>
            </w:r>
            <w:r>
              <w:rPr>
                <w:color w:val="000000"/>
                <w:sz w:val="20"/>
                <w:szCs w:val="20"/>
              </w:rPr>
              <w:t> </w:t>
            </w:r>
            <w:r>
              <w:rPr>
                <w:b/>
                <w:color w:val="000000"/>
                <w:sz w:val="20"/>
                <w:szCs w:val="20"/>
              </w:rPr>
              <w:t>HW</w:t>
            </w:r>
            <w:r>
              <w:rPr>
                <w:color w:val="000000"/>
                <w:sz w:val="20"/>
                <w:szCs w:val="20"/>
              </w:rPr>
              <w:t xml:space="preserve"> </w:t>
            </w:r>
            <w:r>
              <w:rPr>
                <w:b/>
                <w:color w:val="000000"/>
                <w:sz w:val="20"/>
                <w:szCs w:val="20"/>
              </w:rPr>
              <w:t>100 C</w:t>
            </w:r>
            <w:r>
              <w:rPr>
                <w:color w:val="000000"/>
                <w:sz w:val="20"/>
                <w:szCs w:val="20"/>
              </w:rPr>
              <w:t xml:space="preserve"> </w:t>
            </w:r>
            <w:r>
              <w:rPr>
                <w:b/>
                <w:color w:val="000000"/>
                <w:sz w:val="20"/>
                <w:szCs w:val="20"/>
              </w:rPr>
              <w:t>4.x</w:t>
            </w:r>
            <w:r>
              <w:rPr>
                <w:color w:val="000000"/>
                <w:sz w:val="20"/>
                <w:szCs w:val="20"/>
              </w:rPr>
              <w:t xml:space="preserve"> </w:t>
            </w:r>
            <w:r>
              <w:rPr>
                <w:b/>
                <w:color w:val="000000"/>
                <w:sz w:val="20"/>
                <w:szCs w:val="20"/>
              </w:rPr>
              <w:t>(+unlim)</w:t>
            </w:r>
            <w:r>
              <w:rPr>
                <w:color w:val="000000"/>
                <w:sz w:val="20"/>
                <w:szCs w:val="20"/>
              </w:rPr>
              <w:t> </w:t>
            </w:r>
            <w:r>
              <w:rPr>
                <w:b/>
                <w:color w:val="000000"/>
                <w:sz w:val="20"/>
                <w:szCs w:val="20"/>
              </w:rPr>
              <w:t>(платформа HW100 Q1) на срок 1 год, уровень - Расширенный или эквивалент.</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color w:val="000000"/>
                <w:sz w:val="20"/>
                <w:szCs w:val="20"/>
              </w:rPr>
              <w:t>Совместимость (полная) с программным обеспечением, реализующим функции управления защищённой сетью, действующей у</w:t>
            </w:r>
            <w:r>
              <w:rPr>
                <w:color w:val="000000"/>
                <w:sz w:val="20"/>
                <w:szCs w:val="20"/>
                <w:shd w:fill="auto" w:val="clear"/>
              </w:rPr>
              <w:t xml:space="preserve"> Заказчика сеть ViPNet № 1259. </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color w:val="000000"/>
                <w:sz w:val="20"/>
                <w:szCs w:val="20"/>
              </w:rPr>
              <w:t xml:space="preserve">Совместимость (полная) с используемыми в сети программно-аппаратными комплексами, реализующими функции криптографического шлюза, действующие у Заказчика в </w:t>
            </w:r>
            <w:r>
              <w:rPr>
                <w:color w:val="000000"/>
                <w:sz w:val="20"/>
                <w:szCs w:val="20"/>
                <w:shd w:fill="auto" w:val="clear"/>
              </w:rPr>
              <w:t>сети ViPNet № 1259.</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Источник питания в комплекте поставки</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Количество блоков питания, шт.</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1</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Номинальная мощность, Вт.</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60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сетевых интерфейсов Ethernet 10/100/1000 Мбит/с с разъемами RJ45, шт.</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4</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сетевых интерфейсов Ethernet 1 Гбит/с с разъемами SFP, шт.</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2</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Пропускная способность межсетевого экрана, Мбит/с.</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1400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Максимальное количество обслуживаемых соединений, шт.</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150000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Пропускная способность L3 VPN, Мбит/с.</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400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Пропускная способность L3 VPN, Мбит/с.</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400</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портов ввода-вывода VGA, шт.</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1</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портов ввода-вывода USB, шт.</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2</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4310"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Наличие консольного порта с разъемом RJ45, шт.</w:t>
            </w:r>
          </w:p>
        </w:tc>
        <w:tc>
          <w:tcPr>
            <w:tcW w:w="3791"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Не менее 1</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характеристики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прозрачного шифратора протокола IP</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защиты соединения между удаленными сегментами сети на сетевом и канальном уровне модели OSI</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 xml:space="preserve">Функция шифрования и имитозащиты сетевого трафика </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шифрования каждого IP-пакет на уникальных симметричных ключах связи с другими VPN-узлами</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поддержки технологии виртуальных IP-адресов с целью обеспечения связи между защищаемыми сетями с пересекающейся IP адресацией</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сокрытия сетевой структуры VPN сети, которая обеспечивает работу защищенных компьютеров локальной сети (сегмента сети) в VPN от имени одного адреса</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поддержка прозрачной работы через различные NAT-устройства</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подключения VPN клиентов по протоколам UDP и TCP</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сервера IP-адресов для VPN-узлов для регистрации и предоставления информации о текущих IP-адресах и способах подключения VPN-узлов к VPN-сети</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обработки прикладных протоколов (FTP, DNS, H.323, SCCP (Ciscoskinny), SIP) на защищенных узлах, которым назначены виртуальные IP-адреса или для которых выполняется трансляция адресов</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межсетевого экранирования расшифрованного IP-трафика и IP-трафика, подлежащего шифрованию</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перехвата всего IP-трафика на сетевом уровне модели OSI и блокирования всех протоколов, кроме IP</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фиксации событий, связанных с фильтрацией IP-трафика, в электронном журнале регистрации IP-пакетов</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принимать централизованные политики безопасности с сервера управления</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мониторинга по протоколу SNMP (включая асинхронный режим работы SNMP Traps)</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удаленного администрирования с помощью графического WEB-интерфейса и протокола SSH</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rHeight w:val="465" w:hRule="atLeast"/>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контроля целостности ПО, программных модулей и данных, осуществляемый путем вычисления контрольных значений</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color w:val="000000"/>
                <w:sz w:val="20"/>
                <w:szCs w:val="20"/>
              </w:rPr>
            </w:pPr>
            <w:r>
              <w:rPr>
                <w:color w:val="000000"/>
                <w:sz w:val="20"/>
                <w:szCs w:val="20"/>
              </w:rPr>
              <w:t>Функция автоматического приема и обновления справочной и ключевой информации, а также программного обеспечения</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numPr>
                <w:ilvl w:val="1"/>
                <w:numId w:val="8"/>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spacing w:before="0" w:after="0"/>
              <w:rPr>
                <w:rFonts w:ascii="Liberation Serif" w:hAnsi="Liberation Serif"/>
                <w:color w:val="000000"/>
                <w:sz w:val="20"/>
                <w:szCs w:val="20"/>
              </w:rPr>
            </w:pPr>
            <w:r>
              <w:rPr>
                <w:b/>
                <w:bCs/>
                <w:color w:val="C9211E"/>
                <w:sz w:val="20"/>
                <w:szCs w:val="20"/>
              </w:rPr>
              <w:t xml:space="preserve">В соответствии с Указом Президента РФ от 30.03.2022 № 166 «О мерах по обеспечению технологической независимости и безопасности критической информационной инфраструктуры» </w:t>
            </w:r>
            <w:r>
              <w:rPr>
                <w:b w:val="false"/>
                <w:bCs w:val="false"/>
                <w:color w:val="auto"/>
                <w:sz w:val="20"/>
                <w:szCs w:val="20"/>
              </w:rPr>
              <w:t>п</w:t>
            </w:r>
            <w:r>
              <w:rPr>
                <w:color w:val="000000"/>
                <w:sz w:val="20"/>
                <w:szCs w:val="20"/>
              </w:rPr>
              <w:t>оставляемое оборудование должно быть сертифицировано как СЗИ и отвечать требованиям:</w:t>
            </w:r>
          </w:p>
          <w:p>
            <w:pPr>
              <w:pStyle w:val="Style14"/>
              <w:widowControl w:val="false"/>
              <w:spacing w:before="0" w:after="0"/>
              <w:rPr>
                <w:rFonts w:ascii="Liberation Serif" w:hAnsi="Liberation Serif"/>
                <w:color w:val="000000"/>
                <w:sz w:val="20"/>
                <w:szCs w:val="20"/>
              </w:rPr>
            </w:pPr>
            <w:r>
              <w:rPr>
                <w:color w:val="000000"/>
                <w:sz w:val="20"/>
                <w:szCs w:val="20"/>
              </w:rPr>
              <w:t>«Требования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 (ФСТЭК России, 2020) по 4 уровню доверия, «Требования к межсетевым экранам» (ФСТЭК России, 2016), «Профиль защиты межсетевых экранов типа А четвертого класса защиты. ИТ.МЭ.А4.ПЗ» (ФСТЭК России, 2016), «Требования ФСБ России к устройствам типа межсетевые экраны 4 класса защищенности»,</w:t>
            </w:r>
          </w:p>
          <w:p>
            <w:pPr>
              <w:pStyle w:val="Style14"/>
              <w:widowControl w:val="false"/>
              <w:spacing w:before="0" w:after="0"/>
              <w:rPr>
                <w:rFonts w:ascii="Liberation Serif" w:hAnsi="Liberation Serif"/>
                <w:color w:val="000000"/>
                <w:sz w:val="20"/>
                <w:szCs w:val="20"/>
              </w:rPr>
            </w:pPr>
            <w:r>
              <w:rPr>
                <w:color w:val="000000"/>
                <w:sz w:val="20"/>
                <w:szCs w:val="20"/>
              </w:rPr>
              <w:t>«Требованиям к средствам криптографической защиты информации класса КС3» (ФСБ России)</w:t>
            </w:r>
          </w:p>
        </w:tc>
        <w:tc>
          <w:tcPr>
            <w:tcW w:w="1573" w:type="dxa"/>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shd w:fill="FAEBD7" w:val="clear"/>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0"/>
                <w:numId w:val="2"/>
              </w:numPr>
              <w:spacing w:before="0" w:after="0"/>
              <w:rPr>
                <w:rFonts w:ascii="Liberation Serif" w:hAnsi="Liberation Serif"/>
                <w:sz w:val="20"/>
                <w:szCs w:val="20"/>
              </w:rPr>
            </w:pPr>
            <w:r>
              <w:rPr>
                <w:sz w:val="20"/>
                <w:szCs w:val="20"/>
              </w:rPr>
              <w:t> </w:t>
            </w:r>
          </w:p>
        </w:tc>
        <w:tc>
          <w:tcPr>
            <w:tcW w:w="13093" w:type="dxa"/>
            <w:gridSpan w:val="7"/>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b/>
                <w:color w:val="000000"/>
                <w:sz w:val="20"/>
                <w:szCs w:val="20"/>
              </w:rPr>
            </w:pPr>
            <w:r>
              <w:rPr>
                <w:b/>
                <w:color w:val="000000"/>
                <w:sz w:val="20"/>
                <w:szCs w:val="20"/>
              </w:rPr>
              <w:t>Требование к совместимости комплекта оборудования</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9"/>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ind w:left="142" w:right="0" w:hanging="0"/>
              <w:jc w:val="both"/>
              <w:rPr>
                <w:rFonts w:ascii="Liberation Serif" w:hAnsi="Liberation Serif"/>
                <w:sz w:val="20"/>
                <w:szCs w:val="20"/>
              </w:rPr>
            </w:pPr>
            <w:r>
              <w:rPr>
                <w:i/>
                <w:color w:val="000000"/>
                <w:sz w:val="20"/>
                <w:szCs w:val="20"/>
              </w:rPr>
              <w:t>Поставляемое оборудование должно</w:t>
            </w:r>
            <w:r>
              <w:rPr>
                <w:color w:val="000000"/>
                <w:sz w:val="20"/>
                <w:szCs w:val="20"/>
              </w:rPr>
              <w:t xml:space="preserve"> </w:t>
            </w:r>
            <w:r>
              <w:rPr>
                <w:i/>
                <w:color w:val="000000"/>
                <w:sz w:val="20"/>
                <w:szCs w:val="20"/>
              </w:rPr>
              <w:t>быть совместимо</w:t>
            </w:r>
            <w:r>
              <w:rPr>
                <w:color w:val="000000"/>
                <w:sz w:val="20"/>
                <w:szCs w:val="20"/>
              </w:rPr>
              <w:t xml:space="preserve"> </w:t>
            </w:r>
            <w:r>
              <w:rPr>
                <w:i/>
                <w:color w:val="000000"/>
                <w:sz w:val="20"/>
                <w:szCs w:val="20"/>
              </w:rPr>
              <w:t>с существующими системами, находящимися в эксплуатации в АО ДРСК, в том числе, по набору функциональных возможностей и имеющие возможность работы в действующей системе управления и мониторинга.</w:t>
            </w:r>
          </w:p>
        </w:tc>
        <w:tc>
          <w:tcPr>
            <w:tcW w:w="1573"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color w:val="808080"/>
                <w:sz w:val="20"/>
                <w:szCs w:val="20"/>
              </w:rPr>
            </w:pPr>
            <w:r>
              <w:rPr>
                <w:color w:val="80808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tcPr>
          <w:p>
            <w:pPr>
              <w:pStyle w:val="Style14"/>
              <w:widowControl w:val="false"/>
              <w:numPr>
                <w:ilvl w:val="0"/>
                <w:numId w:val="2"/>
              </w:numPr>
              <w:spacing w:before="0" w:after="0"/>
              <w:jc w:val="left"/>
              <w:rPr>
                <w:sz w:val="20"/>
                <w:szCs w:val="20"/>
              </w:rPr>
            </w:pPr>
            <w:r>
              <w:rPr>
                <w:sz w:val="20"/>
                <w:szCs w:val="20"/>
              </w:rPr>
              <w:t> </w:t>
            </w:r>
          </w:p>
        </w:tc>
        <w:tc>
          <w:tcPr>
            <w:tcW w:w="13093" w:type="dxa"/>
            <w:gridSpan w:val="7"/>
            <w:tcBorders>
              <w:top w:val="single" w:sz="4" w:space="0" w:color="000000"/>
              <w:left w:val="single" w:sz="4" w:space="0" w:color="000000"/>
              <w:bottom w:val="single" w:sz="4" w:space="0" w:color="000000"/>
              <w:right w:val="single" w:sz="4" w:space="0" w:color="000000"/>
            </w:tcBorders>
          </w:tcPr>
          <w:p>
            <w:pPr>
              <w:pStyle w:val="Style14"/>
              <w:widowControl w:val="false"/>
              <w:spacing w:before="0" w:after="0"/>
              <w:jc w:val="left"/>
              <w:rPr>
                <w:b/>
                <w:color w:val="000000"/>
                <w:sz w:val="20"/>
                <w:szCs w:val="20"/>
              </w:rPr>
            </w:pPr>
            <w:r>
              <w:rPr>
                <w:b/>
                <w:color w:val="000000"/>
                <w:sz w:val="20"/>
                <w:szCs w:val="20"/>
              </w:rPr>
              <w:t>Требования к безопасности</w:t>
            </w:r>
          </w:p>
        </w:tc>
      </w:tr>
      <w:tr>
        <w:trPr>
          <w:trHeight w:val="1590" w:hRule="atLeast"/>
        </w:trPr>
        <w:tc>
          <w:tcPr>
            <w:tcW w:w="1477" w:type="dxa"/>
            <w:vMerge w:val="restart"/>
            <w:tcBorders>
              <w:top w:val="single" w:sz="4" w:space="0" w:color="000000"/>
              <w:left w:val="single" w:sz="4" w:space="0" w:color="000000"/>
              <w:bottom w:val="single" w:sz="4" w:space="0" w:color="000000"/>
              <w:right w:val="single" w:sz="4" w:space="0" w:color="000000"/>
            </w:tcBorders>
          </w:tcPr>
          <w:p>
            <w:pPr>
              <w:pStyle w:val="Style14"/>
              <w:widowControl w:val="false"/>
              <w:numPr>
                <w:ilvl w:val="1"/>
                <w:numId w:val="10"/>
              </w:numPr>
              <w:spacing w:before="0" w:after="0"/>
              <w:jc w:val="left"/>
              <w:rPr>
                <w:sz w:val="20"/>
                <w:szCs w:val="20"/>
              </w:rPr>
            </w:pPr>
            <w:r>
              <w:rPr>
                <w:sz w:val="20"/>
                <w:szCs w:val="20"/>
              </w:rPr>
              <w:t> </w:t>
            </w:r>
          </w:p>
        </w:tc>
        <w:tc>
          <w:tcPr>
            <w:tcW w:w="4036" w:type="dxa"/>
            <w:vMerge w:val="restart"/>
            <w:tcBorders>
              <w:top w:val="single" w:sz="4" w:space="0" w:color="000000"/>
              <w:left w:val="single" w:sz="4" w:space="0" w:color="000000"/>
              <w:bottom w:val="single" w:sz="4" w:space="0" w:color="000000"/>
              <w:right w:val="single" w:sz="4" w:space="0" w:color="000000"/>
            </w:tcBorders>
          </w:tcPr>
          <w:p>
            <w:pPr>
              <w:pStyle w:val="Style14"/>
              <w:widowControl w:val="false"/>
              <w:shd w:fill="FFFFFF" w:val="clear"/>
              <w:spacing w:before="0" w:after="0"/>
              <w:jc w:val="left"/>
              <w:rPr>
                <w:color w:val="000000"/>
                <w:sz w:val="20"/>
                <w:szCs w:val="20"/>
              </w:rPr>
            </w:pPr>
            <w:r>
              <w:rPr>
                <w:color w:val="000000"/>
                <w:sz w:val="20"/>
                <w:szCs w:val="20"/>
              </w:rPr>
              <w:t>Безопасность низковольтного оборудования</w:t>
            </w:r>
          </w:p>
        </w:tc>
        <w:tc>
          <w:tcPr>
            <w:tcW w:w="4065" w:type="dxa"/>
            <w:gridSpan w:val="3"/>
            <w:vMerge w:val="restart"/>
            <w:tcBorders>
              <w:top w:val="single" w:sz="4" w:space="0" w:color="000000"/>
              <w:left w:val="single" w:sz="4" w:space="0" w:color="000000"/>
              <w:bottom w:val="single" w:sz="4" w:space="0" w:color="000000"/>
              <w:right w:val="single" w:sz="4" w:space="0" w:color="000000"/>
            </w:tcBorders>
          </w:tcPr>
          <w:p>
            <w:pPr>
              <w:pStyle w:val="Style14"/>
              <w:widowControl w:val="false"/>
              <w:spacing w:before="0" w:after="0"/>
              <w:jc w:val="left"/>
              <w:rPr/>
            </w:pPr>
            <w:r>
              <w:rPr>
                <w:color w:val="000000"/>
                <w:sz w:val="20"/>
                <w:szCs w:val="20"/>
              </w:rPr>
              <w:t>Комплект оборудования связи должен соответствовать Техническому регламенту Таможенного союза ТР ТС 004/2011 «О безопасности низковольтного оборудования»</w:t>
            </w:r>
          </w:p>
        </w:tc>
        <w:tc>
          <w:tcPr>
            <w:tcW w:w="1573" w:type="dxa"/>
            <w:vMerge w:val="restart"/>
            <w:tcBorders>
              <w:top w:val="single" w:sz="4" w:space="0" w:color="000000"/>
              <w:left w:val="single" w:sz="4" w:space="0" w:color="000000"/>
              <w:bottom w:val="single" w:sz="4" w:space="0" w:color="000000"/>
              <w:right w:val="single" w:sz="4" w:space="0" w:color="000000"/>
            </w:tcBorders>
          </w:tcPr>
          <w:p>
            <w:pPr>
              <w:pStyle w:val="Style14"/>
              <w:widowControl w:val="false"/>
              <w:spacing w:before="0" w:after="0"/>
              <w:jc w:val="left"/>
              <w:rPr/>
            </w:pPr>
            <w:r>
              <w:rPr>
                <w:color w:val="000000"/>
                <w:sz w:val="20"/>
                <w:szCs w:val="20"/>
              </w:rPr>
              <w:t>Согласие с требованием </w:t>
            </w:r>
          </w:p>
        </w:tc>
        <w:tc>
          <w:tcPr>
            <w:tcW w:w="1810" w:type="dxa"/>
            <w:tcBorders>
              <w:top w:val="single" w:sz="4" w:space="0" w:color="000000"/>
              <w:left w:val="single" w:sz="4" w:space="0" w:color="000000"/>
              <w:bottom w:val="single" w:sz="4" w:space="0" w:color="000000"/>
              <w:right w:val="single" w:sz="4" w:space="0" w:color="000000"/>
            </w:tcBorders>
          </w:tcPr>
          <w:p>
            <w:pPr>
              <w:pStyle w:val="Style14"/>
              <w:widowControl w:val="false"/>
              <w:spacing w:before="0" w:after="0"/>
              <w:jc w:val="left"/>
              <w:rPr/>
            </w:pPr>
            <w:r>
              <w:rPr>
                <w:color w:val="000000"/>
                <w:sz w:val="20"/>
                <w:szCs w:val="20"/>
              </w:rPr>
              <w:t>Предоставить копии сертификата о соответствии ТР ТС 004/2011</w:t>
            </w:r>
          </w:p>
        </w:tc>
        <w:tc>
          <w:tcPr>
            <w:tcW w:w="1609" w:type="dxa"/>
            <w:tcBorders>
              <w:top w:val="single" w:sz="4" w:space="0" w:color="000000"/>
              <w:left w:val="single" w:sz="4" w:space="0" w:color="000000"/>
              <w:bottom w:val="single" w:sz="4" w:space="0" w:color="000000"/>
              <w:right w:val="single" w:sz="4" w:space="0" w:color="000000"/>
            </w:tcBorders>
          </w:tcPr>
          <w:p>
            <w:pPr>
              <w:pStyle w:val="Style14"/>
              <w:widowControl w:val="false"/>
              <w:spacing w:before="0" w:after="0"/>
              <w:jc w:val="left"/>
              <w:rPr>
                <w:sz w:val="20"/>
                <w:szCs w:val="20"/>
              </w:rPr>
            </w:pPr>
            <w:r>
              <w:rPr>
                <w:sz w:val="20"/>
                <w:szCs w:val="20"/>
              </w:rPr>
              <w:t> </w:t>
            </w:r>
          </w:p>
        </w:tc>
      </w:tr>
      <w:tr>
        <w:trPr/>
        <w:tc>
          <w:tcPr>
            <w:tcW w:w="1477"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036"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065" w:type="dxa"/>
            <w:gridSpan w:val="3"/>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573"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810" w:type="dxa"/>
            <w:tcBorders>
              <w:left w:val="single" w:sz="4" w:space="0" w:color="000000"/>
              <w:bottom w:val="single" w:sz="4" w:space="0" w:color="000000"/>
              <w:right w:val="single" w:sz="4" w:space="0" w:color="000000"/>
            </w:tcBorders>
            <w:shd w:fill="FAEBD7" w:val="clear"/>
          </w:tcPr>
          <w:p>
            <w:pPr>
              <w:pStyle w:val="FootnoteText"/>
              <w:widowControl w:val="false"/>
              <w:suppressLineNumbers/>
              <w:spacing w:before="0" w:after="0"/>
              <w:ind w:left="113" w:right="0" w:hanging="0"/>
              <w:jc w:val="left"/>
              <w:rPr>
                <w:b/>
                <w:bCs/>
                <w:color w:val="DC143C"/>
                <w:sz w:val="20"/>
                <w:szCs w:val="20"/>
              </w:rPr>
            </w:pPr>
            <w:r>
              <w:rPr>
                <w:b/>
                <w:bCs/>
                <w:color w:val="DC143C"/>
                <w:sz w:val="20"/>
                <w:szCs w:val="20"/>
              </w:rPr>
              <w:t>Сертификат соответствия ТР ТС 004/2011 должен иметь электронную регистрацию в едином реестре сертификатов соответствия и деклараций о соответствии в соответствующей государственной службе (органа), размещённом в открытом доступе в сети Internet, а также должен быть действующим на момент подачи заявки Участником.</w:t>
            </w:r>
          </w:p>
        </w:tc>
        <w:tc>
          <w:tcPr>
            <w:tcW w:w="1609" w:type="dxa"/>
            <w:tcBorders>
              <w:left w:val="single" w:sz="4" w:space="0" w:color="000000"/>
              <w:bottom w:val="single" w:sz="4" w:space="0" w:color="000000"/>
              <w:right w:val="single" w:sz="4" w:space="0" w:color="000000"/>
            </w:tcBorders>
            <w:shd w:fill="FAEBD7" w:val="clear"/>
          </w:tcPr>
          <w:p>
            <w:pPr>
              <w:pStyle w:val="Style14"/>
              <w:widowControl w:val="false"/>
              <w:spacing w:before="0" w:after="0"/>
              <w:jc w:val="left"/>
              <w:rPr>
                <w:rFonts w:ascii="Liberation Serif" w:hAnsi="Liberation Serif"/>
                <w:sz w:val="20"/>
                <w:szCs w:val="20"/>
              </w:rPr>
            </w:pPr>
            <w:r>
              <w:rPr>
                <w:sz w:val="20"/>
                <w:szCs w:val="20"/>
              </w:rPr>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0"/>
                <w:numId w:val="2"/>
              </w:numPr>
              <w:spacing w:before="0" w:after="0"/>
              <w:rPr>
                <w:rFonts w:ascii="Liberation Serif" w:hAnsi="Liberation Serif"/>
                <w:sz w:val="20"/>
                <w:szCs w:val="20"/>
              </w:rPr>
            </w:pPr>
            <w:r>
              <w:rPr>
                <w:sz w:val="20"/>
                <w:szCs w:val="20"/>
              </w:rPr>
              <w:t> </w:t>
            </w:r>
          </w:p>
        </w:tc>
        <w:tc>
          <w:tcPr>
            <w:tcW w:w="13093" w:type="dxa"/>
            <w:gridSpan w:val="7"/>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20" w:after="0"/>
              <w:rPr>
                <w:color w:val="000000"/>
              </w:rPr>
            </w:pPr>
            <w:r>
              <w:rPr>
                <w:b/>
                <w:bCs/>
                <w:color w:val="000000"/>
                <w:sz w:val="20"/>
                <w:szCs w:val="20"/>
              </w:rPr>
              <w:t>Требования к гарантиям, гарантийному и послегарантийному обслуживанию и технической поддержки</w:t>
            </w:r>
          </w:p>
          <w:p>
            <w:pPr>
              <w:pStyle w:val="Style14"/>
              <w:widowControl w:val="false"/>
              <w:spacing w:before="20" w:after="0"/>
              <w:rPr>
                <w:color w:val="000000"/>
              </w:rPr>
            </w:pPr>
            <w:r>
              <w:rPr>
                <w:b/>
                <w:bCs/>
                <w:color w:val="000000"/>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11"/>
              </w:numPr>
              <w:spacing w:before="0" w:after="0"/>
              <w:rPr>
                <w:rFonts w:ascii="Liberation Serif" w:hAnsi="Liberation Serif"/>
                <w:sz w:val="20"/>
                <w:szCs w:val="20"/>
              </w:rPr>
            </w:pPr>
            <w:r>
              <w:rPr>
                <w:sz w:val="20"/>
                <w:szCs w:val="20"/>
              </w:rPr>
              <w:t> </w:t>
            </w:r>
          </w:p>
        </w:tc>
        <w:tc>
          <w:tcPr>
            <w:tcW w:w="4036"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Срок гарантии на поставляемое оборудование, включая все его составляющие части (комплектующие изделия).</w:t>
            </w:r>
          </w:p>
        </w:tc>
        <w:tc>
          <w:tcPr>
            <w:tcW w:w="4065"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i/>
                <w:i/>
                <w:color w:val="000000"/>
                <w:sz w:val="20"/>
                <w:szCs w:val="20"/>
              </w:rPr>
            </w:pPr>
            <w:r>
              <w:rPr>
                <w:b/>
                <w:i/>
                <w:color w:val="000000"/>
                <w:sz w:val="20"/>
                <w:szCs w:val="20"/>
              </w:rPr>
              <w:t>Не менее, чем на 12 месяцев (если иное не предусмотрено заводом-изготовителем).</w:t>
            </w:r>
          </w:p>
          <w:p>
            <w:pPr>
              <w:pStyle w:val="Style14"/>
              <w:widowControl w:val="false"/>
              <w:spacing w:before="0" w:after="0"/>
              <w:jc w:val="center"/>
              <w:rPr>
                <w:rFonts w:ascii="Liberation Serif" w:hAnsi="Liberation Serif"/>
                <w:color w:val="000000"/>
                <w:sz w:val="20"/>
                <w:szCs w:val="20"/>
              </w:rPr>
            </w:pPr>
            <w:r>
              <w:rPr>
                <w:color w:val="000000"/>
                <w:sz w:val="20"/>
                <w:szCs w:val="20"/>
              </w:rPr>
              <w:t>Время начала исчисления гарантийного срока с момента подписания ТОРГ-12 или УПД.</w:t>
            </w:r>
          </w:p>
          <w:p>
            <w:pPr>
              <w:pStyle w:val="Style14"/>
              <w:widowControl w:val="false"/>
              <w:spacing w:before="0" w:after="0"/>
              <w:jc w:val="center"/>
              <w:rPr>
                <w:rFonts w:ascii="Liberation Serif" w:hAnsi="Liberation Serif"/>
                <w:color w:val="000000"/>
                <w:sz w:val="20"/>
                <w:szCs w:val="20"/>
              </w:rPr>
            </w:pPr>
            <w:r>
              <w:rPr>
                <w:color w:val="000000"/>
                <w:sz w:val="20"/>
                <w:szCs w:val="20"/>
              </w:rPr>
              <w:t>Установленный в отношении Товара гарантийный срок распространяется на все его составляющие части (комплектующие изделия)</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Указать срок гарантии на продукцию</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40" w:after="0"/>
              <w:jc w:val="center"/>
              <w:rPr>
                <w:rFonts w:ascii="Liberation Serif" w:hAnsi="Liberation Serif"/>
                <w:b/>
                <w:color w:val="000000"/>
                <w:sz w:val="20"/>
                <w:szCs w:val="20"/>
              </w:rPr>
            </w:pPr>
            <w:r>
              <w:rPr>
                <w:b/>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60" w:after="60"/>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11"/>
              </w:numPr>
              <w:spacing w:before="0" w:after="0"/>
              <w:rPr>
                <w:rFonts w:ascii="Liberation Serif" w:hAnsi="Liberation Serif"/>
                <w:sz w:val="20"/>
                <w:szCs w:val="20"/>
              </w:rPr>
            </w:pPr>
            <w:r>
              <w:rPr>
                <w:sz w:val="20"/>
                <w:szCs w:val="20"/>
              </w:rPr>
              <w:t> </w:t>
            </w:r>
          </w:p>
        </w:tc>
        <w:tc>
          <w:tcPr>
            <w:tcW w:w="4036"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rPr>
            </w:pPr>
            <w:r>
              <w:rPr>
                <w:color w:val="000000"/>
                <w:sz w:val="20"/>
                <w:szCs w:val="20"/>
              </w:rPr>
              <w:t>Техническая поддержка</w:t>
            </w:r>
          </w:p>
        </w:tc>
        <w:tc>
          <w:tcPr>
            <w:tcW w:w="4065"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ind w:left="0" w:right="0" w:firstLine="709"/>
              <w:jc w:val="both"/>
              <w:rPr>
                <w:rFonts w:ascii="Liberation Serif" w:hAnsi="Liberation Serif"/>
                <w:color w:val="000000"/>
                <w:sz w:val="20"/>
                <w:szCs w:val="20"/>
              </w:rPr>
            </w:pPr>
            <w:r>
              <w:rPr>
                <w:color w:val="000000"/>
                <w:sz w:val="20"/>
                <w:szCs w:val="20"/>
              </w:rPr>
              <w:t>Техническая поддержка осуществляется в соответствии с условиями предоставления услуги «Техническая поддержка» производителя компонентов ЗСПД.</w:t>
            </w:r>
          </w:p>
          <w:p>
            <w:pPr>
              <w:pStyle w:val="Style14"/>
              <w:widowControl w:val="false"/>
              <w:spacing w:before="0" w:after="0"/>
              <w:jc w:val="both"/>
              <w:rPr>
                <w:rFonts w:ascii="Liberation Serif" w:hAnsi="Liberation Serif"/>
                <w:color w:val="000000"/>
                <w:sz w:val="20"/>
                <w:szCs w:val="20"/>
              </w:rPr>
            </w:pPr>
            <w:r>
              <w:rPr>
                <w:color w:val="000000"/>
                <w:sz w:val="20"/>
                <w:szCs w:val="20"/>
              </w:rPr>
              <w:t>Техническая поддержка включает следующий набор услуг:</w:t>
            </w:r>
          </w:p>
          <w:p>
            <w:pPr>
              <w:pStyle w:val="Style14"/>
              <w:widowControl w:val="false"/>
              <w:spacing w:before="0" w:after="0"/>
              <w:ind w:left="0" w:right="0" w:firstLine="709"/>
              <w:jc w:val="both"/>
              <w:rPr>
                <w:rFonts w:ascii="Liberation Serif" w:hAnsi="Liberation Serif"/>
                <w:color w:val="000000"/>
                <w:sz w:val="20"/>
                <w:szCs w:val="20"/>
              </w:rPr>
            </w:pPr>
            <w:r>
              <w:rPr>
                <w:color w:val="000000"/>
                <w:sz w:val="20"/>
                <w:szCs w:val="20"/>
              </w:rPr>
              <w:t>Время и способ приема сообщений:</w:t>
            </w:r>
          </w:p>
          <w:p>
            <w:pPr>
              <w:pStyle w:val="Style14"/>
              <w:widowControl w:val="false"/>
              <w:spacing w:before="0" w:after="0"/>
              <w:ind w:left="0" w:right="0" w:firstLine="709"/>
              <w:jc w:val="both"/>
              <w:rPr>
                <w:rFonts w:ascii="Liberation Serif" w:hAnsi="Liberation Serif"/>
                <w:color w:val="000000"/>
                <w:sz w:val="20"/>
                <w:szCs w:val="20"/>
              </w:rPr>
            </w:pPr>
            <w:r>
              <w:rPr>
                <w:color w:val="000000"/>
                <w:sz w:val="20"/>
                <w:szCs w:val="20"/>
              </w:rPr>
              <w:t>Приём обращений и консультирование по электронной почте в рабочие дни с 08:00 до 17:00 по времени Заказчика.</w:t>
            </w:r>
          </w:p>
          <w:p>
            <w:pPr>
              <w:pStyle w:val="Style14"/>
              <w:widowControl w:val="false"/>
              <w:spacing w:before="0" w:after="0"/>
              <w:ind w:left="0" w:right="0" w:firstLine="709"/>
              <w:jc w:val="both"/>
              <w:rPr>
                <w:rFonts w:ascii="Liberation Serif" w:hAnsi="Liberation Serif"/>
                <w:color w:val="000000"/>
                <w:sz w:val="20"/>
                <w:szCs w:val="20"/>
              </w:rPr>
            </w:pPr>
            <w:r>
              <w:rPr>
                <w:color w:val="000000"/>
                <w:sz w:val="20"/>
                <w:szCs w:val="20"/>
              </w:rPr>
              <w:t>Приём обращений и консультирование по телефону горячей линии в рабочие дни с 08:00 до 17:00 по времени Заказчика.</w:t>
            </w:r>
          </w:p>
          <w:p>
            <w:pPr>
              <w:pStyle w:val="Style14"/>
              <w:widowControl w:val="false"/>
              <w:spacing w:before="0" w:after="0"/>
              <w:ind w:left="0" w:right="0" w:firstLine="709"/>
              <w:jc w:val="both"/>
              <w:rPr>
                <w:rFonts w:ascii="Liberation Serif" w:hAnsi="Liberation Serif"/>
                <w:color w:val="000000"/>
                <w:sz w:val="20"/>
                <w:szCs w:val="20"/>
              </w:rPr>
            </w:pPr>
            <w:r>
              <w:rPr>
                <w:color w:val="000000"/>
                <w:sz w:val="20"/>
                <w:szCs w:val="20"/>
              </w:rPr>
              <w:t>Рекомендации по процессу установки продукта в объеме эксплуатационной документации</w:t>
            </w:r>
          </w:p>
          <w:p>
            <w:pPr>
              <w:pStyle w:val="Style14"/>
              <w:widowControl w:val="false"/>
              <w:spacing w:before="0" w:after="0"/>
              <w:ind w:left="0" w:right="0" w:firstLine="709"/>
              <w:jc w:val="both"/>
              <w:rPr>
                <w:rFonts w:ascii="Liberation Serif" w:hAnsi="Liberation Serif"/>
                <w:color w:val="000000"/>
                <w:sz w:val="20"/>
                <w:szCs w:val="20"/>
              </w:rPr>
            </w:pPr>
            <w:r>
              <w:rPr>
                <w:color w:val="000000"/>
                <w:sz w:val="20"/>
                <w:szCs w:val="20"/>
              </w:rPr>
              <w:t>Рекомендации по настройке продукта в объеме эксплуатационной документации</w:t>
            </w:r>
          </w:p>
          <w:p>
            <w:pPr>
              <w:pStyle w:val="Style14"/>
              <w:widowControl w:val="false"/>
              <w:spacing w:before="0" w:after="0"/>
              <w:ind w:left="0" w:right="0" w:firstLine="709"/>
              <w:jc w:val="both"/>
              <w:rPr>
                <w:rFonts w:ascii="Liberation Serif" w:hAnsi="Liberation Serif"/>
                <w:color w:val="000000"/>
                <w:sz w:val="20"/>
                <w:szCs w:val="20"/>
              </w:rPr>
            </w:pPr>
            <w:r>
              <w:rPr>
                <w:color w:val="000000"/>
                <w:sz w:val="20"/>
                <w:szCs w:val="20"/>
              </w:rPr>
              <w:t>Восстановление работоспособности (ремонт) вышедшего из строя оборудования. Доставка не входит в стоимость.</w:t>
            </w:r>
          </w:p>
          <w:p>
            <w:pPr>
              <w:pStyle w:val="Style14"/>
              <w:widowControl w:val="false"/>
              <w:spacing w:before="0" w:after="0"/>
              <w:ind w:left="0" w:right="0" w:firstLine="709"/>
              <w:jc w:val="both"/>
              <w:rPr>
                <w:rFonts w:ascii="Liberation Serif" w:hAnsi="Liberation Serif"/>
                <w:color w:val="000000"/>
                <w:sz w:val="20"/>
                <w:szCs w:val="20"/>
              </w:rPr>
            </w:pPr>
            <w:r>
              <w:rPr>
                <w:color w:val="000000"/>
                <w:sz w:val="20"/>
                <w:szCs w:val="20"/>
              </w:rPr>
              <w:t>Обновление:</w:t>
            </w:r>
          </w:p>
          <w:p>
            <w:pPr>
              <w:pStyle w:val="Style14"/>
              <w:widowControl w:val="false"/>
              <w:spacing w:before="0" w:after="0"/>
              <w:ind w:left="0" w:right="0" w:firstLine="602"/>
              <w:jc w:val="both"/>
              <w:rPr>
                <w:rFonts w:ascii="Liberation Serif" w:hAnsi="Liberation Serif"/>
                <w:color w:val="000000"/>
                <w:sz w:val="20"/>
                <w:szCs w:val="20"/>
              </w:rPr>
            </w:pPr>
            <w:r>
              <w:rPr>
                <w:color w:val="000000"/>
                <w:sz w:val="20"/>
                <w:szCs w:val="20"/>
              </w:rPr>
              <w:t>- предоставление обновлений (hotfix), устраняющих дефекты, выявленные в Продукте</w:t>
            </w:r>
          </w:p>
          <w:p>
            <w:pPr>
              <w:pStyle w:val="Style14"/>
              <w:widowControl w:val="false"/>
              <w:spacing w:before="0" w:after="0"/>
              <w:ind w:left="0" w:right="0" w:firstLine="602"/>
              <w:jc w:val="both"/>
              <w:rPr>
                <w:rFonts w:ascii="Liberation Serif" w:hAnsi="Liberation Serif"/>
                <w:color w:val="000000"/>
                <w:sz w:val="20"/>
                <w:szCs w:val="20"/>
              </w:rPr>
            </w:pPr>
            <w:r>
              <w:rPr>
                <w:color w:val="000000"/>
                <w:sz w:val="20"/>
                <w:szCs w:val="20"/>
              </w:rPr>
              <w:t>- предоставление обновление (hotfix), а также все изменения, производимые в рамках минорной (MINOR) версии Продукта;</w:t>
            </w:r>
          </w:p>
          <w:p>
            <w:pPr>
              <w:pStyle w:val="Style14"/>
              <w:widowControl w:val="false"/>
              <w:spacing w:before="0" w:after="0"/>
              <w:ind w:left="0" w:right="0" w:firstLine="602"/>
              <w:jc w:val="both"/>
              <w:rPr>
                <w:rFonts w:ascii="Liberation Serif" w:hAnsi="Liberation Serif"/>
                <w:color w:val="000000"/>
                <w:sz w:val="20"/>
                <w:szCs w:val="20"/>
              </w:rPr>
            </w:pPr>
            <w:r>
              <w:rPr>
                <w:color w:val="000000"/>
                <w:sz w:val="20"/>
                <w:szCs w:val="20"/>
              </w:rPr>
              <w:t xml:space="preserve">- предоставление новой версии (изменение мажорной (MAJOR) версии, программного компонента) Продукта без взимания дополнительной платы </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40" w:after="0"/>
              <w:jc w:val="center"/>
              <w:rPr>
                <w:rFonts w:ascii="Liberation Serif" w:hAnsi="Liberation Serif"/>
                <w:b/>
                <w:color w:val="000000"/>
                <w:sz w:val="20"/>
                <w:szCs w:val="20"/>
              </w:rPr>
            </w:pPr>
            <w:r>
              <w:rPr>
                <w:b/>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60" w:after="60"/>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0"/>
                <w:numId w:val="2"/>
              </w:numPr>
              <w:spacing w:before="0" w:after="0"/>
              <w:rPr>
                <w:rFonts w:ascii="Liberation Serif" w:hAnsi="Liberation Serif"/>
                <w:sz w:val="20"/>
                <w:szCs w:val="20"/>
              </w:rPr>
            </w:pPr>
            <w:r>
              <w:rPr>
                <w:sz w:val="20"/>
                <w:szCs w:val="20"/>
              </w:rPr>
              <w:t> </w:t>
            </w:r>
          </w:p>
        </w:tc>
        <w:tc>
          <w:tcPr>
            <w:tcW w:w="13093" w:type="dxa"/>
            <w:gridSpan w:val="7"/>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b/>
                <w:color w:val="000000"/>
                <w:sz w:val="20"/>
                <w:szCs w:val="20"/>
              </w:rPr>
            </w:pPr>
            <w:r>
              <w:rPr>
                <w:b/>
                <w:color w:val="000000"/>
                <w:sz w:val="20"/>
                <w:szCs w:val="20"/>
              </w:rPr>
              <w:t>Требования к сроку выпуска продукции</w:t>
            </w:r>
          </w:p>
          <w:p>
            <w:pPr>
              <w:pStyle w:val="Style14"/>
              <w:widowControl w:val="false"/>
              <w:spacing w:before="0" w:after="0"/>
              <w:jc w:val="center"/>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12"/>
              </w:numPr>
              <w:spacing w:before="0" w:after="0"/>
              <w:rPr>
                <w:rFonts w:ascii="Liberation Serif" w:hAnsi="Liberation Serif"/>
                <w:sz w:val="20"/>
                <w:szCs w:val="20"/>
              </w:rPr>
            </w:pPr>
            <w:r>
              <w:rPr>
                <w:sz w:val="20"/>
                <w:szCs w:val="20"/>
              </w:rPr>
              <w:t> </w:t>
            </w:r>
          </w:p>
        </w:tc>
        <w:tc>
          <w:tcPr>
            <w:tcW w:w="8101" w:type="dxa"/>
            <w:gridSpan w:val="4"/>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60" w:after="60"/>
              <w:jc w:val="center"/>
              <w:rPr>
                <w:rFonts w:ascii="Liberation Serif" w:hAnsi="Liberation Serif"/>
                <w:color w:val="000000"/>
                <w:sz w:val="20"/>
                <w:szCs w:val="20"/>
              </w:rPr>
            </w:pPr>
            <w:r>
              <w:rPr>
                <w:color w:val="000000"/>
                <w:sz w:val="20"/>
                <w:szCs w:val="20"/>
              </w:rPr>
              <w:t>Продукция должна быть новой 2023-2024 гг. выпуска и ранее неиспользованной. (Под новым следует понимать продукцию, которая не была в употреблении, не проходила ремонт, в том числе восстановление, замену составных частей, восстановление потребительских свойств)</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60" w:after="60"/>
              <w:jc w:val="center"/>
              <w:rPr>
                <w:rFonts w:ascii="Liberation Serif" w:hAnsi="Liberation Serif"/>
                <w:color w:val="757070"/>
                <w:sz w:val="20"/>
                <w:szCs w:val="20"/>
              </w:rPr>
            </w:pPr>
            <w:r>
              <w:rPr>
                <w:color w:val="757070"/>
                <w:sz w:val="20"/>
                <w:szCs w:val="20"/>
              </w:rPr>
              <w:t>Указать срок изготовления предлагаемой продукции</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60" w:after="60"/>
              <w:jc w:val="center"/>
              <w:rPr>
                <w:rFonts w:ascii="Liberation Serif" w:hAnsi="Liberation Serif"/>
                <w:b/>
                <w:color w:val="000000"/>
                <w:sz w:val="20"/>
                <w:szCs w:val="20"/>
              </w:rPr>
            </w:pPr>
            <w:r>
              <w:rPr>
                <w:b/>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sz w:val="20"/>
                <w:szCs w:val="20"/>
              </w:rPr>
              <w:t> </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0"/>
                <w:numId w:val="2"/>
              </w:numPr>
              <w:spacing w:before="0" w:after="0"/>
              <w:rPr>
                <w:rFonts w:ascii="Liberation Serif" w:hAnsi="Liberation Serif"/>
                <w:sz w:val="20"/>
                <w:szCs w:val="20"/>
              </w:rPr>
            </w:pPr>
            <w:r>
              <w:rPr>
                <w:sz w:val="20"/>
                <w:szCs w:val="20"/>
              </w:rPr>
              <w:t> </w:t>
            </w:r>
          </w:p>
        </w:tc>
        <w:tc>
          <w:tcPr>
            <w:tcW w:w="13093" w:type="dxa"/>
            <w:gridSpan w:val="7"/>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b/>
                <w:color w:val="000000"/>
                <w:sz w:val="20"/>
                <w:szCs w:val="20"/>
              </w:rPr>
            </w:pPr>
            <w:r>
              <w:rPr>
                <w:b/>
                <w:color w:val="000000"/>
                <w:sz w:val="20"/>
                <w:szCs w:val="20"/>
              </w:rPr>
              <w:t>Требование к доставке</w:t>
            </w:r>
          </w:p>
        </w:tc>
      </w:tr>
      <w:tr>
        <w:trPr/>
        <w:tc>
          <w:tcPr>
            <w:tcW w:w="147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numPr>
                <w:ilvl w:val="1"/>
                <w:numId w:val="13"/>
              </w:numPr>
              <w:spacing w:before="0" w:after="0"/>
              <w:rPr>
                <w:rFonts w:ascii="Liberation Serif" w:hAnsi="Liberation Serif"/>
                <w:sz w:val="20"/>
                <w:szCs w:val="20"/>
              </w:rPr>
            </w:pPr>
            <w:r>
              <w:rPr>
                <w:sz w:val="20"/>
                <w:szCs w:val="20"/>
              </w:rPr>
            </w:r>
          </w:p>
        </w:tc>
        <w:tc>
          <w:tcPr>
            <w:tcW w:w="4036"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ind w:left="0" w:right="145" w:hanging="0"/>
              <w:rPr>
                <w:rFonts w:ascii="Liberation Serif" w:hAnsi="Liberation Serif"/>
                <w:color w:val="000000"/>
                <w:sz w:val="20"/>
                <w:szCs w:val="20"/>
              </w:rPr>
            </w:pPr>
            <w:r>
              <w:rPr/>
              <w:t>Место поставки Оборудования связи.</w:t>
            </w:r>
          </w:p>
        </w:tc>
        <w:tc>
          <w:tcPr>
            <w:tcW w:w="4065" w:type="dxa"/>
            <w:gridSpan w:val="3"/>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000000"/>
                <w:sz w:val="20"/>
                <w:szCs w:val="20"/>
                <w:shd w:fill="auto" w:val="clear"/>
              </w:rPr>
            </w:pPr>
            <w:r>
              <w:rPr>
                <w:color w:val="000000"/>
                <w:sz w:val="20"/>
                <w:szCs w:val="20"/>
                <w:shd w:fill="auto" w:val="clear"/>
              </w:rPr>
              <w:t>678901, г. Алдан, ул. Мельниченко, д. 4</w:t>
            </w:r>
          </w:p>
        </w:tc>
        <w:tc>
          <w:tcPr>
            <w:tcW w:w="1573"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color w:val="757070"/>
                <w:sz w:val="20"/>
                <w:szCs w:val="20"/>
              </w:rPr>
            </w:pPr>
            <w:r>
              <w:rPr>
                <w:color w:val="757070"/>
                <w:sz w:val="20"/>
                <w:szCs w:val="20"/>
              </w:rPr>
              <w:t>Согласие с требованием</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b/>
                <w:color w:val="000000"/>
                <w:sz w:val="20"/>
                <w:szCs w:val="20"/>
              </w:rPr>
            </w:pPr>
            <w:r>
              <w:rPr>
                <w:b/>
                <w:color w:val="000000"/>
                <w:sz w:val="20"/>
                <w:szCs w:val="20"/>
              </w:rPr>
              <w:t>-//-</w:t>
            </w:r>
          </w:p>
        </w:tc>
        <w:tc>
          <w:tcPr>
            <w:tcW w:w="1609"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r>
          </w:p>
        </w:tc>
      </w:tr>
      <w:tr>
        <w:trPr/>
        <w:tc>
          <w:tcPr>
            <w:tcW w:w="1477" w:type="dxa"/>
            <w:tcBorders>
              <w:left w:val="single" w:sz="4" w:space="0" w:color="000000"/>
              <w:bottom w:val="single" w:sz="4" w:space="0" w:color="000000"/>
              <w:right w:val="single" w:sz="4" w:space="0" w:color="000000"/>
            </w:tcBorders>
            <w:vAlign w:val="center"/>
          </w:tcPr>
          <w:p>
            <w:pPr>
              <w:pStyle w:val="Style14"/>
              <w:widowControl w:val="false"/>
              <w:spacing w:before="0" w:after="0"/>
              <w:rPr>
                <w:rFonts w:ascii="Liberation Serif" w:hAnsi="Liberation Serif"/>
                <w:sz w:val="20"/>
                <w:szCs w:val="20"/>
              </w:rPr>
            </w:pPr>
            <w:r>
              <w:rPr>
                <w:sz w:val="20"/>
                <w:szCs w:val="20"/>
              </w:rPr>
              <w:t xml:space="preserve">        </w:t>
            </w:r>
            <w:r>
              <w:rPr>
                <w:sz w:val="20"/>
                <w:szCs w:val="20"/>
              </w:rPr>
              <w:t>8.</w:t>
            </w:r>
          </w:p>
        </w:tc>
        <w:tc>
          <w:tcPr>
            <w:tcW w:w="13093" w:type="dxa"/>
            <w:gridSpan w:val="7"/>
            <w:tcBorders>
              <w:left w:val="single" w:sz="4" w:space="0" w:color="000000"/>
              <w:bottom w:val="single" w:sz="4" w:space="0" w:color="000000"/>
              <w:right w:val="single" w:sz="4" w:space="0" w:color="000000"/>
            </w:tcBorders>
            <w:vAlign w:val="center"/>
          </w:tcPr>
          <w:p>
            <w:pPr>
              <w:pStyle w:val="Standard"/>
              <w:widowControl w:val="false"/>
              <w:spacing w:before="120" w:after="120"/>
              <w:ind w:right="-142" w:hanging="0"/>
              <w:rPr>
                <w:rFonts w:ascii="Liberation Serif" w:hAnsi="Liberation Serif"/>
                <w:sz w:val="20"/>
                <w:szCs w:val="20"/>
              </w:rPr>
            </w:pPr>
            <w:r>
              <w:rPr>
                <w:rFonts w:ascii="Liberation Serif" w:hAnsi="Liberation Serif"/>
                <w:b/>
                <w:kern w:val="0"/>
                <w:sz w:val="20"/>
                <w:szCs w:val="20"/>
              </w:rPr>
              <w:t>Прочие (дополнительные) требования к продукции</w:t>
            </w:r>
          </w:p>
        </w:tc>
      </w:tr>
      <w:tr>
        <w:trPr/>
        <w:tc>
          <w:tcPr>
            <w:tcW w:w="1477" w:type="dxa"/>
            <w:tcBorders>
              <w:left w:val="single" w:sz="4" w:space="0" w:color="000000"/>
              <w:bottom w:val="single" w:sz="4" w:space="0" w:color="000000"/>
              <w:right w:val="single" w:sz="4" w:space="0" w:color="000000"/>
            </w:tcBorders>
            <w:vAlign w:val="center"/>
          </w:tcPr>
          <w:p>
            <w:pPr>
              <w:pStyle w:val="Style14"/>
              <w:widowControl w:val="false"/>
              <w:suppressLineNumbers/>
              <w:suppressAutoHyphens w:val="true"/>
              <w:overflowPunct w:val="false"/>
              <w:bidi w:val="0"/>
              <w:spacing w:before="0" w:after="0"/>
              <w:ind w:left="794" w:right="0" w:hanging="0"/>
              <w:jc w:val="left"/>
              <w:rPr>
                <w:rFonts w:ascii="Liberation Serif" w:hAnsi="Liberation Serif"/>
                <w:sz w:val="20"/>
                <w:szCs w:val="20"/>
              </w:rPr>
            </w:pPr>
            <w:r>
              <w:rPr>
                <w:sz w:val="20"/>
                <w:szCs w:val="20"/>
              </w:rPr>
              <w:t>8.1.</w:t>
            </w:r>
          </w:p>
        </w:tc>
        <w:tc>
          <w:tcPr>
            <w:tcW w:w="4036" w:type="dxa"/>
            <w:tcBorders>
              <w:left w:val="single" w:sz="4" w:space="0" w:color="000000"/>
              <w:bottom w:val="single" w:sz="4" w:space="0" w:color="000000"/>
              <w:right w:val="single" w:sz="4" w:space="0" w:color="000000"/>
            </w:tcBorders>
            <w:vAlign w:val="center"/>
          </w:tcPr>
          <w:p>
            <w:pPr>
              <w:pStyle w:val="ListParagraphTable-NormalRSHBTable-Normal342"/>
              <w:widowControl w:val="false"/>
              <w:spacing w:before="0" w:after="0"/>
              <w:ind w:left="0" w:right="135" w:hanging="0"/>
              <w:contextualSpacing/>
              <w:rPr>
                <w:sz w:val="20"/>
                <w:szCs w:val="24"/>
              </w:rPr>
            </w:pPr>
            <w:r>
              <w:rPr>
                <w:rFonts w:cs="Liberation Serif" w:ascii="Liberation Serif" w:hAnsi="Liberation Serif"/>
                <w:bCs/>
                <w:sz w:val="20"/>
                <w:szCs w:val="24"/>
              </w:rPr>
              <w:t>Требования к происхождению поставляемой продукции</w:t>
            </w:r>
          </w:p>
        </w:tc>
        <w:tc>
          <w:tcPr>
            <w:tcW w:w="4065" w:type="dxa"/>
            <w:gridSpan w:val="3"/>
            <w:tcBorders>
              <w:left w:val="single" w:sz="4" w:space="0" w:color="000000"/>
              <w:bottom w:val="single" w:sz="4" w:space="0" w:color="000000"/>
              <w:right w:val="single" w:sz="4" w:space="0" w:color="000000"/>
            </w:tcBorders>
            <w:vAlign w:val="center"/>
          </w:tcPr>
          <w:p>
            <w:pPr>
              <w:pStyle w:val="Normal"/>
              <w:widowControl w:val="false"/>
              <w:spacing w:before="0" w:after="0"/>
              <w:rPr>
                <w:sz w:val="20"/>
                <w:szCs w:val="24"/>
              </w:rPr>
            </w:pPr>
            <w:r>
              <w:rPr>
                <w:rFonts w:eastAsia="Times New Roman" w:cs="Liberation Serif"/>
                <w:sz w:val="20"/>
                <w:szCs w:val="24"/>
                <w:lang w:eastAsia="zh-CN"/>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поз. 198</w:t>
            </w:r>
          </w:p>
          <w:p>
            <w:pPr>
              <w:pStyle w:val="Normal"/>
              <w:widowControl w:val="false"/>
              <w:spacing w:before="0" w:after="0"/>
              <w:jc w:val="both"/>
              <w:rPr>
                <w:rFonts w:ascii="Liberation Serif" w:hAnsi="Liberation Serif" w:eastAsia="Times New Roman" w:cs="Liberation Serif"/>
                <w:sz w:val="20"/>
                <w:szCs w:val="24"/>
                <w:lang w:eastAsia="zh-CN"/>
              </w:rPr>
            </w:pPr>
            <w:r>
              <w:rPr>
                <w:rFonts w:eastAsia="Times New Roman" w:cs="Liberation Serif"/>
                <w:sz w:val="20"/>
                <w:szCs w:val="24"/>
                <w:lang w:eastAsia="zh-CN"/>
              </w:rPr>
            </w:r>
          </w:p>
          <w:p>
            <w:pPr>
              <w:pStyle w:val="Normal"/>
              <w:widowControl w:val="false"/>
              <w:spacing w:before="0" w:after="0"/>
              <w:jc w:val="both"/>
              <w:rPr>
                <w:sz w:val="20"/>
                <w:szCs w:val="24"/>
              </w:rPr>
            </w:pPr>
            <w:r>
              <w:rPr>
                <w:rFonts w:eastAsia="Times New Roman" w:cs="Liberation Serif"/>
                <w:sz w:val="20"/>
                <w:szCs w:val="24"/>
                <w:lang w:eastAsia="zh-CN"/>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товара российского происхождения</w:t>
            </w:r>
          </w:p>
        </w:tc>
        <w:tc>
          <w:tcPr>
            <w:tcW w:w="1573" w:type="dxa"/>
            <w:tcBorders>
              <w:left w:val="single" w:sz="4" w:space="0" w:color="000000"/>
              <w:bottom w:val="single" w:sz="4" w:space="0" w:color="000000"/>
              <w:right w:val="single" w:sz="4" w:space="0" w:color="000000"/>
            </w:tcBorders>
            <w:vAlign w:val="center"/>
          </w:tcPr>
          <w:p>
            <w:pPr>
              <w:pStyle w:val="Normal"/>
              <w:widowControl w:val="false"/>
              <w:spacing w:before="0" w:after="0"/>
              <w:jc w:val="center"/>
              <w:rPr>
                <w:sz w:val="20"/>
                <w:szCs w:val="24"/>
              </w:rPr>
            </w:pPr>
            <w:r>
              <w:rPr>
                <w:rFonts w:eastAsia="Times New Roman" w:cs="Times New Roman"/>
                <w:iCs/>
                <w:color w:val="767171"/>
                <w:sz w:val="20"/>
                <w:szCs w:val="24"/>
                <w:lang w:eastAsia="ru-RU"/>
              </w:rPr>
              <w:t>Согласие с требованием</w:t>
            </w:r>
          </w:p>
        </w:tc>
        <w:tc>
          <w:tcPr>
            <w:tcW w:w="1810" w:type="dxa"/>
            <w:tcBorders>
              <w:left w:val="single" w:sz="4" w:space="0" w:color="000000"/>
              <w:bottom w:val="single" w:sz="4" w:space="0" w:color="000000"/>
              <w:right w:val="single" w:sz="4" w:space="0" w:color="000000"/>
            </w:tcBorders>
            <w:vAlign w:val="center"/>
          </w:tcPr>
          <w:p>
            <w:pPr>
              <w:pStyle w:val="Normal"/>
              <w:widowControl w:val="false"/>
              <w:spacing w:before="0" w:after="0"/>
              <w:rPr>
                <w:sz w:val="20"/>
                <w:szCs w:val="24"/>
              </w:rPr>
            </w:pPr>
            <w:r>
              <w:rPr>
                <w:rFonts w:cs="Times New Roman"/>
                <w:i/>
                <w:iCs/>
                <w:sz w:val="20"/>
                <w:szCs w:val="24"/>
              </w:rPr>
              <w:t>Участник должен предоставить в составе заявки Коммерческое предложение по форме, установленной документацией о закупке, с указанием в отношении поставляемой продукции информации о номер реестровой записи из реестра российской промышленной продукции,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pPr>
              <w:pStyle w:val="Normal"/>
              <w:widowControl w:val="false"/>
              <w:spacing w:before="0" w:after="0"/>
              <w:rPr>
                <w:sz w:val="20"/>
                <w:szCs w:val="24"/>
              </w:rPr>
            </w:pPr>
            <w:r>
              <w:rPr>
                <w:rFonts w:cs="Times New Roman"/>
                <w:i/>
                <w:iCs/>
                <w:sz w:val="20"/>
                <w:szCs w:val="24"/>
              </w:rPr>
              <w:t>или</w:t>
            </w:r>
          </w:p>
          <w:p>
            <w:pPr>
              <w:pStyle w:val="Normal"/>
              <w:widowControl w:val="false"/>
              <w:spacing w:before="0" w:after="0"/>
              <w:rPr>
                <w:sz w:val="20"/>
                <w:szCs w:val="24"/>
              </w:rPr>
            </w:pPr>
            <w:r>
              <w:rPr>
                <w:rFonts w:cs="Times New Roman"/>
                <w:i/>
                <w:iCs/>
                <w:sz w:val="20"/>
                <w:szCs w:val="24"/>
              </w:rPr>
              <w:t>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pPr>
              <w:pStyle w:val="Normal"/>
              <w:widowControl w:val="false"/>
              <w:spacing w:before="0" w:after="0"/>
              <w:rPr>
                <w:sz w:val="20"/>
                <w:szCs w:val="24"/>
              </w:rPr>
            </w:pPr>
            <w:r>
              <w:rPr>
                <w:rFonts w:cs="Times New Roman"/>
                <w:bCs/>
                <w:i/>
                <w:iCs/>
                <w:sz w:val="20"/>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c>
          <w:tcPr>
            <w:tcW w:w="1609" w:type="dxa"/>
            <w:tcBorders>
              <w:left w:val="single" w:sz="4" w:space="0" w:color="000000"/>
              <w:bottom w:val="single" w:sz="4" w:space="0" w:color="000000"/>
              <w:right w:val="single" w:sz="4" w:space="0" w:color="000000"/>
            </w:tcBorders>
            <w:vAlign w:val="center"/>
          </w:tcPr>
          <w:p>
            <w:pPr>
              <w:pStyle w:val="Style14"/>
              <w:widowControl w:val="false"/>
              <w:spacing w:before="0" w:after="0"/>
              <w:jc w:val="center"/>
              <w:rPr>
                <w:rFonts w:ascii="Liberation Serif" w:hAnsi="Liberation Serif"/>
                <w:sz w:val="20"/>
                <w:szCs w:val="20"/>
              </w:rPr>
            </w:pPr>
            <w:r>
              <w:rPr>
                <w:sz w:val="20"/>
                <w:szCs w:val="20"/>
              </w:rPr>
            </w:r>
          </w:p>
        </w:tc>
      </w:tr>
    </w:tbl>
    <w:p>
      <w:pPr>
        <w:pStyle w:val="BodyText"/>
        <w:spacing w:before="0" w:after="0"/>
        <w:rPr>
          <w:b w:val="false"/>
          <w:bCs w:val="false"/>
          <w:i w:val="false"/>
          <w:i w:val="false"/>
          <w:iCs w:val="false"/>
        </w:rPr>
      </w:pPr>
      <w:r>
        <w:rPr>
          <w:b w:val="false"/>
          <w:bCs w:val="false"/>
          <w:i w:val="false"/>
          <w:iCs w:val="false"/>
        </w:rPr>
      </w:r>
    </w:p>
    <w:p>
      <w:pPr>
        <w:pStyle w:val="BodyText"/>
        <w:spacing w:lineRule="auto" w:line="276" w:before="0" w:after="0"/>
        <w:ind w:left="0" w:right="0" w:firstLine="850"/>
        <w:rPr>
          <w:b/>
          <w:bCs/>
          <w:i w:val="false"/>
          <w:i w:val="false"/>
          <w:iCs w:val="false"/>
        </w:rPr>
      </w:pPr>
      <w:r>
        <w:rPr>
          <w:b/>
          <w:bCs/>
          <w:i w:val="false"/>
          <w:iCs w:val="false"/>
        </w:rPr>
      </w:r>
    </w:p>
    <w:p>
      <w:pPr>
        <w:pStyle w:val="BodyText"/>
        <w:spacing w:before="0" w:after="0"/>
        <w:rPr>
          <w:b/>
          <w:bCs/>
          <w:i w:val="false"/>
          <w:i w:val="false"/>
          <w:iCs w:val="false"/>
        </w:rPr>
      </w:pPr>
      <w:r>
        <w:rPr>
          <w:b/>
          <w:bCs/>
          <w:i w:val="false"/>
          <w:iCs w:val="false"/>
        </w:rPr>
      </w:r>
      <w:r>
        <w:br w:type="page"/>
      </w:r>
    </w:p>
    <w:p>
      <w:pPr>
        <w:pStyle w:val="Heading1"/>
        <w:spacing w:before="0" w:after="0"/>
        <w:ind w:left="0" w:hanging="0"/>
        <w:jc w:val="center"/>
        <w:rPr>
          <w:b/>
          <w:bCs/>
          <w:i w:val="false"/>
          <w:i w:val="false"/>
          <w:iCs w:val="false"/>
        </w:rPr>
      </w:pPr>
      <w:bookmarkStart w:id="2" w:name="_Toc51339699"/>
      <w:bookmarkStart w:id="3" w:name="_Toc46743519"/>
      <w:bookmarkStart w:id="4" w:name="_Toc75446583"/>
      <w:bookmarkStart w:id="5" w:name="_Toc53393312"/>
      <w:bookmarkEnd w:id="2"/>
      <w:bookmarkEnd w:id="3"/>
      <w:bookmarkEnd w:id="4"/>
      <w:bookmarkEnd w:id="5"/>
      <w:r>
        <w:rPr>
          <w:rFonts w:ascii="Times New Roman" w:hAnsi="Times New Roman"/>
          <w:b/>
          <w:bCs/>
          <w:i w:val="false"/>
          <w:iCs w:val="false"/>
          <w:color w:val="000000"/>
          <w:sz w:val="22"/>
        </w:rPr>
        <w:t>3. Требования к документации по ценообразованию</w:t>
      </w:r>
      <w:r>
        <w:rPr>
          <w:b/>
          <w:bCs/>
          <w:i w:val="false"/>
          <w:iCs w:val="false"/>
          <w:color w:val="000000"/>
        </w:rPr>
        <w:t xml:space="preserve"> </w:t>
      </w:r>
      <w:r>
        <w:rPr>
          <w:rFonts w:ascii="Times New Roman" w:hAnsi="Times New Roman"/>
          <w:b/>
          <w:bCs/>
          <w:i w:val="false"/>
          <w:iCs w:val="false"/>
          <w:color w:val="000000"/>
          <w:sz w:val="22"/>
        </w:rPr>
        <w:t>на этапе закупки</w:t>
      </w:r>
    </w:p>
    <w:p>
      <w:pPr>
        <w:pStyle w:val="BodyText"/>
        <w:spacing w:before="0" w:after="0"/>
        <w:rPr/>
      </w:pPr>
      <w:r>
        <w:rPr/>
        <w:t> </w:t>
      </w:r>
    </w:p>
    <w:p>
      <w:pPr>
        <w:pStyle w:val="BodyText"/>
        <w:spacing w:lineRule="auto" w:line="276" w:before="0" w:after="0"/>
        <w:ind w:left="0" w:right="0" w:firstLine="850"/>
        <w:jc w:val="both"/>
        <w:rPr>
          <w:rFonts w:ascii="Times New Roman" w:hAnsi="Times New Roman"/>
          <w:color w:val="000000"/>
          <w:sz w:val="22"/>
        </w:rPr>
      </w:pPr>
      <w:r>
        <w:rPr>
          <w:rFonts w:ascii="Times New Roman" w:hAnsi="Times New Roman"/>
          <w:color w:val="000000"/>
          <w:sz w:val="22"/>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BodyText"/>
        <w:spacing w:lineRule="auto" w:line="276" w:before="0" w:after="240"/>
        <w:ind w:left="0" w:right="0" w:firstLine="850"/>
        <w:jc w:val="both"/>
        <w:rPr/>
      </w:pPr>
      <w:r>
        <w:rPr>
          <w:rFonts w:ascii="Times New Roman" w:hAnsi="Times New Roman"/>
          <w:color w:val="000000"/>
          <w:sz w:val="22"/>
        </w:rPr>
        <w:t>3.2.</w:t>
      </w:r>
      <w:r>
        <w:rPr>
          <w:color w:val="000000"/>
        </w:rPr>
        <w:t xml:space="preserve"> </w:t>
      </w:r>
      <w:r>
        <w:rPr>
          <w:rFonts w:ascii="Times New Roman" w:hAnsi="Times New Roman"/>
          <w:color w:val="000000"/>
          <w:sz w:val="22"/>
        </w:rPr>
        <w:t>Все цены в предложении должны включать все налоги, транспортные расходы и другие обязательные платежи, стоимость всех сопутствующих работ (услуг), а также все скидки, предлагаемые участником.</w:t>
      </w:r>
    </w:p>
    <w:p>
      <w:pPr>
        <w:pStyle w:val="BodyText"/>
        <w:spacing w:before="0" w:after="0"/>
        <w:rPr>
          <w:b/>
          <w:bCs/>
          <w:i w:val="false"/>
          <w:i w:val="false"/>
          <w:iCs w:val="false"/>
        </w:rPr>
      </w:pPr>
      <w:r>
        <w:rPr>
          <w:b/>
          <w:bCs/>
          <w:i w:val="false"/>
          <w:iCs w:val="false"/>
        </w:rPr>
      </w:r>
    </w:p>
    <w:sectPr>
      <w:headerReference w:type="default" r:id="rId2"/>
      <w:headerReference w:type="first" r:id="rId3"/>
      <w:type w:val="nextPage"/>
      <w:pgSz w:orient="landscape" w:w="16838" w:h="11906"/>
      <w:pgMar w:left="1134" w:right="1134" w:gutter="0" w:header="420" w:top="930" w:footer="0" w:bottom="1134"/>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hd w:fill="FFFFFF" w:val="clear"/>
      </w:rPr>
    </w:pPr>
    <w:r>
      <w:rPr>
        <w:shd w:fill="FFFFFF" w:val="clear"/>
      </w:rPr>
      <w:fldChar w:fldCharType="begin"/>
    </w:r>
    <w:r>
      <w:rPr>
        <w:shd w:fill="FFFFFF" w:val="clear"/>
      </w:rPr>
      <w:instrText xml:space="preserve"> PAGE </w:instrText>
    </w:r>
    <w:r>
      <w:rPr>
        <w:shd w:fill="FFFFFF" w:val="clear"/>
      </w:rPr>
      <w:fldChar w:fldCharType="separate"/>
    </w:r>
    <w:r>
      <w:rPr>
        <w:shd w:fill="FFFFFF" w:val="clear"/>
      </w:rPr>
      <w:t>16</w:t>
    </w:r>
    <w:r>
      <w:rPr>
        <w:shd w:fill="FFFFFF" w:val="clea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hd w:fill="FFFFFF" w:val="clear"/>
      </w:rPr>
    </w:pPr>
    <w:r>
      <w:rPr>
        <w:shd w:fill="FFFFFF" w:val="clea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720"/>
        </w:tabs>
        <w:ind w:left="720" w:hanging="360"/>
      </w:pPr>
      <w:rPr/>
    </w:lvl>
    <w:lvl w:ilvl="1">
      <w:start w:val="1"/>
      <w:numFmt w:val="decimal"/>
      <w:lvlText w:val="%1.%2"/>
      <w:lvlJc w:val="left"/>
      <w:pPr>
        <w:tabs>
          <w:tab w:val="num" w:pos="1080"/>
        </w:tabs>
        <w:ind w:left="1080" w:hanging="360"/>
      </w:pPr>
      <w:rPr/>
    </w:lvl>
    <w:lvl w:ilvl="2">
      <w:start w:val="1"/>
      <w:numFmt w:val="decimal"/>
      <w:lvlText w:val="%1.%2.%3"/>
      <w:lvlJc w:val="left"/>
      <w:pPr>
        <w:tabs>
          <w:tab w:val="num" w:pos="1440"/>
        </w:tabs>
        <w:ind w:left="1440" w:hanging="360"/>
      </w:pPr>
      <w:rPr/>
    </w:lvl>
    <w:lvl w:ilvl="3">
      <w:start w:val="1"/>
      <w:numFmt w:val="decimal"/>
      <w:lvlText w:val="%1.%2.%3.%4"/>
      <w:lvlJc w:val="left"/>
      <w:pPr>
        <w:tabs>
          <w:tab w:val="num" w:pos="1800"/>
        </w:tabs>
        <w:ind w:left="1800" w:hanging="360"/>
      </w:pPr>
      <w:rPr/>
    </w:lvl>
    <w:lvl w:ilvl="4">
      <w:start w:val="1"/>
      <w:numFmt w:val="decimal"/>
      <w:lvlText w:val="%1.%2.%3.%4.%5"/>
      <w:lvlJc w:val="left"/>
      <w:pPr>
        <w:tabs>
          <w:tab w:val="num" w:pos="2160"/>
        </w:tabs>
        <w:ind w:left="2160" w:hanging="360"/>
      </w:pPr>
      <w:rPr/>
    </w:lvl>
    <w:lvl w:ilvl="5">
      <w:start w:val="1"/>
      <w:numFmt w:val="decimal"/>
      <w:lvlText w:val="%1.%2.%3.%4.%5.%6"/>
      <w:lvlJc w:val="left"/>
      <w:pPr>
        <w:tabs>
          <w:tab w:val="num" w:pos="2520"/>
        </w:tabs>
        <w:ind w:left="2520" w:hanging="360"/>
      </w:pPr>
      <w:rPr/>
    </w:lvl>
    <w:lvl w:ilvl="6">
      <w:start w:val="1"/>
      <w:numFmt w:val="decimal"/>
      <w:lvlText w:val="%1.%2.%3.%4.%5.%6.%7"/>
      <w:lvlJc w:val="left"/>
      <w:pPr>
        <w:tabs>
          <w:tab w:val="num" w:pos="2880"/>
        </w:tabs>
        <w:ind w:left="2880" w:hanging="360"/>
      </w:pPr>
      <w:rPr/>
    </w:lvl>
    <w:lvl w:ilvl="7">
      <w:start w:val="1"/>
      <w:numFmt w:val="decimal"/>
      <w:lvlText w:val="%1.%2.%3.%4.%5.%6.%7.%8"/>
      <w:lvlJc w:val="left"/>
      <w:pPr>
        <w:tabs>
          <w:tab w:val="num" w:pos="3240"/>
        </w:tabs>
        <w:ind w:left="3240" w:hanging="360"/>
      </w:pPr>
      <w:rPr/>
    </w:lvl>
    <w:lvl w:ilvl="8">
      <w:start w:val="1"/>
      <w:numFmt w:val="decimal"/>
      <w:lvlText w:val="%1.%2.%3.%4.%5.%6.%7.%8.%9"/>
      <w:lvlJc w:val="left"/>
      <w:pPr>
        <w:tabs>
          <w:tab w:val="num" w:pos="3600"/>
        </w:tabs>
        <w:ind w:left="3600" w:hanging="360"/>
      </w:pPr>
      <w:rPr/>
    </w:lvl>
  </w:abstractNum>
  <w:abstractNum w:abstractNumId="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5">
    <w:lvl w:ilvl="0">
      <w:start w:val="2"/>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7">
    <w:lvl w:ilvl="0">
      <w:start w:val="2"/>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8">
    <w:lvl w:ilvl="0">
      <w:start w:val="2"/>
      <w:numFmt w:val="decimal"/>
      <w:lvlText w:val=" %1 "/>
      <w:lvlJc w:val="left"/>
      <w:pPr>
        <w:tabs>
          <w:tab w:val="num" w:pos="720"/>
        </w:tabs>
        <w:ind w:left="720" w:hanging="360"/>
      </w:pPr>
      <w:rPr/>
    </w:lvl>
    <w:lvl w:ilvl="1">
      <w:start w:val="1"/>
      <w:numFmt w:val="decimal"/>
      <w:lvlText w:val=" %1.%2 "/>
      <w:lvlJc w:val="left"/>
      <w:pPr>
        <w:tabs>
          <w:tab w:val="num" w:pos="1080"/>
        </w:tabs>
        <w:ind w:left="1080" w:hanging="360"/>
      </w:pPr>
      <w:rPr/>
    </w:lvl>
    <w:lvl w:ilvl="2">
      <w:start w:val="1"/>
      <w:numFmt w:val="decimal"/>
      <w:lvlText w:val=" %1.%2.%3 "/>
      <w:lvlJc w:val="left"/>
      <w:pPr>
        <w:tabs>
          <w:tab w:val="num" w:pos="1440"/>
        </w:tabs>
        <w:ind w:left="1440" w:hanging="360"/>
      </w:pPr>
      <w:rPr/>
    </w:lvl>
    <w:lvl w:ilvl="3">
      <w:start w:val="1"/>
      <w:numFmt w:val="decimal"/>
      <w:lvlText w:val=" %1.%2.%3.%4 "/>
      <w:lvlJc w:val="left"/>
      <w:pPr>
        <w:tabs>
          <w:tab w:val="num" w:pos="1800"/>
        </w:tabs>
        <w:ind w:left="1800" w:hanging="360"/>
      </w:pPr>
      <w:rPr/>
    </w:lvl>
    <w:lvl w:ilvl="4">
      <w:start w:val="1"/>
      <w:numFmt w:val="decimal"/>
      <w:lvlText w:val=" %1.%2.%3.%4.%5 "/>
      <w:lvlJc w:val="left"/>
      <w:pPr>
        <w:tabs>
          <w:tab w:val="num" w:pos="2160"/>
        </w:tabs>
        <w:ind w:left="2160" w:hanging="360"/>
      </w:pPr>
      <w:rPr/>
    </w:lvl>
    <w:lvl w:ilvl="5">
      <w:start w:val="1"/>
      <w:numFmt w:val="decimal"/>
      <w:lvlText w:val=" %1.%2.%3.%4.%5.%6 "/>
      <w:lvlJc w:val="left"/>
      <w:pPr>
        <w:tabs>
          <w:tab w:val="num" w:pos="2520"/>
        </w:tabs>
        <w:ind w:left="2520" w:hanging="360"/>
      </w:pPr>
      <w:rPr/>
    </w:lvl>
    <w:lvl w:ilvl="6">
      <w:start w:val="1"/>
      <w:numFmt w:val="decimal"/>
      <w:lvlText w:val=" %1.%2.%3.%4.%5.%6.%7 "/>
      <w:lvlJc w:val="left"/>
      <w:pPr>
        <w:tabs>
          <w:tab w:val="num" w:pos="2880"/>
        </w:tabs>
        <w:ind w:left="2880" w:hanging="360"/>
      </w:pPr>
      <w:rPr/>
    </w:lvl>
    <w:lvl w:ilvl="7">
      <w:start w:val="1"/>
      <w:numFmt w:val="decimal"/>
      <w:lvlText w:val=" %1.%2.%3.%4.%5.%6.%7.%8 "/>
      <w:lvlJc w:val="left"/>
      <w:pPr>
        <w:tabs>
          <w:tab w:val="num" w:pos="3240"/>
        </w:tabs>
        <w:ind w:left="3240" w:hanging="360"/>
      </w:pPr>
      <w:rPr/>
    </w:lvl>
    <w:lvl w:ilvl="8">
      <w:start w:val="1"/>
      <w:numFmt w:val="decimal"/>
      <w:lvlText w:val=" %1.%2.%3.%4.%5.%6.%7.%8.%9 "/>
      <w:lvlJc w:val="left"/>
      <w:pPr>
        <w:tabs>
          <w:tab w:val="num" w:pos="3600"/>
        </w:tabs>
        <w:ind w:left="3600" w:hanging="360"/>
      </w:pPr>
      <w:rPr/>
    </w:lvl>
  </w:abstractNum>
  <w:abstractNum w:abstractNumId="9">
    <w:lvl w:ilvl="0">
      <w:start w:val="3"/>
      <w:numFmt w:val="decimal"/>
      <w:lvlText w:val=" %1 "/>
      <w:lvlJc w:val="left"/>
      <w:pPr>
        <w:tabs>
          <w:tab w:val="num" w:pos="720"/>
        </w:tabs>
        <w:ind w:left="720" w:hanging="360"/>
      </w:pPr>
      <w:rPr/>
    </w:lvl>
    <w:lvl w:ilvl="1">
      <w:start w:val="1"/>
      <w:numFmt w:val="decimal"/>
      <w:lvlText w:val=" %1.%2 "/>
      <w:lvlJc w:val="left"/>
      <w:pPr>
        <w:tabs>
          <w:tab w:val="num" w:pos="1080"/>
        </w:tabs>
        <w:ind w:left="1080" w:hanging="360"/>
      </w:pPr>
      <w:rPr/>
    </w:lvl>
    <w:lvl w:ilvl="2">
      <w:start w:val="1"/>
      <w:numFmt w:val="decimal"/>
      <w:lvlText w:val=" %1.%2.%3 "/>
      <w:lvlJc w:val="left"/>
      <w:pPr>
        <w:tabs>
          <w:tab w:val="num" w:pos="1440"/>
        </w:tabs>
        <w:ind w:left="1440" w:hanging="360"/>
      </w:pPr>
      <w:rPr/>
    </w:lvl>
    <w:lvl w:ilvl="3">
      <w:start w:val="1"/>
      <w:numFmt w:val="decimal"/>
      <w:lvlText w:val=" %1.%2.%3.%4 "/>
      <w:lvlJc w:val="left"/>
      <w:pPr>
        <w:tabs>
          <w:tab w:val="num" w:pos="1800"/>
        </w:tabs>
        <w:ind w:left="1800" w:hanging="360"/>
      </w:pPr>
      <w:rPr/>
    </w:lvl>
    <w:lvl w:ilvl="4">
      <w:start w:val="1"/>
      <w:numFmt w:val="decimal"/>
      <w:lvlText w:val=" %1.%2.%3.%4.%5 "/>
      <w:lvlJc w:val="left"/>
      <w:pPr>
        <w:tabs>
          <w:tab w:val="num" w:pos="2160"/>
        </w:tabs>
        <w:ind w:left="2160" w:hanging="360"/>
      </w:pPr>
      <w:rPr/>
    </w:lvl>
    <w:lvl w:ilvl="5">
      <w:start w:val="1"/>
      <w:numFmt w:val="decimal"/>
      <w:lvlText w:val=" %1.%2.%3.%4.%5.%6 "/>
      <w:lvlJc w:val="left"/>
      <w:pPr>
        <w:tabs>
          <w:tab w:val="num" w:pos="2520"/>
        </w:tabs>
        <w:ind w:left="2520" w:hanging="360"/>
      </w:pPr>
      <w:rPr/>
    </w:lvl>
    <w:lvl w:ilvl="6">
      <w:start w:val="1"/>
      <w:numFmt w:val="decimal"/>
      <w:lvlText w:val=" %1.%2.%3.%4.%5.%6.%7 "/>
      <w:lvlJc w:val="left"/>
      <w:pPr>
        <w:tabs>
          <w:tab w:val="num" w:pos="2880"/>
        </w:tabs>
        <w:ind w:left="2880" w:hanging="360"/>
      </w:pPr>
      <w:rPr/>
    </w:lvl>
    <w:lvl w:ilvl="7">
      <w:start w:val="1"/>
      <w:numFmt w:val="decimal"/>
      <w:lvlText w:val=" %1.%2.%3.%4.%5.%6.%7.%8 "/>
      <w:lvlJc w:val="left"/>
      <w:pPr>
        <w:tabs>
          <w:tab w:val="num" w:pos="3240"/>
        </w:tabs>
        <w:ind w:left="3240" w:hanging="360"/>
      </w:pPr>
      <w:rPr/>
    </w:lvl>
    <w:lvl w:ilvl="8">
      <w:start w:val="1"/>
      <w:numFmt w:val="decimal"/>
      <w:lvlText w:val=" %1.%2.%3.%4.%5.%6.%7.%8.%9 "/>
      <w:lvlJc w:val="left"/>
      <w:pPr>
        <w:tabs>
          <w:tab w:val="num" w:pos="3600"/>
        </w:tabs>
        <w:ind w:left="3600" w:hanging="360"/>
      </w:pPr>
      <w:rPr/>
    </w:lvl>
  </w:abstractNum>
  <w:abstractNum w:abstractNumId="10">
    <w:lvl w:ilvl="0">
      <w:start w:val="4"/>
      <w:numFmt w:val="decimal"/>
      <w:lvlText w:val="%1"/>
      <w:lvlJc w:val="left"/>
      <w:pPr>
        <w:tabs>
          <w:tab w:val="num" w:pos="720"/>
        </w:tabs>
        <w:ind w:left="720" w:hanging="360"/>
      </w:pPr>
      <w:rPr/>
    </w:lvl>
    <w:lvl w:ilvl="1">
      <w:start w:val="1"/>
      <w:numFmt w:val="decimal"/>
      <w:lvlText w:val="%1.%2"/>
      <w:lvlJc w:val="left"/>
      <w:pPr>
        <w:tabs>
          <w:tab w:val="num" w:pos="1080"/>
        </w:tabs>
        <w:ind w:left="1080" w:hanging="360"/>
      </w:pPr>
      <w:rPr/>
    </w:lvl>
    <w:lvl w:ilvl="2">
      <w:start w:val="1"/>
      <w:numFmt w:val="decimal"/>
      <w:lvlText w:val="%1.%2.%3"/>
      <w:lvlJc w:val="left"/>
      <w:pPr>
        <w:tabs>
          <w:tab w:val="num" w:pos="1440"/>
        </w:tabs>
        <w:ind w:left="1440" w:hanging="360"/>
      </w:pPr>
      <w:rPr/>
    </w:lvl>
    <w:lvl w:ilvl="3">
      <w:start w:val="1"/>
      <w:numFmt w:val="decimal"/>
      <w:lvlText w:val="%1.%2.%3.%4"/>
      <w:lvlJc w:val="left"/>
      <w:pPr>
        <w:tabs>
          <w:tab w:val="num" w:pos="1800"/>
        </w:tabs>
        <w:ind w:left="1800" w:hanging="360"/>
      </w:pPr>
      <w:rPr/>
    </w:lvl>
    <w:lvl w:ilvl="4">
      <w:start w:val="1"/>
      <w:numFmt w:val="decimal"/>
      <w:lvlText w:val="%1.%2.%3.%4.%5"/>
      <w:lvlJc w:val="left"/>
      <w:pPr>
        <w:tabs>
          <w:tab w:val="num" w:pos="2160"/>
        </w:tabs>
        <w:ind w:left="2160" w:hanging="360"/>
      </w:pPr>
      <w:rPr/>
    </w:lvl>
    <w:lvl w:ilvl="5">
      <w:start w:val="1"/>
      <w:numFmt w:val="decimal"/>
      <w:lvlText w:val="%1.%2.%3.%4.%5.%6"/>
      <w:lvlJc w:val="left"/>
      <w:pPr>
        <w:tabs>
          <w:tab w:val="num" w:pos="2520"/>
        </w:tabs>
        <w:ind w:left="2520" w:hanging="360"/>
      </w:pPr>
      <w:rPr/>
    </w:lvl>
    <w:lvl w:ilvl="6">
      <w:start w:val="1"/>
      <w:numFmt w:val="decimal"/>
      <w:lvlText w:val="%1.%2.%3.%4.%5.%6.%7"/>
      <w:lvlJc w:val="left"/>
      <w:pPr>
        <w:tabs>
          <w:tab w:val="num" w:pos="2880"/>
        </w:tabs>
        <w:ind w:left="2880" w:hanging="360"/>
      </w:pPr>
      <w:rPr/>
    </w:lvl>
    <w:lvl w:ilvl="7">
      <w:start w:val="1"/>
      <w:numFmt w:val="decimal"/>
      <w:lvlText w:val="%1.%2.%3.%4.%5.%6.%7.%8"/>
      <w:lvlJc w:val="left"/>
      <w:pPr>
        <w:tabs>
          <w:tab w:val="num" w:pos="3240"/>
        </w:tabs>
        <w:ind w:left="3240" w:hanging="360"/>
      </w:pPr>
      <w:rPr/>
    </w:lvl>
    <w:lvl w:ilvl="8">
      <w:start w:val="1"/>
      <w:numFmt w:val="decimal"/>
      <w:lvlText w:val="%1.%2.%3.%4.%5.%6.%7.%8.%9"/>
      <w:lvlJc w:val="left"/>
      <w:pPr>
        <w:tabs>
          <w:tab w:val="num" w:pos="3600"/>
        </w:tabs>
        <w:ind w:left="3600" w:hanging="360"/>
      </w:pPr>
      <w:rPr/>
    </w:lvl>
  </w:abstractNum>
  <w:abstractNum w:abstractNumId="11">
    <w:lvl w:ilvl="0">
      <w:start w:val="5"/>
      <w:numFmt w:val="decimal"/>
      <w:lvlText w:val=" %1 "/>
      <w:lvlJc w:val="left"/>
      <w:pPr>
        <w:tabs>
          <w:tab w:val="num" w:pos="720"/>
        </w:tabs>
        <w:ind w:left="720" w:hanging="360"/>
      </w:pPr>
      <w:rPr/>
    </w:lvl>
    <w:lvl w:ilvl="1">
      <w:start w:val="1"/>
      <w:numFmt w:val="decimal"/>
      <w:lvlText w:val=" %1.%2 "/>
      <w:lvlJc w:val="left"/>
      <w:pPr>
        <w:tabs>
          <w:tab w:val="num" w:pos="1080"/>
        </w:tabs>
        <w:ind w:left="1080" w:hanging="360"/>
      </w:pPr>
      <w:rPr/>
    </w:lvl>
    <w:lvl w:ilvl="2">
      <w:start w:val="1"/>
      <w:numFmt w:val="decimal"/>
      <w:lvlText w:val=" %1.%2.%3 "/>
      <w:lvlJc w:val="left"/>
      <w:pPr>
        <w:tabs>
          <w:tab w:val="num" w:pos="1440"/>
        </w:tabs>
        <w:ind w:left="1440" w:hanging="360"/>
      </w:pPr>
      <w:rPr/>
    </w:lvl>
    <w:lvl w:ilvl="3">
      <w:start w:val="1"/>
      <w:numFmt w:val="decimal"/>
      <w:lvlText w:val=" %1.%2.%3.%4 "/>
      <w:lvlJc w:val="left"/>
      <w:pPr>
        <w:tabs>
          <w:tab w:val="num" w:pos="1800"/>
        </w:tabs>
        <w:ind w:left="1800" w:hanging="360"/>
      </w:pPr>
      <w:rPr/>
    </w:lvl>
    <w:lvl w:ilvl="4">
      <w:start w:val="1"/>
      <w:numFmt w:val="decimal"/>
      <w:lvlText w:val=" %1.%2.%3.%4.%5 "/>
      <w:lvlJc w:val="left"/>
      <w:pPr>
        <w:tabs>
          <w:tab w:val="num" w:pos="2160"/>
        </w:tabs>
        <w:ind w:left="2160" w:hanging="360"/>
      </w:pPr>
      <w:rPr/>
    </w:lvl>
    <w:lvl w:ilvl="5">
      <w:start w:val="1"/>
      <w:numFmt w:val="decimal"/>
      <w:lvlText w:val=" %1.%2.%3.%4.%5.%6 "/>
      <w:lvlJc w:val="left"/>
      <w:pPr>
        <w:tabs>
          <w:tab w:val="num" w:pos="2520"/>
        </w:tabs>
        <w:ind w:left="2520" w:hanging="360"/>
      </w:pPr>
      <w:rPr/>
    </w:lvl>
    <w:lvl w:ilvl="6">
      <w:start w:val="1"/>
      <w:numFmt w:val="decimal"/>
      <w:lvlText w:val=" %1.%2.%3.%4.%5.%6.%7 "/>
      <w:lvlJc w:val="left"/>
      <w:pPr>
        <w:tabs>
          <w:tab w:val="num" w:pos="2880"/>
        </w:tabs>
        <w:ind w:left="2880" w:hanging="360"/>
      </w:pPr>
      <w:rPr/>
    </w:lvl>
    <w:lvl w:ilvl="7">
      <w:start w:val="1"/>
      <w:numFmt w:val="decimal"/>
      <w:lvlText w:val=" %1.%2.%3.%4.%5.%6.%7.%8 "/>
      <w:lvlJc w:val="left"/>
      <w:pPr>
        <w:tabs>
          <w:tab w:val="num" w:pos="3240"/>
        </w:tabs>
        <w:ind w:left="3240" w:hanging="360"/>
      </w:pPr>
      <w:rPr/>
    </w:lvl>
    <w:lvl w:ilvl="8">
      <w:start w:val="1"/>
      <w:numFmt w:val="decimal"/>
      <w:lvlText w:val=" %1.%2.%3.%4.%5.%6.%7.%8.%9 "/>
      <w:lvlJc w:val="left"/>
      <w:pPr>
        <w:tabs>
          <w:tab w:val="num" w:pos="3600"/>
        </w:tabs>
        <w:ind w:left="3600" w:hanging="360"/>
      </w:pPr>
      <w:rPr/>
    </w:lvl>
  </w:abstractNum>
  <w:abstractNum w:abstractNumId="12">
    <w:lvl w:ilvl="0">
      <w:start w:val="6"/>
      <w:numFmt w:val="decimal"/>
      <w:lvlText w:val=" %1 "/>
      <w:lvlJc w:val="left"/>
      <w:pPr>
        <w:tabs>
          <w:tab w:val="num" w:pos="720"/>
        </w:tabs>
        <w:ind w:left="720" w:hanging="360"/>
      </w:pPr>
      <w:rPr/>
    </w:lvl>
    <w:lvl w:ilvl="1">
      <w:start w:val="1"/>
      <w:numFmt w:val="decimal"/>
      <w:lvlText w:val=" %1.%2 "/>
      <w:lvlJc w:val="left"/>
      <w:pPr>
        <w:tabs>
          <w:tab w:val="num" w:pos="1080"/>
        </w:tabs>
        <w:ind w:left="1080" w:hanging="360"/>
      </w:pPr>
      <w:rPr/>
    </w:lvl>
    <w:lvl w:ilvl="2">
      <w:start w:val="1"/>
      <w:numFmt w:val="decimal"/>
      <w:lvlText w:val=" %1.%2.%3 "/>
      <w:lvlJc w:val="left"/>
      <w:pPr>
        <w:tabs>
          <w:tab w:val="num" w:pos="1440"/>
        </w:tabs>
        <w:ind w:left="1440" w:hanging="360"/>
      </w:pPr>
      <w:rPr/>
    </w:lvl>
    <w:lvl w:ilvl="3">
      <w:start w:val="1"/>
      <w:numFmt w:val="decimal"/>
      <w:lvlText w:val=" %1.%2.%3.%4 "/>
      <w:lvlJc w:val="left"/>
      <w:pPr>
        <w:tabs>
          <w:tab w:val="num" w:pos="1800"/>
        </w:tabs>
        <w:ind w:left="1800" w:hanging="360"/>
      </w:pPr>
      <w:rPr/>
    </w:lvl>
    <w:lvl w:ilvl="4">
      <w:start w:val="1"/>
      <w:numFmt w:val="decimal"/>
      <w:lvlText w:val=" %1.%2.%3.%4.%5 "/>
      <w:lvlJc w:val="left"/>
      <w:pPr>
        <w:tabs>
          <w:tab w:val="num" w:pos="2160"/>
        </w:tabs>
        <w:ind w:left="2160" w:hanging="360"/>
      </w:pPr>
      <w:rPr/>
    </w:lvl>
    <w:lvl w:ilvl="5">
      <w:start w:val="1"/>
      <w:numFmt w:val="decimal"/>
      <w:lvlText w:val=" %1.%2.%3.%4.%5.%6 "/>
      <w:lvlJc w:val="left"/>
      <w:pPr>
        <w:tabs>
          <w:tab w:val="num" w:pos="2520"/>
        </w:tabs>
        <w:ind w:left="2520" w:hanging="360"/>
      </w:pPr>
      <w:rPr/>
    </w:lvl>
    <w:lvl w:ilvl="6">
      <w:start w:val="1"/>
      <w:numFmt w:val="decimal"/>
      <w:lvlText w:val=" %1.%2.%3.%4.%5.%6.%7 "/>
      <w:lvlJc w:val="left"/>
      <w:pPr>
        <w:tabs>
          <w:tab w:val="num" w:pos="2880"/>
        </w:tabs>
        <w:ind w:left="2880" w:hanging="360"/>
      </w:pPr>
      <w:rPr/>
    </w:lvl>
    <w:lvl w:ilvl="7">
      <w:start w:val="1"/>
      <w:numFmt w:val="decimal"/>
      <w:lvlText w:val=" %1.%2.%3.%4.%5.%6.%7.%8 "/>
      <w:lvlJc w:val="left"/>
      <w:pPr>
        <w:tabs>
          <w:tab w:val="num" w:pos="3240"/>
        </w:tabs>
        <w:ind w:left="3240" w:hanging="360"/>
      </w:pPr>
      <w:rPr/>
    </w:lvl>
    <w:lvl w:ilvl="8">
      <w:start w:val="1"/>
      <w:numFmt w:val="decimal"/>
      <w:lvlText w:val=" %1.%2.%3.%4.%5.%6.%7.%8.%9 "/>
      <w:lvlJc w:val="left"/>
      <w:pPr>
        <w:tabs>
          <w:tab w:val="num" w:pos="3600"/>
        </w:tabs>
        <w:ind w:left="3600" w:hanging="360"/>
      </w:pPr>
      <w:rPr/>
    </w:lvl>
  </w:abstractNum>
  <w:abstractNum w:abstractNumId="13">
    <w:lvl w:ilvl="0">
      <w:start w:val="7"/>
      <w:numFmt w:val="decimal"/>
      <w:lvlText w:val=" %1 "/>
      <w:lvlJc w:val="left"/>
      <w:pPr>
        <w:tabs>
          <w:tab w:val="num" w:pos="720"/>
        </w:tabs>
        <w:ind w:left="720" w:hanging="360"/>
      </w:pPr>
      <w:rPr/>
    </w:lvl>
    <w:lvl w:ilvl="1">
      <w:start w:val="1"/>
      <w:numFmt w:val="decimal"/>
      <w:lvlText w:val=" %1.%2 "/>
      <w:lvlJc w:val="left"/>
      <w:pPr>
        <w:tabs>
          <w:tab w:val="num" w:pos="1080"/>
        </w:tabs>
        <w:ind w:left="1080" w:hanging="360"/>
      </w:pPr>
      <w:rPr/>
    </w:lvl>
    <w:lvl w:ilvl="2">
      <w:start w:val="1"/>
      <w:numFmt w:val="decimal"/>
      <w:lvlText w:val=" %1.%2.%3 "/>
      <w:lvlJc w:val="left"/>
      <w:pPr>
        <w:tabs>
          <w:tab w:val="num" w:pos="1440"/>
        </w:tabs>
        <w:ind w:left="1440" w:hanging="360"/>
      </w:pPr>
      <w:rPr/>
    </w:lvl>
    <w:lvl w:ilvl="3">
      <w:start w:val="1"/>
      <w:numFmt w:val="decimal"/>
      <w:lvlText w:val=" %1.%2.%3.%4 "/>
      <w:lvlJc w:val="left"/>
      <w:pPr>
        <w:tabs>
          <w:tab w:val="num" w:pos="1800"/>
        </w:tabs>
        <w:ind w:left="1800" w:hanging="360"/>
      </w:pPr>
      <w:rPr/>
    </w:lvl>
    <w:lvl w:ilvl="4">
      <w:start w:val="1"/>
      <w:numFmt w:val="decimal"/>
      <w:lvlText w:val=" %1.%2.%3.%4.%5 "/>
      <w:lvlJc w:val="left"/>
      <w:pPr>
        <w:tabs>
          <w:tab w:val="num" w:pos="2160"/>
        </w:tabs>
        <w:ind w:left="2160" w:hanging="360"/>
      </w:pPr>
      <w:rPr/>
    </w:lvl>
    <w:lvl w:ilvl="5">
      <w:start w:val="1"/>
      <w:numFmt w:val="decimal"/>
      <w:lvlText w:val=" %1.%2.%3.%4.%5.%6 "/>
      <w:lvlJc w:val="left"/>
      <w:pPr>
        <w:tabs>
          <w:tab w:val="num" w:pos="2520"/>
        </w:tabs>
        <w:ind w:left="2520" w:hanging="360"/>
      </w:pPr>
      <w:rPr/>
    </w:lvl>
    <w:lvl w:ilvl="6">
      <w:start w:val="1"/>
      <w:numFmt w:val="decimal"/>
      <w:lvlText w:val=" %1.%2.%3.%4.%5.%6.%7 "/>
      <w:lvlJc w:val="left"/>
      <w:pPr>
        <w:tabs>
          <w:tab w:val="num" w:pos="2880"/>
        </w:tabs>
        <w:ind w:left="2880" w:hanging="360"/>
      </w:pPr>
      <w:rPr/>
    </w:lvl>
    <w:lvl w:ilvl="7">
      <w:start w:val="1"/>
      <w:numFmt w:val="decimal"/>
      <w:lvlText w:val=" %1.%2.%3.%4.%5.%6.%7.%8 "/>
      <w:lvlJc w:val="left"/>
      <w:pPr>
        <w:tabs>
          <w:tab w:val="num" w:pos="3240"/>
        </w:tabs>
        <w:ind w:left="3240" w:hanging="360"/>
      </w:pPr>
      <w:rPr/>
    </w:lvl>
    <w:lvl w:ilvl="8">
      <w:start w:val="1"/>
      <w:numFmt w:val="decimal"/>
      <w:lvlText w:val=" %1.%2.%3.%4.%5.%6.%7.%8.%9 "/>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kinsoku w:val="true"/>
      <w:overflowPunct w:val="false"/>
      <w:autoSpaceDE w:val="true"/>
      <w:bidi w:val="0"/>
      <w:spacing w:before="0" w:after="0"/>
      <w:jc w:val="left"/>
    </w:pPr>
    <w:rPr>
      <w:rFonts w:ascii="Liberation Serif" w:hAnsi="Liberation Serif" w:eastAsia="Tahoma" w:cs="Lohit Devanagari"/>
      <w:color w:val="auto"/>
      <w:kern w:val="2"/>
      <w:sz w:val="24"/>
      <w:szCs w:val="24"/>
      <w:lang w:val="ru-RU" w:eastAsia="zh-CN" w:bidi="hi-IN"/>
    </w:rPr>
  </w:style>
  <w:style w:type="paragraph" w:styleId="Heading1">
    <w:name w:val="Heading 1"/>
    <w:basedOn w:val="Style12"/>
    <w:next w:val="BodyText"/>
    <w:qFormat/>
    <w:pPr>
      <w:numPr>
        <w:ilvl w:val="0"/>
        <w:numId w:val="0"/>
      </w:numPr>
      <w:spacing w:before="240" w:after="120"/>
      <w:outlineLvl w:val="0"/>
    </w:pPr>
    <w:rPr>
      <w:rFonts w:ascii="Liberation Serif" w:hAnsi="Liberation Serif" w:eastAsia="Tahoma" w:cs="Lohit Devanagari"/>
      <w:b/>
      <w:bCs/>
      <w:sz w:val="48"/>
      <w:szCs w:val="48"/>
    </w:rPr>
  </w:style>
  <w:style w:type="character" w:styleId="Hyperlink">
    <w:name w:val="Hyperlink"/>
    <w:rPr>
      <w:color w:val="000080"/>
      <w:u w:val="single"/>
    </w:rPr>
  </w:style>
  <w:style w:type="character" w:styleId="Style8">
    <w:name w:val="Символ нумерации"/>
    <w:qFormat/>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name w:val="Маркеры"/>
    <w:qFormat/>
    <w:rPr>
      <w:rFonts w:ascii="OpenSymbol" w:hAnsi="OpenSymbol" w:eastAsia="OpenSymbol" w:cs="OpenSymbol"/>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paragraph" w:styleId="Style12">
    <w:name w:val="Заголовок"/>
    <w:basedOn w:val="Normal"/>
    <w:next w:val="BodyText"/>
    <w:qFormat/>
    <w:pPr>
      <w:keepNext w:val="true"/>
      <w:spacing w:before="240" w:after="120"/>
    </w:pPr>
    <w:rPr>
      <w:rFonts w:ascii="Liberation Sans" w:hAnsi="Liberation Sans" w:eastAsia="Tahoma"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3">
    <w:name w:val="Указатель"/>
    <w:basedOn w:val="Normal"/>
    <w:qFormat/>
    <w:pPr>
      <w:suppressLineNumbers/>
    </w:pPr>
    <w:rPr>
      <w:rFonts w:cs="Lohit Devanagari"/>
    </w:rPr>
  </w:style>
  <w:style w:type="paragraph" w:styleId="Style14">
    <w:name w:val="Содержимое таблицы"/>
    <w:basedOn w:val="Normal"/>
    <w:qFormat/>
    <w:pPr>
      <w:widowControl w:val="false"/>
      <w:suppressLineNumbers/>
    </w:pPr>
    <w:rPr/>
  </w:style>
  <w:style w:type="paragraph" w:styleId="Style15">
    <w:name w:val="Заголовок таблицы"/>
    <w:basedOn w:val="Style14"/>
    <w:qFormat/>
    <w:pPr>
      <w:suppressLineNumbers/>
      <w:jc w:val="center"/>
    </w:pPr>
    <w:rPr>
      <w:b/>
      <w:bCs/>
    </w:rPr>
  </w:style>
  <w:style w:type="paragraph" w:styleId="Style16">
    <w:name w:val="Горизонтальная линия"/>
    <w:basedOn w:val="Normal"/>
    <w:next w:val="BodyText"/>
    <w:qFormat/>
    <w:pPr>
      <w:suppressLineNumbers/>
      <w:pBdr>
        <w:bottom w:val="double" w:sz="2" w:space="0" w:color="808080"/>
      </w:pBdr>
      <w:spacing w:before="0" w:after="283"/>
    </w:pPr>
    <w:rPr>
      <w:sz w:val="12"/>
      <w:szCs w:val="12"/>
    </w:rPr>
  </w:style>
  <w:style w:type="paragraph" w:styleId="FootnoteText">
    <w:name w:val="Footnote Text"/>
    <w:basedOn w:val="Normal"/>
    <w:pPr>
      <w:suppressLineNumbers/>
      <w:ind w:left="340" w:right="0" w:hanging="340"/>
    </w:pPr>
    <w:rPr>
      <w:sz w:val="20"/>
      <w:szCs w:val="20"/>
    </w:rPr>
  </w:style>
  <w:style w:type="paragraph" w:styleId="Style17">
    <w:name w:val="Колонтитул"/>
    <w:basedOn w:val="Normal"/>
    <w:qFormat/>
    <w:pPr>
      <w:suppressLineNumbers/>
      <w:tabs>
        <w:tab w:val="clear" w:pos="709"/>
        <w:tab w:val="center" w:pos="7285" w:leader="none"/>
        <w:tab w:val="right" w:pos="14570" w:leader="none"/>
      </w:tabs>
    </w:pPr>
    <w:rPr/>
  </w:style>
  <w:style w:type="paragraph" w:styleId="Header">
    <w:name w:val="Header"/>
    <w:basedOn w:val="Style17"/>
    <w:pPr>
      <w:suppressLineNumbers/>
    </w:pPr>
    <w:rPr/>
  </w:style>
  <w:style w:type="paragraph" w:styleId="Standard">
    <w:name w:val="Standard"/>
    <w:qFormat/>
    <w:pPr>
      <w:widowControl/>
      <w:suppressAutoHyphens w:val="true"/>
      <w:kinsoku w:val="true"/>
      <w:overflowPunct w:val="true"/>
      <w:autoSpaceDE w:val="true"/>
      <w:bidi w:val="0"/>
      <w:spacing w:before="0" w:after="0"/>
      <w:jc w:val="left"/>
      <w:textAlignment w:val="baseline"/>
    </w:pPr>
    <w:rPr>
      <w:rFonts w:ascii="Times New Roman" w:hAnsi="Times New Roman" w:eastAsia="Times New Roman" w:cs="Times New Roman"/>
      <w:color w:val="00000A"/>
      <w:kern w:val="2"/>
      <w:sz w:val="28"/>
      <w:szCs w:val="28"/>
      <w:lang w:val="ru-RU" w:eastAsia="ru-RU" w:bidi="ar-SA"/>
    </w:rPr>
  </w:style>
  <w:style w:type="paragraph" w:styleId="ListParagraphTable-NormalRSHBTable-Normal342">
    <w:name w:val="List Paragraph;Table-Normal;RSHB_Table-Normal;Заголовок_3;Подпись рисунка;Алроса_маркер (Уровень 4);Маркер;ПАРАГРАФ;Абзац списка2"/>
    <w:basedOn w:val="Normal"/>
    <w:qFormat/>
    <w:pPr>
      <w:spacing w:before="0" w:after="160"/>
      <w:ind w:left="720" w:hanging="0"/>
      <w:contextualSpacing/>
    </w:pPr>
    <w:rPr>
      <w:rFonts w:ascii="Times New Roman" w:hAnsi="Times New Roman"/>
      <w:sz w:val="24"/>
      <w:szCs w:val="24"/>
    </w:rPr>
  </w:style>
  <w:style w:type="numbering" w:styleId="37477466041">
    <w:name w:val="37477466041"/>
    <w:qFormat/>
  </w:style>
  <w:style w:type="numbering" w:styleId="14449856281">
    <w:name w:val="14449856281"/>
    <w:qFormat/>
  </w:style>
  <w:style w:type="numbering" w:styleId="24044972091">
    <w:name w:val="24044972091"/>
    <w:qFormat/>
  </w:style>
  <w:style w:type="numbering" w:styleId="2326571181">
    <w:name w:val="2326571181"/>
    <w:qFormat/>
  </w:style>
  <w:style w:type="numbering" w:styleId="8994161851">
    <w:name w:val="8994161851"/>
    <w:qFormat/>
  </w:style>
  <w:style w:type="numbering" w:styleId="10798081421">
    <w:name w:val="10798081421"/>
    <w:qFormat/>
  </w:style>
  <w:style w:type="numbering" w:styleId="13229002161">
    <w:name w:val="13229002161"/>
    <w:qFormat/>
  </w:style>
  <w:style w:type="numbering" w:styleId="8737787861">
    <w:name w:val="8737787861"/>
    <w:qFormat/>
  </w:style>
  <w:style w:type="numbering" w:styleId="36472449611">
    <w:name w:val="36472449611"/>
    <w:qFormat/>
  </w:style>
  <w:style w:type="numbering" w:styleId="3622751531">
    <w:name w:val="3622751531"/>
    <w:qFormat/>
  </w:style>
  <w:style w:type="numbering" w:styleId="27275653691">
    <w:name w:val="27275653691"/>
    <w:qFormat/>
  </w:style>
  <w:style w:type="numbering" w:styleId="38738010521">
    <w:name w:val="3873801052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202</TotalTime>
  <Application>AlterOffice/2025.3.1.0$Linux_X86_64 LibreOffice_project/431cd1b79110582f53535c95ed0a2449aadc8bf9</Application>
  <AppVersion>15.0000</AppVersion>
  <Pages>16</Pages>
  <Words>2685</Words>
  <Characters>18370</Characters>
  <CharactersWithSpaces>20855</CharactersWithSpaces>
  <Paragraphs>541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2025-03-12T09:40:40Z</dcterms:created>
  <dc:creator>ivanov_en</dc:creator>
  <dc:description/>
  <dc:language>ru-RU</dc:language>
  <cp:lastModifiedBy>butakov_sa</cp:lastModifiedBy>
  <dcterms:modified xsi:type="dcterms:W3CDTF">2026-10-19T17:51:39Z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