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custom.xml" ContentType="application/vnd.openxmlformats-officedocument.custom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tbl>
      <w:tblPr>
        <w:tblW w:w="9585" w:type="dxa"/>
        <w:jc w:val="left"/>
        <w:tblInd w:w="108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868"/>
        <w:gridCol w:w="4716"/>
      </w:tblGrid>
      <w:tr>
        <w:trPr>
          <w:trHeight w:val="2038" w:hRule="atLeast"/>
        </w:trPr>
        <w:tc>
          <w:tcPr>
            <w:tcW w:w="4868" w:type="dxa"/>
            <w:tcBorders/>
          </w:tcPr>
          <w:p>
            <w:pPr>
              <w:pStyle w:val="Normal"/>
              <w:widowControl w:val="false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4716" w:type="dxa"/>
            <w:tcBorders/>
          </w:tcPr>
          <w:p>
            <w:pPr>
              <w:pStyle w:val="Normal"/>
              <w:widowControl w:val="false"/>
              <w:ind w:hanging="11" w:left="0" w:right="0"/>
              <w:jc w:val="right"/>
              <w:rPr/>
            </w:pPr>
            <w:r>
              <w:rPr>
                <w:rStyle w:val="Style8"/>
                <w:sz w:val="24"/>
                <w:szCs w:val="24"/>
              </w:rPr>
              <w:t>«УТВЕРЖДАЮ»</w:t>
            </w:r>
          </w:p>
          <w:p>
            <w:pPr>
              <w:pStyle w:val="Normal"/>
              <w:widowControl w:val="false"/>
              <w:tabs>
                <w:tab w:val="clear" w:pos="709"/>
              </w:tabs>
              <w:ind w:hanging="0" w:left="113" w:right="45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  <w:p>
            <w:pPr>
              <w:pStyle w:val="Normal"/>
              <w:widowControl w:val="false"/>
              <w:ind w:hanging="11" w:left="0" w:right="0"/>
              <w:jc w:val="right"/>
              <w:rPr/>
            </w:pPr>
            <w:r>
              <w:rPr>
                <w:rStyle w:val="Style8"/>
                <w:sz w:val="24"/>
                <w:szCs w:val="24"/>
              </w:rPr>
              <w:t>Директор Центрального филиала</w:t>
            </w:r>
          </w:p>
          <w:p>
            <w:pPr>
              <w:pStyle w:val="Normal"/>
              <w:widowControl w:val="false"/>
              <w:ind w:hanging="11" w:left="0" w:right="0"/>
              <w:jc w:val="right"/>
              <w:rPr/>
            </w:pPr>
            <w:r>
              <w:rPr>
                <w:rStyle w:val="Style8"/>
                <w:sz w:val="24"/>
                <w:szCs w:val="24"/>
              </w:rPr>
              <w:t>АО «ТК РусГидро»</w:t>
            </w:r>
          </w:p>
          <w:p>
            <w:pPr>
              <w:pStyle w:val="Normal"/>
              <w:widowControl w:val="false"/>
              <w:ind w:hanging="11" w:left="0" w:right="0"/>
              <w:jc w:val="right"/>
              <w:rPr/>
            </w:pPr>
            <w:r>
              <w:rPr>
                <w:rStyle w:val="Style8"/>
                <w:sz w:val="24"/>
                <w:szCs w:val="24"/>
              </w:rPr>
              <w:t>__________________ М.В. Нешев</w:t>
            </w:r>
          </w:p>
          <w:p>
            <w:pPr>
              <w:pStyle w:val="Normal"/>
              <w:widowControl w:val="false"/>
              <w:jc w:val="right"/>
              <w:rPr/>
            </w:pPr>
            <w:r>
              <w:rPr>
                <w:rStyle w:val="Style8"/>
                <w:sz w:val="24"/>
                <w:szCs w:val="24"/>
              </w:rPr>
              <w:t>«___» _______________ 2026 год</w:t>
            </w:r>
          </w:p>
        </w:tc>
      </w:tr>
    </w:tbl>
    <w:p>
      <w:pPr>
        <w:pStyle w:val="1"/>
        <w:numPr>
          <w:ilvl w:val="0"/>
          <w:numId w:val="0"/>
        </w:numPr>
        <w:tabs>
          <w:tab w:val="clear" w:pos="709"/>
        </w:tabs>
        <w:spacing w:before="0" w:after="0"/>
        <w:ind w:hanging="567" w:left="567" w:right="0"/>
        <w:outlineLvl w:val="9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Normal"/>
        <w:suppressAutoHyphens w:val="false"/>
        <w:jc w:val="center"/>
        <w:rPr>
          <w:rStyle w:val="Style8"/>
          <w:rFonts w:ascii="Times New Roman" w:hAnsi="Times New Roman"/>
          <w:b w:val="false"/>
          <w:bCs w:val="false"/>
          <w:sz w:val="24"/>
          <w:szCs w:val="24"/>
        </w:rPr>
      </w:pPr>
      <w:r>
        <w:rPr>
          <w:rFonts w:ascii="Times New Roman" w:hAnsi="Times New Roman"/>
          <w:b w:val="false"/>
          <w:bCs w:val="false"/>
          <w:sz w:val="24"/>
          <w:szCs w:val="24"/>
        </w:rPr>
      </w:r>
    </w:p>
    <w:p>
      <w:pPr>
        <w:pStyle w:val="Normal"/>
        <w:suppressAutoHyphens w:val="false"/>
        <w:jc w:val="center"/>
        <w:rPr/>
      </w:pPr>
      <w:r>
        <w:rPr>
          <w:rStyle w:val="Style8"/>
          <w:rFonts w:ascii="Times New Roman" w:hAnsi="Times New Roman"/>
          <w:b w:val="false"/>
          <w:bCs w:val="false"/>
          <w:sz w:val="24"/>
          <w:szCs w:val="24"/>
        </w:rPr>
        <w:t xml:space="preserve">Запрос технико-коммерческих предложений в рамках конкурентной закупки </w:t>
      </w:r>
    </w:p>
    <w:p>
      <w:pPr>
        <w:pStyle w:val="Normal"/>
        <w:suppressAutoHyphens w:val="false"/>
        <w:jc w:val="center"/>
        <w:rPr/>
      </w:pPr>
      <w:r>
        <w:rPr>
          <w:rStyle w:val="Style8"/>
          <w:rFonts w:eastAsia="Calibri" w:ascii="Times New Roman" w:hAnsi="Times New Roman"/>
          <w:b w:val="false"/>
          <w:bCs w:val="false"/>
          <w:color w:val="000000"/>
          <w:sz w:val="24"/>
          <w:szCs w:val="24"/>
        </w:rPr>
        <w:t>«</w:t>
      </w:r>
      <w:r>
        <w:rPr>
          <w:rStyle w:val="Style8"/>
          <w:rFonts w:eastAsia="Calibri" w:ascii="Times New Roman" w:hAnsi="Times New Roman"/>
          <w:b w:val="false"/>
          <w:bCs w:val="false"/>
          <w:i w:val="false"/>
          <w:iCs w:val="false"/>
          <w:color w:val="000000"/>
          <w:sz w:val="24"/>
          <w:szCs w:val="24"/>
        </w:rPr>
        <w:t>ОКПД2 08.12.12.140 Поставка щебня для строительных работ для нужд Загорского строительного участка Центрального филиала АО "ТК РусГидро"</w:t>
      </w:r>
      <w:r>
        <w:rPr>
          <w:rStyle w:val="Style8"/>
          <w:rFonts w:eastAsia="Calibri" w:ascii="Times New Roman" w:hAnsi="Times New Roman"/>
          <w:b w:val="false"/>
          <w:bCs w:val="false"/>
          <w:color w:val="000000"/>
          <w:sz w:val="24"/>
          <w:szCs w:val="24"/>
        </w:rPr>
        <w:t>»</w:t>
      </w:r>
    </w:p>
    <w:p>
      <w:pPr>
        <w:pStyle w:val="Normal"/>
        <w:suppressAutoHyphens w:val="false"/>
        <w:jc w:val="center"/>
        <w:rPr>
          <w:rStyle w:val="Style8"/>
          <w:rFonts w:ascii="Times New Roman" w:hAnsi="Times New Roman" w:eastAsia="Calibri"/>
          <w:b w:val="false"/>
          <w:bCs w:val="false"/>
          <w:color w:val="000000"/>
          <w:sz w:val="24"/>
          <w:szCs w:val="24"/>
        </w:rPr>
      </w:pPr>
      <w:r>
        <w:rPr>
          <w:rFonts w:eastAsia="Calibri" w:ascii="Times New Roman" w:hAnsi="Times New Roman"/>
          <w:b w:val="false"/>
          <w:bCs w:val="false"/>
          <w:color w:val="000000"/>
          <w:sz w:val="24"/>
          <w:szCs w:val="24"/>
        </w:rPr>
      </w:r>
    </w:p>
    <w:p>
      <w:pPr>
        <w:pStyle w:val="Normal"/>
        <w:keepNext w:val="true"/>
        <w:keepLines/>
        <w:jc w:val="center"/>
        <w:rPr/>
      </w:pPr>
      <w:r>
        <w:rPr>
          <w:rStyle w:val="Style8"/>
          <w:rFonts w:eastAsia="Calibri" w:ascii="Times New Roman" w:hAnsi="Times New Roman"/>
          <w:i w:val="false"/>
          <w:iCs w:val="false"/>
          <w:caps w:val="false"/>
          <w:smallCaps w:val="false"/>
          <w:color w:val="000000"/>
          <w:spacing w:val="0"/>
          <w:sz w:val="24"/>
          <w:szCs w:val="24"/>
        </w:rPr>
        <w:t>Лот №    -ЭКСП ПРОД-2026-ТК_Центр_фил</w:t>
      </w:r>
    </w:p>
    <w:p>
      <w:pPr>
        <w:pStyle w:val="1"/>
        <w:numPr>
          <w:ilvl w:val="0"/>
          <w:numId w:val="0"/>
        </w:numPr>
        <w:tabs>
          <w:tab w:val="clear" w:pos="709"/>
        </w:tabs>
        <w:spacing w:before="0" w:after="0"/>
        <w:ind w:hanging="567" w:left="567" w:right="0"/>
        <w:outlineLvl w:val="9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Normal"/>
        <w:numPr>
          <w:ilvl w:val="0"/>
          <w:numId w:val="3"/>
        </w:numPr>
        <w:tabs>
          <w:tab w:val="clear" w:pos="709"/>
        </w:tabs>
        <w:spacing w:before="120" w:after="0"/>
        <w:ind w:hanging="567" w:left="567" w:right="0"/>
        <w:jc w:val="both"/>
        <w:rPr/>
      </w:pPr>
      <w:r>
        <w:rPr>
          <w:rStyle w:val="Style8"/>
          <w:rFonts w:ascii="Times New Roman" w:hAnsi="Times New Roman"/>
          <w:sz w:val="24"/>
          <w:szCs w:val="24"/>
        </w:rPr>
        <w:t xml:space="preserve">АО «ТК РусГидро» в лице Центрального филиала (далее – Заказчик) сообщает о проведении анализа технико-коммерческих предложений потенциальных поставщиков в рамках конкурентной закупки на право заключения договора </w:t>
      </w:r>
      <w:r>
        <w:rPr>
          <w:rStyle w:val="Style8"/>
          <w:rFonts w:eastAsia="Calibri" w:ascii="Times New Roman" w:hAnsi="Times New Roman"/>
          <w:color w:val="000000"/>
          <w:sz w:val="24"/>
          <w:szCs w:val="24"/>
        </w:rPr>
        <w:t>«</w:t>
      </w:r>
      <w:r>
        <w:rPr>
          <w:rStyle w:val="Style8"/>
          <w:rFonts w:eastAsia="Calibri" w:ascii="Times New Roman" w:hAnsi="Times New Roman"/>
          <w:i w:val="false"/>
          <w:iCs w:val="false"/>
          <w:color w:val="000000"/>
          <w:sz w:val="24"/>
          <w:szCs w:val="24"/>
        </w:rPr>
        <w:t>ОКПД2 08.12.12.140 Поставка щебня для строительных работ для нужд Загорского строительного участка Центрального филиала АО "ТК РусГидро"</w:t>
      </w:r>
      <w:r>
        <w:rPr>
          <w:rStyle w:val="Style8"/>
          <w:rFonts w:eastAsia="Calibri" w:ascii="Times New Roman" w:hAnsi="Times New Roman"/>
          <w:color w:val="000000"/>
          <w:sz w:val="24"/>
          <w:szCs w:val="24"/>
        </w:rPr>
        <w:t xml:space="preserve">» </w:t>
      </w:r>
      <w:r>
        <w:rPr>
          <w:rStyle w:val="Style8"/>
          <w:rFonts w:eastAsia="Calibri" w:ascii="Times New Roman" w:hAnsi="Times New Roman"/>
          <w:i w:val="false"/>
          <w:iCs w:val="false"/>
          <w:caps w:val="false"/>
          <w:smallCaps w:val="false"/>
          <w:color w:val="000000"/>
          <w:spacing w:val="0"/>
          <w:sz w:val="24"/>
          <w:szCs w:val="24"/>
        </w:rPr>
        <w:t>Лот №  -ЭКСП ПРОД-2026-ТК_Центр_фил.</w:t>
      </w:r>
    </w:p>
    <w:p>
      <w:pPr>
        <w:pStyle w:val="Normal"/>
        <w:numPr>
          <w:ilvl w:val="0"/>
          <w:numId w:val="3"/>
        </w:numPr>
        <w:tabs>
          <w:tab w:val="clear" w:pos="709"/>
        </w:tabs>
        <w:spacing w:before="120" w:after="0"/>
        <w:ind w:hanging="567" w:left="567" w:right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Подробные требования к продукции (в том числе, сведения об объеме, месте, сроках поставляемой продукции) приведены в приложении 1 к настоящему запросу (Технические требования – далее ТТ); существенные условия будущего договора (в том числе, условия оплаты и гарантийных обязательств) – см. приложение 2 к настоящему запросу (Проект типового договора – далее ПД).</w:t>
      </w:r>
    </w:p>
    <w:p>
      <w:pPr>
        <w:pStyle w:val="Normal"/>
        <w:numPr>
          <w:ilvl w:val="0"/>
          <w:numId w:val="3"/>
        </w:numPr>
        <w:tabs>
          <w:tab w:val="clear" w:pos="709"/>
        </w:tabs>
        <w:spacing w:before="120" w:after="0"/>
        <w:ind w:hanging="567" w:left="567" w:right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Единственным критерием выбора контрагента, с которым впоследствии будет заключен договор при условии соответствия технико-коммерческого предложения поставщика установленным требованиям Заказчика (см. приложения к настоящему запросу), является цена договора (без учета НДС).</w:t>
      </w:r>
    </w:p>
    <w:p>
      <w:pPr>
        <w:pStyle w:val="Normal"/>
        <w:numPr>
          <w:ilvl w:val="0"/>
          <w:numId w:val="3"/>
        </w:numPr>
        <w:tabs>
          <w:tab w:val="clear" w:pos="709"/>
        </w:tabs>
        <w:spacing w:before="120" w:after="0"/>
        <w:ind w:hanging="567" w:left="567" w:right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Настоящий запрос не является публичной офертой и не влечет за собой возникновения каких-либо обязательств для Заказчика. Рассмотрение Заказчиком поступивших технико-коммерческих предложений не предполагает какого-либо информирования (в т.ч. публичного) лиц, подавших такие предложения, а также любых иных лиц о результатах произведенного рассмотрения, за исключением выбранного по результатам анализа контрагента с целью согласования и заключения с ним договора.</w:t>
      </w:r>
    </w:p>
    <w:p>
      <w:pPr>
        <w:pStyle w:val="Normal"/>
        <w:numPr>
          <w:ilvl w:val="0"/>
          <w:numId w:val="3"/>
        </w:numPr>
        <w:tabs>
          <w:tab w:val="clear" w:pos="709"/>
        </w:tabs>
        <w:spacing w:before="120" w:after="0"/>
        <w:ind w:hanging="567" w:left="567" w:right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Ответ с технико-коммерческим предложением должен быть оформлен на официальном бланке Поставщика и заверен подписью уполномоченного лица, а также печатью организации (при наличии), и в обязательном порядке содержать следующую информацию:</w:t>
      </w:r>
    </w:p>
    <w:p>
      <w:pPr>
        <w:pStyle w:val="Normal"/>
        <w:numPr>
          <w:ilvl w:val="0"/>
          <w:numId w:val="4"/>
        </w:numPr>
        <w:tabs>
          <w:tab w:val="clear" w:pos="709"/>
          <w:tab w:val="left" w:pos="567" w:leader="none"/>
        </w:tabs>
        <w:spacing w:before="120" w:after="0"/>
        <w:ind w:hanging="567" w:left="567" w:right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дату направления предложения;</w:t>
      </w:r>
    </w:p>
    <w:p>
      <w:pPr>
        <w:pStyle w:val="Normal"/>
        <w:numPr>
          <w:ilvl w:val="0"/>
          <w:numId w:val="4"/>
        </w:numPr>
        <w:tabs>
          <w:tab w:val="clear" w:pos="709"/>
          <w:tab w:val="left" w:pos="567" w:leader="none"/>
        </w:tabs>
        <w:spacing w:before="120" w:after="0"/>
        <w:ind w:hanging="567" w:left="567" w:right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полное наименование Поставщика, с указанием организационно-правовой формы (для юридических лиц);</w:t>
      </w:r>
    </w:p>
    <w:p>
      <w:pPr>
        <w:pStyle w:val="Normal"/>
        <w:numPr>
          <w:ilvl w:val="0"/>
          <w:numId w:val="4"/>
        </w:numPr>
        <w:tabs>
          <w:tab w:val="clear" w:pos="709"/>
          <w:tab w:val="left" w:pos="567" w:leader="none"/>
        </w:tabs>
        <w:spacing w:before="120" w:after="0"/>
        <w:ind w:hanging="567" w:left="567" w:right="0"/>
        <w:jc w:val="both"/>
        <w:rPr/>
      </w:pPr>
      <w:r>
        <w:rPr>
          <w:rStyle w:val="Style8"/>
          <w:rFonts w:ascii="Times New Roman" w:hAnsi="Times New Roman"/>
          <w:sz w:val="24"/>
          <w:szCs w:val="24"/>
        </w:rPr>
        <w:t>юридический адрес, почтовый адрес, ИНН</w:t>
      </w:r>
    </w:p>
    <w:p>
      <w:pPr>
        <w:pStyle w:val="Normal"/>
        <w:numPr>
          <w:ilvl w:val="0"/>
          <w:numId w:val="4"/>
        </w:numPr>
        <w:tabs>
          <w:tab w:val="clear" w:pos="709"/>
          <w:tab w:val="left" w:pos="567" w:leader="none"/>
        </w:tabs>
        <w:spacing w:before="120" w:after="0"/>
        <w:ind w:hanging="567" w:left="567" w:right="0"/>
        <w:jc w:val="both"/>
        <w:rPr/>
      </w:pPr>
      <w:r>
        <w:rPr>
          <w:rStyle w:val="Style8"/>
          <w:rFonts w:ascii="Times New Roman" w:hAnsi="Times New Roman"/>
          <w:sz w:val="24"/>
          <w:szCs w:val="24"/>
        </w:rPr>
        <w:t xml:space="preserve">контактные данные: номер телефона, </w:t>
      </w:r>
      <w:r>
        <w:rPr>
          <w:rStyle w:val="Style8"/>
          <w:rFonts w:ascii="Times New Roman" w:hAnsi="Times New Roman"/>
          <w:sz w:val="24"/>
          <w:szCs w:val="24"/>
          <w:lang w:val="en-US"/>
        </w:rPr>
        <w:t>e</w:t>
      </w:r>
      <w:r>
        <w:rPr>
          <w:rStyle w:val="Style8"/>
          <w:rFonts w:ascii="Times New Roman" w:hAnsi="Times New Roman"/>
          <w:sz w:val="24"/>
          <w:szCs w:val="24"/>
        </w:rPr>
        <w:t>-</w:t>
      </w:r>
      <w:r>
        <w:rPr>
          <w:rStyle w:val="Style8"/>
          <w:rFonts w:ascii="Times New Roman" w:hAnsi="Times New Roman"/>
          <w:sz w:val="24"/>
          <w:szCs w:val="24"/>
          <w:lang w:val="en-US"/>
        </w:rPr>
        <w:t>mail</w:t>
      </w:r>
      <w:r>
        <w:rPr>
          <w:rStyle w:val="Style8"/>
          <w:rFonts w:ascii="Times New Roman" w:hAnsi="Times New Roman"/>
          <w:sz w:val="24"/>
          <w:szCs w:val="24"/>
        </w:rPr>
        <w:t>, ФИО контактного лица;</w:t>
      </w:r>
    </w:p>
    <w:p>
      <w:pPr>
        <w:pStyle w:val="Normal"/>
        <w:numPr>
          <w:ilvl w:val="0"/>
          <w:numId w:val="4"/>
        </w:numPr>
        <w:tabs>
          <w:tab w:val="clear" w:pos="709"/>
          <w:tab w:val="left" w:pos="567" w:leader="none"/>
        </w:tabs>
        <w:spacing w:before="120" w:after="0"/>
        <w:ind w:hanging="567" w:left="567" w:right="0"/>
        <w:jc w:val="both"/>
        <w:rPr/>
      </w:pPr>
      <w:r>
        <w:rPr>
          <w:rStyle w:val="Style8"/>
          <w:rFonts w:ascii="Times New Roman" w:hAnsi="Times New Roman"/>
          <w:sz w:val="24"/>
          <w:szCs w:val="24"/>
        </w:rPr>
        <w:t xml:space="preserve">гарантии наличия у Поставщика </w:t>
      </w:r>
      <w:r>
        <w:rPr>
          <w:rStyle w:val="Style8"/>
          <w:rFonts w:ascii="Times New Roman" w:hAnsi="Times New Roman"/>
          <w:sz w:val="24"/>
          <w:szCs w:val="24"/>
          <w:lang w:eastAsia="en-US"/>
        </w:rPr>
        <w:t>гражданской правоспособности в полном объеме для заключения и исполнения договора, в том числе наличие регистрации, отсутствие банкротства, стадии ликвидации или приостановления деятельности;</w:t>
      </w:r>
    </w:p>
    <w:p>
      <w:pPr>
        <w:pStyle w:val="Normal"/>
        <w:numPr>
          <w:ilvl w:val="0"/>
          <w:numId w:val="4"/>
        </w:numPr>
        <w:tabs>
          <w:tab w:val="clear" w:pos="709"/>
          <w:tab w:val="left" w:pos="567" w:leader="none"/>
        </w:tabs>
        <w:spacing w:before="120" w:after="0"/>
        <w:ind w:hanging="567" w:left="567" w:right="0"/>
        <w:jc w:val="both"/>
        <w:rPr/>
      </w:pPr>
      <w:r>
        <w:rPr>
          <w:rStyle w:val="Style8"/>
          <w:rFonts w:ascii="Times New Roman" w:hAnsi="Times New Roman"/>
          <w:sz w:val="24"/>
          <w:szCs w:val="24"/>
          <w:lang w:eastAsia="en-US"/>
        </w:rPr>
        <w:t>информацию / документы, подтверждающие соответствие Поставщика установленным дополнительным требованиям, указанным в приложении 1 к настоящему запросу;</w:t>
      </w:r>
    </w:p>
    <w:p>
      <w:pPr>
        <w:pStyle w:val="Normal"/>
        <w:numPr>
          <w:ilvl w:val="0"/>
          <w:numId w:val="4"/>
        </w:numPr>
        <w:tabs>
          <w:tab w:val="clear" w:pos="709"/>
          <w:tab w:val="left" w:pos="567" w:leader="none"/>
        </w:tabs>
        <w:spacing w:before="120" w:after="0"/>
        <w:ind w:hanging="567" w:left="567" w:right="0"/>
        <w:jc w:val="both"/>
        <w:rPr/>
      </w:pPr>
      <w:r>
        <w:rPr>
          <w:rStyle w:val="Style8"/>
          <w:rFonts w:ascii="Times New Roman" w:hAnsi="Times New Roman"/>
          <w:sz w:val="24"/>
          <w:szCs w:val="24"/>
        </w:rPr>
        <w:t>подробное описание предлагаемой к поставке продукции с указанием конкретных технических и функциональных характеристик, подтверждающее соответствие установленным требованиям (см.</w:t>
      </w:r>
      <w:r>
        <w:rPr>
          <w:rStyle w:val="Style8"/>
          <w:rFonts w:ascii="Times New Roman" w:hAnsi="Times New Roman"/>
          <w:sz w:val="24"/>
          <w:szCs w:val="24"/>
          <w:lang w:eastAsia="en-US"/>
        </w:rPr>
        <w:t> приложение 1 к настоящему запросу);</w:t>
      </w:r>
    </w:p>
    <w:p>
      <w:pPr>
        <w:pStyle w:val="Normal"/>
        <w:numPr>
          <w:ilvl w:val="0"/>
          <w:numId w:val="4"/>
        </w:numPr>
        <w:tabs>
          <w:tab w:val="clear" w:pos="709"/>
          <w:tab w:val="left" w:pos="567" w:leader="none"/>
        </w:tabs>
        <w:spacing w:before="120" w:after="0"/>
        <w:ind w:hanging="567" w:left="567" w:right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информацию о производителе предлагаемой к поставке продукции;</w:t>
      </w:r>
    </w:p>
    <w:p>
      <w:pPr>
        <w:pStyle w:val="Normal"/>
        <w:numPr>
          <w:ilvl w:val="0"/>
          <w:numId w:val="4"/>
        </w:numPr>
        <w:tabs>
          <w:tab w:val="clear" w:pos="709"/>
          <w:tab w:val="left" w:pos="567" w:leader="none"/>
        </w:tabs>
        <w:spacing w:before="120" w:after="0"/>
        <w:ind w:hanging="567" w:left="567" w:right="0"/>
        <w:jc w:val="both"/>
        <w:rPr/>
      </w:pPr>
      <w:r>
        <w:rPr>
          <w:rStyle w:val="Style8"/>
          <w:rFonts w:ascii="Times New Roman" w:hAnsi="Times New Roman"/>
          <w:sz w:val="24"/>
          <w:szCs w:val="24"/>
        </w:rPr>
        <w:t>подтверждение возможности поставки требуемого объема продукции (см.</w:t>
      </w:r>
      <w:r>
        <w:rPr>
          <w:rStyle w:val="Style8"/>
          <w:rFonts w:ascii="Times New Roman" w:hAnsi="Times New Roman"/>
          <w:sz w:val="24"/>
          <w:szCs w:val="24"/>
          <w:lang w:eastAsia="en-US"/>
        </w:rPr>
        <w:t> приложение 1 к настоящему запросу);</w:t>
      </w:r>
    </w:p>
    <w:p>
      <w:pPr>
        <w:pStyle w:val="Normal"/>
        <w:numPr>
          <w:ilvl w:val="0"/>
          <w:numId w:val="4"/>
        </w:numPr>
        <w:tabs>
          <w:tab w:val="clear" w:pos="709"/>
          <w:tab w:val="left" w:pos="567" w:leader="none"/>
        </w:tabs>
        <w:spacing w:before="120" w:after="0"/>
        <w:ind w:hanging="567" w:left="567" w:right="0"/>
        <w:jc w:val="both"/>
        <w:rPr/>
      </w:pPr>
      <w:r>
        <w:rPr>
          <w:rStyle w:val="Style8"/>
          <w:rFonts w:ascii="Times New Roman" w:hAnsi="Times New Roman"/>
          <w:sz w:val="24"/>
          <w:szCs w:val="24"/>
          <w:lang w:eastAsia="en-US"/>
        </w:rPr>
        <w:t xml:space="preserve">сроки поставки продукции в соответствии с установленными требованиями </w:t>
      </w:r>
      <w:r>
        <w:rPr>
          <w:rStyle w:val="Style8"/>
          <w:rFonts w:ascii="Times New Roman" w:hAnsi="Times New Roman"/>
          <w:sz w:val="24"/>
          <w:szCs w:val="24"/>
        </w:rPr>
        <w:t>(см.</w:t>
      </w:r>
      <w:r>
        <w:rPr>
          <w:rStyle w:val="Style8"/>
          <w:rFonts w:ascii="Times New Roman" w:hAnsi="Times New Roman"/>
          <w:sz w:val="24"/>
          <w:szCs w:val="24"/>
          <w:lang w:eastAsia="en-US"/>
        </w:rPr>
        <w:t> приложение 1 к настоящему запросу);</w:t>
      </w:r>
    </w:p>
    <w:p>
      <w:pPr>
        <w:pStyle w:val="Normal"/>
        <w:numPr>
          <w:ilvl w:val="0"/>
          <w:numId w:val="4"/>
        </w:numPr>
        <w:tabs>
          <w:tab w:val="clear" w:pos="709"/>
          <w:tab w:val="left" w:pos="567" w:leader="none"/>
        </w:tabs>
        <w:spacing w:before="120" w:after="0"/>
        <w:ind w:hanging="567" w:left="567" w:right="0"/>
        <w:jc w:val="both"/>
        <w:rPr/>
      </w:pPr>
      <w:r>
        <w:rPr>
          <w:rStyle w:val="Style8"/>
          <w:rFonts w:ascii="Times New Roman" w:hAnsi="Times New Roman"/>
          <w:sz w:val="24"/>
          <w:szCs w:val="24"/>
        </w:rPr>
        <w:t>согласие Поставщика на существенные условия будущего договора, в том числе условия оплаты и поставки (см.</w:t>
      </w:r>
      <w:r>
        <w:rPr>
          <w:rStyle w:val="Style8"/>
          <w:rFonts w:ascii="Times New Roman" w:hAnsi="Times New Roman"/>
          <w:sz w:val="24"/>
          <w:szCs w:val="24"/>
          <w:lang w:eastAsia="en-US"/>
        </w:rPr>
        <w:t> приложение 2 к настоящему запросу);</w:t>
      </w:r>
    </w:p>
    <w:p>
      <w:pPr>
        <w:pStyle w:val="Normal"/>
        <w:numPr>
          <w:ilvl w:val="0"/>
          <w:numId w:val="4"/>
        </w:numPr>
        <w:tabs>
          <w:tab w:val="clear" w:pos="709"/>
          <w:tab w:val="left" w:pos="567" w:leader="none"/>
        </w:tabs>
        <w:spacing w:before="120" w:after="0"/>
        <w:ind w:hanging="567" w:left="567" w:right="0"/>
        <w:jc w:val="both"/>
        <w:rPr/>
      </w:pPr>
      <w:r>
        <w:rPr>
          <w:rStyle w:val="Style8"/>
          <w:rFonts w:ascii="Times New Roman" w:hAnsi="Times New Roman"/>
          <w:sz w:val="24"/>
          <w:szCs w:val="24"/>
          <w:lang w:eastAsia="en-US"/>
        </w:rPr>
        <w:t xml:space="preserve">сроки и условия гарантийных обязательств в соответствии с установленными требованиями </w:t>
      </w:r>
      <w:r>
        <w:rPr>
          <w:rStyle w:val="Style8"/>
          <w:rFonts w:ascii="Times New Roman" w:hAnsi="Times New Roman"/>
          <w:sz w:val="24"/>
          <w:szCs w:val="24"/>
        </w:rPr>
        <w:t>(см.</w:t>
      </w:r>
      <w:r>
        <w:rPr>
          <w:rStyle w:val="Style8"/>
          <w:rFonts w:ascii="Times New Roman" w:hAnsi="Times New Roman"/>
          <w:sz w:val="24"/>
          <w:szCs w:val="24"/>
          <w:lang w:eastAsia="en-US"/>
        </w:rPr>
        <w:t> приложение 1 к настоящему запросу);</w:t>
      </w:r>
    </w:p>
    <w:p>
      <w:pPr>
        <w:pStyle w:val="Normal"/>
        <w:numPr>
          <w:ilvl w:val="0"/>
          <w:numId w:val="4"/>
        </w:numPr>
        <w:tabs>
          <w:tab w:val="clear" w:pos="709"/>
          <w:tab w:val="left" w:pos="567" w:leader="none"/>
        </w:tabs>
        <w:spacing w:before="120" w:after="0"/>
        <w:ind w:hanging="567" w:left="567" w:right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цену предложения в рублях (без учета НДС и с учетом НДС).</w:t>
      </w:r>
    </w:p>
    <w:p>
      <w:pPr>
        <w:pStyle w:val="Normal"/>
        <w:numPr>
          <w:ilvl w:val="0"/>
          <w:numId w:val="3"/>
        </w:numPr>
        <w:tabs>
          <w:tab w:val="clear" w:pos="709"/>
        </w:tabs>
        <w:spacing w:before="120" w:after="0"/>
        <w:ind w:hanging="567" w:left="567" w:right="0"/>
        <w:jc w:val="both"/>
        <w:rPr/>
      </w:pPr>
      <w:r>
        <w:rPr>
          <w:rStyle w:val="Style8"/>
          <w:rFonts w:ascii="Times New Roman" w:hAnsi="Times New Roman"/>
          <w:sz w:val="24"/>
          <w:szCs w:val="24"/>
        </w:rPr>
        <w:t>Срок подачи технико-коммерческих предложений: до 08:00 02.11.2026г. (МСК).</w:t>
      </w:r>
    </w:p>
    <w:p>
      <w:pPr>
        <w:pStyle w:val="Normal"/>
        <w:numPr>
          <w:ilvl w:val="0"/>
          <w:numId w:val="3"/>
        </w:numPr>
        <w:tabs>
          <w:tab w:val="clear" w:pos="709"/>
        </w:tabs>
        <w:spacing w:before="120" w:after="0"/>
        <w:ind w:hanging="567" w:left="567" w:right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Предложения должны быть направлены в виде сканированной электронной копии на ЭТП АО «Российский аукционный дом» </w:t>
      </w:r>
      <w:hyperlink r:id="rId2">
        <w:r>
          <w:rPr>
            <w:rStyle w:val="Hyperlink"/>
            <w:rFonts w:ascii="Times New Roman" w:hAnsi="Times New Roman"/>
            <w:sz w:val="24"/>
            <w:szCs w:val="24"/>
          </w:rPr>
          <w:t>https://tender.lot-online.ru/</w:t>
        </w:r>
      </w:hyperlink>
      <w:r>
        <w:rPr>
          <w:rFonts w:ascii="Times New Roman" w:hAnsi="Times New Roman"/>
          <w:sz w:val="24"/>
          <w:szCs w:val="24"/>
        </w:rPr>
        <w:t xml:space="preserve"> </w:t>
      </w:r>
    </w:p>
    <w:p>
      <w:pPr>
        <w:pStyle w:val="Normal"/>
        <w:spacing w:before="120"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Normal"/>
        <w:keepNext w:val="true"/>
        <w:ind w:firstLine="851" w:left="0" w:right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Приложения:</w:t>
      </w:r>
    </w:p>
    <w:p>
      <w:pPr>
        <w:pStyle w:val="Normal"/>
        <w:numPr>
          <w:ilvl w:val="0"/>
          <w:numId w:val="7"/>
        </w:numPr>
        <w:tabs>
          <w:tab w:val="clear" w:pos="709"/>
          <w:tab w:val="left" w:pos="851" w:leader="none"/>
        </w:tabs>
        <w:spacing w:before="120" w:after="0"/>
        <w:ind w:hanging="493" w:left="850" w:right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Технические требования к продукции (в том числе, сведения об объеме, месте, сроках поставляемой продукции);</w:t>
      </w:r>
    </w:p>
    <w:p>
      <w:pPr>
        <w:pStyle w:val="Normal"/>
        <w:numPr>
          <w:ilvl w:val="0"/>
          <w:numId w:val="8"/>
        </w:numPr>
        <w:tabs>
          <w:tab w:val="clear" w:pos="709"/>
          <w:tab w:val="left" w:pos="851" w:leader="none"/>
        </w:tabs>
        <w:spacing w:before="120" w:after="0"/>
        <w:ind w:hanging="493" w:left="850" w:right="0"/>
        <w:jc w:val="both"/>
        <w:rPr/>
      </w:pPr>
      <w:r>
        <w:rPr>
          <w:rStyle w:val="Style8"/>
          <w:rFonts w:ascii="Times New Roman" w:hAnsi="Times New Roman"/>
          <w:sz w:val="24"/>
          <w:szCs w:val="24"/>
        </w:rPr>
        <w:t>Проект типового договора / Существенные условия договора (в том числе, условия оплаты и гарантийных обязательств).</w:t>
      </w:r>
    </w:p>
    <w:sectPr>
      <w:type w:val="nextPage"/>
      <w:pgSz w:w="11906" w:h="16838"/>
      <w:pgMar w:left="1701" w:right="567" w:gutter="0" w:header="0" w:top="1134" w:footer="0" w:bottom="1134"/>
      <w:pgNumType w:fmt="decimal"/>
      <w:formProt w:val="false"/>
      <w:textDirection w:val="lrTb"/>
      <w:docGrid w:type="default" w:linePitch="600" w:charSpace="32768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PT Sans">
    <w:charset w:val="01"/>
    <w:family w:val="roman"/>
    <w:pitch w:val="variable"/>
  </w:font>
  <w:font w:name="Liberation Serif">
    <w:altName w:val="Times New Roman"/>
    <w:charset w:val="01"/>
    <w:family w:val="roman"/>
    <w:pitch w:val="variable"/>
  </w:font>
  <w:font w:name="Arial">
    <w:charset w:val="01"/>
    <w:family w:val="roman"/>
    <w:pitch w:val="variable"/>
  </w:font>
  <w:font w:name="Times New Roman">
    <w:charset w:val="01"/>
    <w:family w:val="roman"/>
    <w:pitch w:val="variable"/>
  </w:font>
  <w:font w:name="Wingdings">
    <w:charset w:val="01"/>
    <w:family w:val="roman"/>
    <w:pitch w:val="variable"/>
  </w:font>
  <w:font w:name="Symbol">
    <w:charset w:val="01"/>
    <w:family w:val="roman"/>
    <w:pitch w:val="variable"/>
  </w:font>
  <w:font w:name="Calibri">
    <w:charset w:val="01"/>
    <w:family w:val="roman"/>
    <w:pitch w:val="variable"/>
  </w:font>
  <w:font w:name="Tahoma">
    <w:charset w:val="01"/>
    <w:family w:val="roman"/>
    <w:pitch w:val="variable"/>
  </w:font>
  <w:font w:name="Liberation Sans">
    <w:altName w:val="Arial"/>
    <w:charset w:val="01"/>
    <w:family w:val="roman"/>
    <w:pitch w:val="variable"/>
  </w:font>
  <w:font w:name="Verdana">
    <w:charset w:val="01"/>
    <w:family w:val="roman"/>
    <w:pitch w:val="variable"/>
  </w:font>
  <w:font w:name="Wingdings">
    <w:charset w:val="02"/>
    <w:family w:val="auto"/>
    <w:pitch w:val="default"/>
  </w:font>
  <w:font w:name="Symbol">
    <w:charset w:val="02"/>
    <w:family w:val="auto"/>
    <w:pitch w:val="default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pStyle w:val="Heading1"/>
      <w:numFmt w:val="decimal"/>
      <w:lvlText w:val="%1."/>
      <w:lvlJc w:val="left"/>
      <w:pPr>
        <w:tabs>
          <w:tab w:val="num" w:pos="0"/>
        </w:tabs>
        <w:ind w:left="1134" w:hanging="1134"/>
      </w:pPr>
      <w:rPr/>
    </w:lvl>
    <w:lvl w:ilvl="1">
      <w:start w:val="1"/>
      <w:numFmt w:val="none"/>
      <w:suff w:val="nothing"/>
      <w:lvlText w:val="%2"/>
      <w:lvlJc w:val="left"/>
      <w:pPr>
        <w:tabs>
          <w:tab w:val="num" w:pos="0"/>
        </w:tabs>
        <w:ind w:left="0" w:hanging="0"/>
      </w:pPr>
      <w:rPr/>
    </w:lvl>
    <w:lvl w:ilvl="2">
      <w:start w:val="1"/>
      <w:numFmt w:val="none"/>
      <w:suff w:val="nothing"/>
      <w:lvlText w:val="%3"/>
      <w:lvlJc w:val="left"/>
      <w:pPr>
        <w:tabs>
          <w:tab w:val="num" w:pos="0"/>
        </w:tabs>
        <w:ind w:left="0" w:hanging="0"/>
      </w:pPr>
      <w:rPr/>
    </w:lvl>
    <w:lvl w:ilvl="3">
      <w:start w:val="1"/>
      <w:numFmt w:val="none"/>
      <w:suff w:val="nothing"/>
      <w:lvlText w:val="%4"/>
      <w:lvlJc w:val="left"/>
      <w:pPr>
        <w:tabs>
          <w:tab w:val="num" w:pos="0"/>
        </w:tabs>
        <w:ind w:left="0" w:hanging="0"/>
      </w:pPr>
      <w:rPr/>
    </w:lvl>
    <w:lvl w:ilvl="4">
      <w:start w:val="1"/>
      <w:numFmt w:val="none"/>
      <w:suff w:val="nothing"/>
      <w:lvlText w:val="%5"/>
      <w:lvlJc w:val="left"/>
      <w:pPr>
        <w:tabs>
          <w:tab w:val="num" w:pos="0"/>
        </w:tabs>
        <w:ind w:left="0" w:hanging="0"/>
      </w:pPr>
      <w:rPr/>
    </w:lvl>
    <w:lvl w:ilvl="5">
      <w:start w:val="1"/>
      <w:numFmt w:val="none"/>
      <w:suff w:val="nothing"/>
      <w:lvlText w:val="%6"/>
      <w:lvlJc w:val="left"/>
      <w:pPr>
        <w:tabs>
          <w:tab w:val="num" w:pos="0"/>
        </w:tabs>
        <w:ind w:left="0" w:hanging="0"/>
      </w:pPr>
      <w:rPr/>
    </w:lvl>
    <w:lvl w:ilvl="6">
      <w:start w:val="1"/>
      <w:numFmt w:val="none"/>
      <w:suff w:val="nothing"/>
      <w:lvlText w:val="%7"/>
      <w:lvlJc w:val="left"/>
      <w:pPr>
        <w:tabs>
          <w:tab w:val="num" w:pos="0"/>
        </w:tabs>
        <w:ind w:left="0" w:hanging="0"/>
      </w:pPr>
      <w:rPr/>
    </w:lvl>
    <w:lvl w:ilvl="7">
      <w:start w:val="1"/>
      <w:numFmt w:val="none"/>
      <w:suff w:val="nothing"/>
      <w:lvlText w:val="%8"/>
      <w:lvlJc w:val="left"/>
      <w:pPr>
        <w:tabs>
          <w:tab w:val="num" w:pos="0"/>
        </w:tabs>
        <w:ind w:left="0" w:hanging="0"/>
      </w:pPr>
      <w:rPr/>
    </w:lvl>
    <w:lvl w:ilvl="8">
      <w:start w:val="1"/>
      <w:numFmt w:val="none"/>
      <w:suff w:val="nothing"/>
      <w:lvlText w:val="%9"/>
      <w:lvlJc w:val="left"/>
      <w:pPr>
        <w:tabs>
          <w:tab w:val="num" w:pos="0"/>
        </w:tabs>
        <w:ind w:left="0" w:hanging="0"/>
      </w:pPr>
      <w:rPr/>
    </w:lvl>
  </w:abstractNum>
  <w:abstractNum w:abstractNumId="2">
    <w:lvl w:ilvl="0">
      <w:start w:val="1"/>
      <w:numFmt w:val="decimal"/>
      <w:lvlText w:val="%1."/>
      <w:lvlJc w:val="left"/>
      <w:pPr>
        <w:tabs>
          <w:tab w:val="num" w:pos="0"/>
        </w:tabs>
        <w:ind w:left="567" w:hanging="567"/>
      </w:pPr>
      <w:rPr/>
    </w:lvl>
    <w:lvl w:ilvl="1">
      <w:start w:val="1"/>
      <w:numFmt w:val="decimal"/>
      <w:lvlText w:val="%1.%2"/>
      <w:lvlJc w:val="left"/>
      <w:pPr>
        <w:tabs>
          <w:tab w:val="num" w:pos="0"/>
        </w:tabs>
        <w:ind w:left="567" w:hanging="567"/>
      </w:pPr>
      <w:rPr/>
    </w:lvl>
    <w:lvl w:ilvl="2">
      <w:start w:val="1"/>
      <w:numFmt w:val="decimal"/>
      <w:lvlText w:val="%1.%2.%3"/>
      <w:lvlJc w:val="left"/>
      <w:pPr>
        <w:tabs>
          <w:tab w:val="num" w:pos="0"/>
        </w:tabs>
        <w:ind w:left="1134" w:hanging="1134"/>
      </w:pPr>
      <w:rPr/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1701" w:hanging="1134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080" w:hanging="1080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080" w:hanging="1080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440" w:hanging="144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1440" w:hanging="1440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1800" w:hanging="1800"/>
      </w:pPr>
      <w:rPr/>
    </w:lvl>
  </w:abstractNum>
  <w:abstractNum w:abstractNumId="3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4">
    <w:lvl w:ilvl="0">
      <w:start w:val="1"/>
      <w:numFmt w:val="bullet"/>
      <w:lvlText w:val="–"/>
      <w:lvlJc w:val="left"/>
      <w:pPr>
        <w:tabs>
          <w:tab w:val="num" w:pos="0"/>
        </w:tabs>
        <w:ind w:left="1287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007" w:hanging="360"/>
      </w:pPr>
      <w:rPr>
        <w:rFonts w:ascii="Times New Roman" w:hAnsi="Times New Roman" w:cs="Times New Roman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727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447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167" w:hanging="360"/>
      </w:pPr>
      <w:rPr>
        <w:rFonts w:ascii="Times New Roman" w:hAnsi="Times New Roman" w:cs="Times New Roman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887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607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327" w:hanging="360"/>
      </w:pPr>
      <w:rPr>
        <w:rFonts w:ascii="Times New Roman" w:hAnsi="Times New Roman" w:cs="Times New Roman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7047" w:hanging="360"/>
      </w:pPr>
      <w:rPr>
        <w:rFonts w:ascii="Wingdings" w:hAnsi="Wingdings" w:cs="Wingdings" w:hint="default"/>
      </w:rPr>
    </w:lvl>
  </w:abstractNum>
  <w:abstractNum w:abstractNumId="5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6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5"/>
    <w:lvlOverride w:ilvl="0">
      <w:startOverride w:val="1"/>
    </w:lvlOverride>
  </w:num>
  <w:num w:numId="8">
    <w:abstractNumId w:val="5"/>
  </w:num>
</w:numbering>
</file>

<file path=word/settings.xml><?xml version="1.0" encoding="utf-8"?>
<w:settings xmlns:w="http://schemas.openxmlformats.org/wordprocessingml/2006/main">
  <w:zoom w:percent="120"/>
  <w:defaultTabStop w:val="709"/>
  <w:autoHyphenation w:val="true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Arial Unicode MS" w:cs="Arial Unicode MS"/>
        <w:kern w:val="2"/>
        <w:sz w:val="24"/>
        <w:szCs w:val="24"/>
        <w:lang w:val="ru-RU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keepNext w:val="false"/>
      <w:keepLines w:val="false"/>
      <w:pageBreakBefore w:val="false"/>
      <w:widowControl/>
      <w:shd w:val="clear" w:fill="auto"/>
      <w:suppressAutoHyphens w:val="true"/>
      <w:overflowPunct w:val="false"/>
      <w:bidi w:val="0"/>
      <w:snapToGrid w:val="true"/>
      <w:spacing w:lineRule="auto" w:line="240" w:before="0" w:after="0"/>
      <w:jc w:val="left"/>
      <w:textAlignment w:val="baseline"/>
    </w:pPr>
    <w:rPr>
      <w:rFonts w:ascii="Liberation Serif" w:hAnsi="Liberation Serif" w:eastAsia="Arial Unicode MS" w:cs="Arial Unicode MS"/>
      <w:b w:val="false"/>
      <w:bCs w:val="false"/>
      <w:i w:val="false"/>
      <w:iCs w:val="false"/>
      <w:caps w:val="false"/>
      <w:smallCaps w:val="false"/>
      <w:strike w:val="false"/>
      <w:dstrike w:val="false"/>
      <w:outline w:val="false"/>
      <w:emboss w:val="false"/>
      <w:imprint w:val="false"/>
      <w:color w:val="000000"/>
      <w:spacing w:val="0"/>
      <w:w w:val="100"/>
      <w:kern w:val="2"/>
      <w:position w:val="0"/>
      <w:sz w:val="24"/>
      <w:sz w:val="24"/>
      <w:szCs w:val="24"/>
      <w:u w:val="none"/>
      <w:shd w:fill="auto" w:val="clear"/>
      <w:vertAlign w:val="baseline"/>
      <w:em w:val="none"/>
      <w:lang w:val="ru-RU" w:eastAsia="zh-CN" w:bidi="hi-IN"/>
    </w:rPr>
  </w:style>
  <w:style w:type="paragraph" w:styleId="Heading1">
    <w:name w:val="Heading 1"/>
    <w:basedOn w:val="Normal"/>
    <w:next w:val="Normal"/>
    <w:qFormat/>
    <w:pPr>
      <w:keepNext w:val="true"/>
      <w:keepLines/>
      <w:pageBreakBefore/>
      <w:numPr>
        <w:ilvl w:val="0"/>
        <w:numId w:val="1"/>
      </w:numPr>
      <w:suppressAutoHyphens w:val="true"/>
      <w:spacing w:before="480" w:after="240"/>
      <w:outlineLvl w:val="0"/>
    </w:pPr>
    <w:rPr>
      <w:rFonts w:ascii="Arial" w:hAnsi="Arial" w:eastAsia="Arial" w:cs="Arial"/>
      <w:b/>
      <w:sz w:val="40"/>
    </w:rPr>
  </w:style>
  <w:style w:type="character" w:styleId="Style8">
    <w:name w:val="Основной шрифт абзаца"/>
    <w:qFormat/>
    <w:rPr/>
  </w:style>
  <w:style w:type="character" w:styleId="Style9">
    <w:name w:val="комментарий"/>
    <w:qFormat/>
    <w:rPr>
      <w:b/>
      <w:i/>
      <w:shd w:fill="FFFF99" w:val="clear"/>
    </w:rPr>
  </w:style>
  <w:style w:type="character" w:styleId="Style10">
    <w:name w:val="Символ сноски"/>
    <w:qFormat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WWCharLFO2LVL3">
    <w:name w:val="WW_CharLFO2LVL3"/>
    <w:qFormat/>
    <w:rPr>
      <w:b w:val="false"/>
      <w:i w:val="false"/>
    </w:rPr>
  </w:style>
  <w:style w:type="character" w:styleId="WWCharLFO2LVL4">
    <w:name w:val="WW_CharLFO2LVL4"/>
    <w:qFormat/>
    <w:rPr>
      <w:b w:val="false"/>
      <w:i w:val="false"/>
    </w:rPr>
  </w:style>
  <w:style w:type="character" w:styleId="WWCharLFO5LVL1">
    <w:name w:val="WW_CharLFO5LVL1"/>
    <w:qFormat/>
    <w:rPr>
      <w:rFonts w:ascii="Times New Roman" w:hAnsi="Times New Roman" w:cs="Times New Roman"/>
    </w:rPr>
  </w:style>
  <w:style w:type="character" w:styleId="WWCharLFO5LVL2">
    <w:name w:val="WW_CharLFO5LVL2"/>
    <w:qFormat/>
    <w:rPr>
      <w:rFonts w:ascii="Times New Roman" w:hAnsi="Times New Roman" w:cs="Courier New"/>
    </w:rPr>
  </w:style>
  <w:style w:type="character" w:styleId="WWCharLFO5LVL3">
    <w:name w:val="WW_CharLFO5LVL3"/>
    <w:qFormat/>
    <w:rPr>
      <w:rFonts w:ascii="Wingdings" w:hAnsi="Wingdings"/>
    </w:rPr>
  </w:style>
  <w:style w:type="character" w:styleId="WWCharLFO5LVL4">
    <w:name w:val="WW_CharLFO5LVL4"/>
    <w:qFormat/>
    <w:rPr>
      <w:rFonts w:ascii="Symbol" w:hAnsi="Symbol"/>
    </w:rPr>
  </w:style>
  <w:style w:type="character" w:styleId="WWCharLFO5LVL5">
    <w:name w:val="WW_CharLFO5LVL5"/>
    <w:qFormat/>
    <w:rPr>
      <w:rFonts w:ascii="Times New Roman" w:hAnsi="Times New Roman" w:cs="Courier New"/>
    </w:rPr>
  </w:style>
  <w:style w:type="character" w:styleId="WWCharLFO5LVL6">
    <w:name w:val="WW_CharLFO5LVL6"/>
    <w:qFormat/>
    <w:rPr>
      <w:rFonts w:ascii="Wingdings" w:hAnsi="Wingdings"/>
    </w:rPr>
  </w:style>
  <w:style w:type="character" w:styleId="WWCharLFO5LVL7">
    <w:name w:val="WW_CharLFO5LVL7"/>
    <w:qFormat/>
    <w:rPr>
      <w:rFonts w:ascii="Symbol" w:hAnsi="Symbol"/>
    </w:rPr>
  </w:style>
  <w:style w:type="character" w:styleId="WWCharLFO5LVL8">
    <w:name w:val="WW_CharLFO5LVL8"/>
    <w:qFormat/>
    <w:rPr>
      <w:rFonts w:ascii="Times New Roman" w:hAnsi="Times New Roman" w:cs="Courier New"/>
    </w:rPr>
  </w:style>
  <w:style w:type="character" w:styleId="WWCharLFO5LVL9">
    <w:name w:val="WW_CharLFO5LVL9"/>
    <w:qFormat/>
    <w:rPr>
      <w:rFonts w:ascii="Wingdings" w:hAnsi="Wingdings"/>
    </w:rPr>
  </w:style>
  <w:style w:type="character" w:styleId="Style11">
    <w:name w:val="Тема примечания Знак"/>
    <w:qFormat/>
    <w:rPr>
      <w:b/>
      <w:bCs/>
      <w:color w:val="000000"/>
      <w:sz w:val="20"/>
      <w:szCs w:val="20"/>
    </w:rPr>
  </w:style>
  <w:style w:type="character" w:styleId="Style12">
    <w:name w:val="Текст примечания Знак"/>
    <w:qFormat/>
    <w:rPr>
      <w:color w:val="000000"/>
      <w:sz w:val="20"/>
      <w:szCs w:val="20"/>
    </w:rPr>
  </w:style>
  <w:style w:type="character" w:styleId="Annotationreference">
    <w:name w:val="annotation reference"/>
    <w:qFormat/>
    <w:rPr>
      <w:rFonts w:ascii="Times New Roman" w:hAnsi="Times New Roman" w:eastAsia="Times New Roman" w:cs="Times New Roman"/>
      <w:color w:val="000000"/>
      <w:sz w:val="16"/>
      <w:szCs w:val="16"/>
    </w:rPr>
  </w:style>
  <w:style w:type="character" w:styleId="Style13">
    <w:name w:val="Основной текст с отступом Знак"/>
    <w:qFormat/>
    <w:rPr>
      <w:rFonts w:ascii="Times New Roman" w:hAnsi="Times New Roman" w:eastAsia="Times New Roman" w:cs="Times New Roman"/>
      <w:color w:val="000000"/>
      <w:sz w:val="24"/>
      <w:szCs w:val="24"/>
    </w:rPr>
  </w:style>
  <w:style w:type="character" w:styleId="Style14">
    <w:name w:val="Текст сноски Знак"/>
    <w:qFormat/>
    <w:rPr>
      <w:color w:val="000000"/>
      <w:sz w:val="20"/>
      <w:szCs w:val="20"/>
      <w:lang w:val="en-GB" w:eastAsia="x-none"/>
    </w:rPr>
  </w:style>
  <w:style w:type="character" w:styleId="2">
    <w:name w:val="Основной текст 2 Знак"/>
    <w:qFormat/>
    <w:rPr>
      <w:color w:val="000000"/>
      <w:lang w:val="en-GB" w:eastAsia="ru-RU"/>
    </w:rPr>
  </w:style>
  <w:style w:type="character" w:styleId="Style15">
    <w:name w:val="Нижний колонтитул Знак"/>
    <w:qFormat/>
    <w:rPr>
      <w:color w:val="000000"/>
    </w:rPr>
  </w:style>
  <w:style w:type="character" w:styleId="Style16">
    <w:name w:val="Верхний колонтитул Знак"/>
    <w:qFormat/>
    <w:rPr>
      <w:color w:val="000000"/>
    </w:rPr>
  </w:style>
  <w:style w:type="character" w:styleId="FontStyle20">
    <w:name w:val="Font Style20"/>
    <w:qFormat/>
    <w:rPr>
      <w:rFonts w:ascii="Times New Roman" w:hAnsi="Times New Roman" w:cs="Times New Roman"/>
      <w:sz w:val="22"/>
      <w:szCs w:val="22"/>
    </w:rPr>
  </w:style>
  <w:style w:type="character" w:styleId="Style17">
    <w:name w:val="Абзац списка Знак"/>
    <w:qFormat/>
    <w:rPr>
      <w:rFonts w:ascii="Calibri" w:hAnsi="Calibri" w:eastAsia="Calibri" w:cs="Times New Roman"/>
    </w:rPr>
  </w:style>
  <w:style w:type="character" w:styleId="Style18">
    <w:name w:val="Основной текст Знак"/>
    <w:qFormat/>
    <w:rPr>
      <w:color w:val="000000"/>
      <w:szCs w:val="20"/>
      <w:lang w:eastAsia="ru-RU"/>
    </w:rPr>
  </w:style>
  <w:style w:type="character" w:styleId="Style19">
    <w:name w:val="Текст выноски Знак"/>
    <w:qFormat/>
    <w:rPr>
      <w:rFonts w:ascii="Tahoma" w:hAnsi="Tahoma" w:cs="Tahoma"/>
      <w:color w:val="000000"/>
      <w:sz w:val="16"/>
      <w:szCs w:val="16"/>
    </w:rPr>
  </w:style>
  <w:style w:type="character" w:styleId="DefaultParagraphFont">
    <w:name w:val="Default Paragraph Font"/>
    <w:qFormat/>
    <w:rPr/>
  </w:style>
  <w:style w:type="character" w:styleId="Hyperlink">
    <w:name w:val="Hyperlink"/>
    <w:rPr>
      <w:color w:val="000080"/>
      <w:u w:val="single"/>
    </w:rPr>
  </w:style>
  <w:style w:type="paragraph" w:styleId="Style20">
    <w:name w:val="Заголовок"/>
    <w:basedOn w:val="Normal"/>
    <w:next w:val="BodyText"/>
    <w:qFormat/>
    <w:pPr>
      <w:keepNext w:val="true"/>
      <w:suppressAutoHyphens w:val="true"/>
      <w:spacing w:before="240" w:after="120"/>
    </w:pPr>
    <w:rPr>
      <w:rFonts w:ascii="Liberation Sans" w:hAnsi="Liberation Sans"/>
      <w:sz w:val="28"/>
      <w:szCs w:val="28"/>
    </w:rPr>
  </w:style>
  <w:style w:type="paragraph" w:styleId="BodyText">
    <w:name w:val="Body Text"/>
    <w:basedOn w:val="Normal"/>
    <w:pPr>
      <w:suppressAutoHyphens w:val="true"/>
      <w:spacing w:lineRule="auto" w:line="276" w:before="0" w:after="140"/>
    </w:pPr>
    <w:rPr/>
  </w:style>
  <w:style w:type="paragraph" w:styleId="List">
    <w:name w:val="List"/>
    <w:basedOn w:val="BodyText"/>
    <w:pPr>
      <w:suppressAutoHyphens w:val="true"/>
    </w:pPr>
    <w:rPr/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 Unicode MS"/>
      <w:i/>
      <w:iCs/>
      <w:sz w:val="24"/>
      <w:szCs w:val="24"/>
    </w:rPr>
  </w:style>
  <w:style w:type="paragraph" w:styleId="Style21">
    <w:name w:val="Указатель"/>
    <w:basedOn w:val="Normal"/>
    <w:qFormat/>
    <w:pPr>
      <w:suppressLineNumbers/>
      <w:suppressAutoHyphens w:val="true"/>
    </w:pPr>
    <w:rPr/>
  </w:style>
  <w:style w:type="paragraph" w:styleId="Style22">
    <w:name w:val="Обычный"/>
    <w:qFormat/>
    <w:pPr>
      <w:keepNext w:val="false"/>
      <w:keepLines w:val="false"/>
      <w:pageBreakBefore w:val="false"/>
      <w:widowControl/>
      <w:shd w:val="clear" w:fill="auto"/>
      <w:suppressAutoHyphens w:val="true"/>
      <w:overflowPunct w:val="false"/>
      <w:bidi w:val="0"/>
      <w:snapToGrid w:val="true"/>
      <w:spacing w:lineRule="auto" w:line="240" w:before="0" w:after="0"/>
      <w:jc w:val="left"/>
      <w:textAlignment w:val="baseline"/>
    </w:pPr>
    <w:rPr>
      <w:rFonts w:ascii="Liberation Serif" w:hAnsi="Liberation Serif" w:eastAsia="Arial Unicode MS" w:cs="Arial Unicode MS"/>
      <w:b w:val="false"/>
      <w:bCs w:val="false"/>
      <w:i w:val="false"/>
      <w:iCs w:val="false"/>
      <w:caps w:val="false"/>
      <w:smallCaps w:val="false"/>
      <w:strike w:val="false"/>
      <w:dstrike w:val="false"/>
      <w:outline w:val="false"/>
      <w:emboss w:val="false"/>
      <w:imprint w:val="false"/>
      <w:color w:val="000000"/>
      <w:spacing w:val="0"/>
      <w:w w:val="100"/>
      <w:kern w:val="2"/>
      <w:position w:val="0"/>
      <w:sz w:val="24"/>
      <w:sz w:val="24"/>
      <w:szCs w:val="24"/>
      <w:u w:val="none"/>
      <w:shd w:fill="auto" w:val="clear"/>
      <w:vertAlign w:val="baseline"/>
      <w:em w:val="none"/>
      <w:lang w:val="ru-RU" w:eastAsia="zh-CN" w:bidi="hi-IN"/>
    </w:rPr>
  </w:style>
  <w:style w:type="paragraph" w:styleId="Style23">
    <w:name w:val="Название объекта"/>
    <w:basedOn w:val="Normal"/>
    <w:qFormat/>
    <w:pPr>
      <w:suppressLineNumbers/>
      <w:suppressAutoHyphens w:val="true"/>
      <w:spacing w:before="120" w:after="120"/>
    </w:pPr>
    <w:rPr>
      <w:i/>
      <w:iCs/>
    </w:rPr>
  </w:style>
  <w:style w:type="paragraph" w:styleId="1">
    <w:name w:val="Стиль Заголовок 1 + по ширине"/>
    <w:basedOn w:val="Heading1"/>
    <w:qFormat/>
    <w:pPr>
      <w:pageBreakBefore w:val="false"/>
      <w:numPr>
        <w:ilvl w:val="0"/>
        <w:numId w:val="2"/>
      </w:numPr>
      <w:suppressAutoHyphens w:val="true"/>
      <w:jc w:val="both"/>
    </w:pPr>
    <w:rPr>
      <w:bCs/>
    </w:rPr>
  </w:style>
  <w:style w:type="paragraph" w:styleId="FootnoteText">
    <w:name w:val="Footnote Text"/>
    <w:basedOn w:val="Normal"/>
    <w:pPr>
      <w:suppressLineNumbers/>
      <w:tabs>
        <w:tab w:val="clear" w:pos="709"/>
      </w:tabs>
      <w:suppressAutoHyphens w:val="true"/>
      <w:ind w:hanging="340" w:left="340" w:right="0"/>
    </w:pPr>
    <w:rPr>
      <w:sz w:val="20"/>
      <w:szCs w:val="20"/>
    </w:rPr>
  </w:style>
  <w:style w:type="paragraph" w:styleId="Style24">
    <w:name w:val="Содержимое таблицы"/>
    <w:basedOn w:val="Normal"/>
    <w:qFormat/>
    <w:pPr>
      <w:widowControl w:val="false"/>
      <w:suppressLineNumbers/>
      <w:suppressAutoHyphens w:val="true"/>
    </w:pPr>
    <w:rPr/>
  </w:style>
  <w:style w:type="paragraph" w:styleId="Annotationsubject">
    <w:name w:val="annotation subject"/>
    <w:qFormat/>
    <w:pPr>
      <w:keepNext w:val="false"/>
      <w:keepLines w:val="false"/>
      <w:pageBreakBefore w:val="false"/>
      <w:widowControl/>
      <w:shd w:val="clear" w:fill="auto"/>
      <w:suppressAutoHyphens w:val="false"/>
      <w:overflowPunct w:val="false"/>
      <w:bidi w:val="0"/>
      <w:snapToGrid w:val="true"/>
      <w:spacing w:lineRule="auto" w:line="240" w:before="0" w:after="0"/>
      <w:jc w:val="left"/>
      <w:textAlignment w:val="baseline"/>
    </w:pPr>
    <w:rPr>
      <w:rFonts w:ascii="Liberation Serif" w:hAnsi="Liberation Serif" w:eastAsia="Arial Unicode MS" w:cs="Arial Unicode MS"/>
      <w:b/>
      <w:bCs/>
      <w:i w:val="false"/>
      <w:iCs w:val="false"/>
      <w:caps w:val="false"/>
      <w:smallCaps w:val="false"/>
      <w:strike w:val="false"/>
      <w:dstrike w:val="false"/>
      <w:outline w:val="false"/>
      <w:emboss w:val="false"/>
      <w:imprint w:val="false"/>
      <w:color w:val="000000"/>
      <w:spacing w:val="0"/>
      <w:w w:val="100"/>
      <w:kern w:val="2"/>
      <w:position w:val="0"/>
      <w:sz w:val="20"/>
      <w:sz w:val="20"/>
      <w:szCs w:val="20"/>
      <w:u w:val="none"/>
      <w:shd w:fill="auto" w:val="clear"/>
      <w:vertAlign w:val="baseline"/>
      <w:em w:val="none"/>
      <w:lang w:val="ru-RU" w:eastAsia="zh-CN" w:bidi="hi-IN"/>
    </w:rPr>
  </w:style>
  <w:style w:type="paragraph" w:styleId="Annotationtext">
    <w:name w:val="annotation text"/>
    <w:basedOn w:val="Normal"/>
    <w:qFormat/>
    <w:pPr/>
    <w:rPr>
      <w:sz w:val="20"/>
      <w:szCs w:val="20"/>
    </w:rPr>
  </w:style>
  <w:style w:type="paragraph" w:styleId="BodyText2">
    <w:name w:val="Body Text 2"/>
    <w:basedOn w:val="Normal"/>
    <w:qFormat/>
    <w:pPr>
      <w:suppressAutoHyphens w:val="false"/>
      <w:spacing w:lineRule="auto" w:line="480" w:before="0" w:after="120"/>
    </w:pPr>
    <w:rPr>
      <w:lang w:val="en-GB" w:eastAsia="ru-RU"/>
    </w:rPr>
  </w:style>
  <w:style w:type="paragraph" w:styleId="11">
    <w:name w:val="Знак Знак Знак Знак Знак Знак Знак Знак Знак1"/>
    <w:basedOn w:val="Normal"/>
    <w:qFormat/>
    <w:pPr>
      <w:suppressAutoHyphens w:val="false"/>
      <w:spacing w:lineRule="exact" w:line="240" w:before="0" w:after="160"/>
      <w:jc w:val="both"/>
    </w:pPr>
    <w:rPr>
      <w:rFonts w:ascii="Verdana" w:hAnsi="Verdana"/>
      <w:sz w:val="22"/>
      <w:szCs w:val="20"/>
      <w:lang w:val="en-US"/>
    </w:rPr>
  </w:style>
  <w:style w:type="paragraph" w:styleId="21">
    <w:name w:val="Знак Знак Знак Знак Знак Знак Знак Знак Знак2"/>
    <w:basedOn w:val="Normal"/>
    <w:qFormat/>
    <w:pPr>
      <w:suppressAutoHyphens w:val="false"/>
      <w:spacing w:lineRule="exact" w:line="240" w:before="0" w:after="160"/>
      <w:jc w:val="both"/>
    </w:pPr>
    <w:rPr>
      <w:rFonts w:ascii="Verdana" w:hAnsi="Verdana"/>
      <w:sz w:val="22"/>
      <w:szCs w:val="20"/>
      <w:lang w:val="en-US"/>
    </w:rPr>
  </w:style>
  <w:style w:type="paragraph" w:styleId="ConsNormal">
    <w:name w:val="ConsNormal"/>
    <w:qFormat/>
    <w:pPr>
      <w:keepNext w:val="false"/>
      <w:keepLines w:val="false"/>
      <w:pageBreakBefore w:val="false"/>
      <w:widowControl/>
      <w:shd w:val="clear" w:fill="auto"/>
      <w:suppressAutoHyphens w:val="true"/>
      <w:overflowPunct w:val="false"/>
      <w:bidi w:val="0"/>
      <w:snapToGrid w:val="true"/>
      <w:spacing w:lineRule="auto" w:line="240" w:before="0" w:after="0"/>
      <w:ind w:firstLine="720" w:right="19772"/>
      <w:jc w:val="left"/>
      <w:textAlignment w:val="baseline"/>
    </w:pPr>
    <w:rPr>
      <w:rFonts w:ascii="Arial" w:hAnsi="Arial" w:eastAsia="Times New Roman" w:cs="Times New Roman"/>
      <w:b w:val="false"/>
      <w:bCs w:val="false"/>
      <w:i w:val="false"/>
      <w:iCs w:val="false"/>
      <w:caps w:val="false"/>
      <w:smallCaps w:val="false"/>
      <w:strike w:val="false"/>
      <w:dstrike w:val="false"/>
      <w:outline w:val="false"/>
      <w:emboss w:val="false"/>
      <w:imprint w:val="false"/>
      <w:color w:val="000000"/>
      <w:spacing w:val="0"/>
      <w:w w:val="100"/>
      <w:kern w:val="0"/>
      <w:position w:val="0"/>
      <w:sz w:val="32"/>
      <w:sz w:val="32"/>
      <w:szCs w:val="20"/>
      <w:u w:val="none"/>
      <w:shd w:fill="auto" w:val="clear"/>
      <w:vertAlign w:val="baseline"/>
      <w:em w:val="none"/>
      <w:lang w:val="ru-RU" w:eastAsia="en-US" w:bidi="ar-SA"/>
    </w:rPr>
  </w:style>
  <w:style w:type="paragraph" w:styleId="Style25">
    <w:name w:val="Пункт договора"/>
    <w:basedOn w:val="Normal"/>
    <w:qFormat/>
    <w:pPr>
      <w:widowControl w:val="false"/>
      <w:suppressAutoHyphens w:val="false"/>
      <w:jc w:val="both"/>
    </w:pPr>
    <w:rPr>
      <w:rFonts w:ascii="Arial" w:hAnsi="Arial"/>
      <w:sz w:val="20"/>
      <w:szCs w:val="20"/>
      <w:lang w:eastAsia="ru-RU"/>
    </w:rPr>
  </w:style>
  <w:style w:type="paragraph" w:styleId="Style26">
    <w:name w:val="Подпункт договора"/>
    <w:basedOn w:val="Normal"/>
    <w:qFormat/>
    <w:pPr>
      <w:tabs>
        <w:tab w:val="clear" w:pos="709"/>
        <w:tab w:val="left" w:pos="360" w:leader="none"/>
      </w:tabs>
      <w:suppressAutoHyphens w:val="false"/>
      <w:jc w:val="both"/>
    </w:pPr>
    <w:rPr>
      <w:rFonts w:ascii="Arial" w:hAnsi="Arial"/>
      <w:sz w:val="20"/>
      <w:szCs w:val="20"/>
      <w:lang w:eastAsia="ru-RU"/>
    </w:rPr>
  </w:style>
  <w:style w:type="paragraph" w:styleId="12">
    <w:name w:val="Обычный1"/>
    <w:qFormat/>
    <w:pPr>
      <w:keepNext w:val="false"/>
      <w:keepLines w:val="false"/>
      <w:pageBreakBefore w:val="false"/>
      <w:widowControl/>
      <w:shd w:val="clear" w:fill="auto"/>
      <w:suppressAutoHyphens w:val="true"/>
      <w:overflowPunct w:val="false"/>
      <w:bidi w:val="0"/>
      <w:snapToGrid w:val="true"/>
      <w:spacing w:lineRule="auto" w:line="240" w:before="0" w:after="0"/>
      <w:jc w:val="left"/>
      <w:textAlignment w:val="baseline"/>
    </w:pPr>
    <w:rPr>
      <w:rFonts w:ascii="Times New Roman" w:hAnsi="Times New Roman" w:eastAsia="Times New Roman" w:cs="Times New Roman"/>
      <w:b w:val="false"/>
      <w:bCs w:val="false"/>
      <w:i w:val="false"/>
      <w:iCs w:val="false"/>
      <w:caps w:val="false"/>
      <w:smallCaps w:val="false"/>
      <w:strike w:val="false"/>
      <w:dstrike w:val="false"/>
      <w:outline w:val="false"/>
      <w:emboss w:val="false"/>
      <w:imprint w:val="false"/>
      <w:color w:val="000000"/>
      <w:spacing w:val="0"/>
      <w:w w:val="100"/>
      <w:kern w:val="0"/>
      <w:position w:val="0"/>
      <w:sz w:val="20"/>
      <w:sz w:val="20"/>
      <w:szCs w:val="20"/>
      <w:u w:val="none"/>
      <w:shd w:fill="auto" w:val="clear"/>
      <w:vertAlign w:val="baseline"/>
      <w:em w:val="none"/>
      <w:lang w:val="ru-RU" w:eastAsia="ru-RU" w:bidi="ar-SA"/>
    </w:rPr>
  </w:style>
  <w:style w:type="paragraph" w:styleId="Style27">
    <w:name w:val="Знак Знак Знак Знак Знак Знак Знак Знак Знак"/>
    <w:basedOn w:val="Normal"/>
    <w:qFormat/>
    <w:pPr>
      <w:suppressAutoHyphens w:val="false"/>
      <w:spacing w:lineRule="exact" w:line="240" w:before="0" w:after="160"/>
      <w:jc w:val="both"/>
    </w:pPr>
    <w:rPr>
      <w:rFonts w:ascii="Verdana" w:hAnsi="Verdana"/>
      <w:sz w:val="22"/>
      <w:szCs w:val="20"/>
      <w:lang w:val="en-US"/>
    </w:rPr>
  </w:style>
  <w:style w:type="paragraph" w:styleId="Style28">
    <w:name w:val="Таблица текст"/>
    <w:basedOn w:val="Normal"/>
    <w:qFormat/>
    <w:pPr>
      <w:suppressAutoHyphens w:val="false"/>
      <w:spacing w:before="40" w:after="40"/>
      <w:ind w:left="57" w:right="57"/>
    </w:pPr>
    <w:rPr>
      <w:szCs w:val="20"/>
      <w:lang w:eastAsia="ru-RU"/>
    </w:rPr>
  </w:style>
  <w:style w:type="paragraph" w:styleId="Default">
    <w:name w:val="Default"/>
    <w:qFormat/>
    <w:pPr>
      <w:keepNext w:val="false"/>
      <w:keepLines w:val="false"/>
      <w:pageBreakBefore w:val="false"/>
      <w:widowControl/>
      <w:shd w:val="clear" w:fill="auto"/>
      <w:suppressAutoHyphens w:val="true"/>
      <w:overflowPunct w:val="false"/>
      <w:bidi w:val="0"/>
      <w:snapToGrid w:val="true"/>
      <w:spacing w:lineRule="auto" w:line="240" w:before="0" w:after="0"/>
      <w:jc w:val="left"/>
      <w:textAlignment w:val="baseline"/>
    </w:pPr>
    <w:rPr>
      <w:rFonts w:ascii="Times New Roman" w:hAnsi="Times New Roman" w:eastAsia="Calibri" w:cs="Times New Roman"/>
      <w:b w:val="false"/>
      <w:bCs w:val="false"/>
      <w:i w:val="false"/>
      <w:iCs w:val="false"/>
      <w:caps w:val="false"/>
      <w:smallCaps w:val="false"/>
      <w:strike w:val="false"/>
      <w:dstrike w:val="false"/>
      <w:outline w:val="false"/>
      <w:emboss w:val="false"/>
      <w:imprint w:val="false"/>
      <w:color w:val="000000"/>
      <w:spacing w:val="0"/>
      <w:w w:val="100"/>
      <w:kern w:val="0"/>
      <w:position w:val="0"/>
      <w:sz w:val="24"/>
      <w:sz w:val="24"/>
      <w:szCs w:val="24"/>
      <w:u w:val="none"/>
      <w:shd w:fill="auto" w:val="clear"/>
      <w:vertAlign w:val="baseline"/>
      <w:em w:val="none"/>
      <w:lang w:val="ru-RU" w:eastAsia="en-US" w:bidi="ar-SA"/>
    </w:rPr>
  </w:style>
  <w:style w:type="paragraph" w:styleId="NoSpacing">
    <w:name w:val="No Spacing"/>
    <w:qFormat/>
    <w:pPr>
      <w:keepNext w:val="false"/>
      <w:keepLines w:val="false"/>
      <w:pageBreakBefore w:val="false"/>
      <w:widowControl/>
      <w:shd w:val="clear" w:fill="auto"/>
      <w:suppressAutoHyphens w:val="true"/>
      <w:overflowPunct w:val="false"/>
      <w:bidi w:val="0"/>
      <w:snapToGrid w:val="true"/>
      <w:spacing w:lineRule="auto" w:line="240" w:before="0" w:after="0"/>
      <w:jc w:val="left"/>
      <w:textAlignment w:val="baseline"/>
    </w:pPr>
    <w:rPr>
      <w:rFonts w:ascii="Times New Roman" w:hAnsi="Times New Roman" w:eastAsia="Times New Roman" w:cs="Times New Roman"/>
      <w:b w:val="false"/>
      <w:bCs w:val="false"/>
      <w:i w:val="false"/>
      <w:iCs w:val="false"/>
      <w:caps w:val="false"/>
      <w:smallCaps w:val="false"/>
      <w:strike w:val="false"/>
      <w:dstrike w:val="false"/>
      <w:outline w:val="false"/>
      <w:emboss w:val="false"/>
      <w:imprint w:val="false"/>
      <w:color w:val="000000"/>
      <w:spacing w:val="0"/>
      <w:w w:val="100"/>
      <w:kern w:val="0"/>
      <w:position w:val="0"/>
      <w:sz w:val="24"/>
      <w:sz w:val="24"/>
      <w:szCs w:val="24"/>
      <w:u w:val="none"/>
      <w:shd w:fill="auto" w:val="clear"/>
      <w:vertAlign w:val="baseline"/>
      <w:em w:val="none"/>
      <w:lang w:val="ru-RU" w:eastAsia="en-US" w:bidi="ar-SA"/>
    </w:rPr>
  </w:style>
  <w:style w:type="paragraph" w:styleId="ListParagraph">
    <w:name w:val="List Paragraph"/>
    <w:basedOn w:val="Normal"/>
    <w:qFormat/>
    <w:pPr>
      <w:suppressAutoHyphens w:val="false"/>
      <w:spacing w:lineRule="auto" w:line="276" w:before="0" w:after="200"/>
      <w:ind w:left="720"/>
      <w:contextualSpacing/>
    </w:pPr>
    <w:rPr>
      <w:rFonts w:ascii="Calibri" w:hAnsi="Calibri" w:eastAsia="Calibri"/>
      <w:sz w:val="22"/>
      <w:szCs w:val="22"/>
    </w:rPr>
  </w:style>
  <w:style w:type="paragraph" w:styleId="BalloonText">
    <w:name w:val="Balloon Text"/>
    <w:basedOn w:val="Normal"/>
    <w:qFormat/>
    <w:pPr/>
    <w:rPr>
      <w:rFonts w:ascii="Tahoma" w:hAnsi="Tahoma" w:cs="Tahoma"/>
      <w:sz w:val="16"/>
      <w:szCs w:val="16"/>
    </w:rPr>
  </w:style>
  <w:style w:type="paragraph" w:styleId="DefaultParagraphFontParaCharChar">
    <w:name w:val="Default Paragraph Font Para Char Char Знак"/>
    <w:basedOn w:val="Normal"/>
    <w:qFormat/>
    <w:pPr>
      <w:suppressAutoHyphens w:val="false"/>
      <w:spacing w:lineRule="exact" w:line="240" w:before="0" w:after="160"/>
      <w:jc w:val="both"/>
    </w:pPr>
    <w:rPr>
      <w:rFonts w:ascii="Verdana" w:hAnsi="Verdana"/>
      <w:sz w:val="20"/>
      <w:szCs w:val="20"/>
      <w:lang w:val="en-US"/>
    </w:rPr>
  </w:style>
  <w:style w:type="paragraph" w:styleId="Indexheading">
    <w:name w:val="index heading"/>
    <w:basedOn w:val="Normal"/>
    <w:qFormat/>
    <w:pPr/>
    <w:rPr/>
  </w:style>
  <w:style w:type="paragraph" w:styleId="Caption1">
    <w:name w:val="caption1"/>
    <w:basedOn w:val="Normal"/>
    <w:qFormat/>
    <w:pPr>
      <w:spacing w:before="120" w:after="120"/>
    </w:pPr>
    <w:rPr>
      <w:i/>
      <w:iCs/>
    </w:rPr>
  </w:style>
  <w:style w:type="numbering" w:styleId="WWOutlineListStyle">
    <w:name w:val="WW_OutlineListStyle"/>
    <w:qFormat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https://tender.lot-online.ru/" TargetMode="External"/><Relationship Id="rId3" Type="http://schemas.openxmlformats.org/officeDocument/2006/relationships/numbering" Target="numbering.xml"/><Relationship Id="rId4" Type="http://schemas.openxmlformats.org/officeDocument/2006/relationships/fontTable" Target="fontTable.xml"/><Relationship Id="rId5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248</TotalTime>
  <Application>AlterOffice/2026.2.0.0$Linux_X86_64 LibreOffice_project/bc4ef1adf80b36c7a6365f8ed6cbf29021361edd</Application>
  <AppVersion>15.0000</AppVersion>
  <Pages>2</Pages>
  <Words>498</Words>
  <Characters>3515</Characters>
  <CharactersWithSpaces>3970</CharactersWithSpaces>
  <Paragraphs>31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2022-10-25T10:56:00Z</dcterms:created>
  <dc:creator/>
  <dc:description/>
  <dc:language>ru-RU</dc:language>
  <cp:lastModifiedBy>netysaa@corp.gidroogk.com</cp:lastModifiedBy>
  <cp:lastPrinted>2025-05-23T11:52:00Z</cp:lastPrinted>
  <dcterms:modified xsi:type="dcterms:W3CDTF">2026-10-29T13:36:50Z</dcterms:modified>
  <cp:revision>38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