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caps/>
        </w:rPr>
      </w:pPr>
      <w:r>
        <w:rPr>
          <w:rFonts w:eastAsia="Calibri"/>
          <w:b/>
          <w:caps/>
        </w:rPr>
        <w:t>Запрос технико-коммерческих предложений</w:t>
      </w:r>
    </w:p>
    <w:p>
      <w:pPr>
        <w:pStyle w:val="Normal"/>
        <w:keepNext w:val="true"/>
        <w:keepLines/>
        <w:jc w:val="center"/>
        <w:rPr>
          <w:rFonts w:eastAsia="Calibri"/>
          <w:b/>
          <w:caps/>
        </w:rPr>
      </w:pPr>
      <w:r>
        <w:rPr>
          <w:rFonts w:eastAsia="Calibri"/>
          <w:b/>
          <w:caps/>
        </w:rPr>
        <w:t xml:space="preserve">для проведения мониторинга цен </w:t>
      </w:r>
    </w:p>
    <w:p>
      <w:pPr>
        <w:pStyle w:val="Normal"/>
        <w:keepNext w:val="true"/>
        <w:keepLines/>
        <w:jc w:val="center"/>
        <w:rPr>
          <w:rFonts w:eastAsia="Calibri"/>
          <w:b/>
          <w:caps/>
        </w:rPr>
      </w:pPr>
      <w:r>
        <w:rPr>
          <w:rFonts w:eastAsia="Calibri"/>
          <w:b/>
          <w:caps/>
        </w:rPr>
        <w:t xml:space="preserve"> </w:t>
      </w:r>
      <w:r>
        <w:rPr>
          <w:rFonts w:eastAsia="Calibri"/>
          <w:b/>
          <w:caps/>
        </w:rPr>
        <w:t>ОКПД2 7</w:t>
      </w:r>
      <w:r>
        <w:rPr>
          <w:b/>
          <w:bCs/>
          <w:szCs w:val="28"/>
        </w:rPr>
        <w:t xml:space="preserve">1.20.19.130 «ОКАЗАНИЕ УСЛУГ ПО ОЦЕНКЕ ПРОФЕССИОНАЛЬНЫХ РИСКОВ НА РАБОЧИХ МЕСТАХ </w:t>
      </w:r>
    </w:p>
    <w:p>
      <w:pPr>
        <w:pStyle w:val="Normal"/>
        <w:jc w:val="center"/>
        <w:rPr>
          <w:rFonts w:eastAsia="Calibri"/>
          <w:b/>
          <w:caps/>
        </w:rPr>
      </w:pPr>
      <w:r>
        <w:rPr>
          <w:b/>
          <w:bCs/>
          <w:szCs w:val="28"/>
        </w:rPr>
        <w:t>АО «ЛЕНГИДРОПРОЕКТ»</w:t>
      </w:r>
      <w:r>
        <w:rPr>
          <w:b/>
        </w:rPr>
        <w:t>»</w:t>
      </w:r>
      <w:r>
        <w:rPr>
          <w:rFonts w:eastAsia="Calibri"/>
          <w:b/>
          <w:caps/>
        </w:rPr>
        <w:t xml:space="preserve"> </w:t>
      </w:r>
    </w:p>
    <w:p>
      <w:pPr>
        <w:pStyle w:val="Normal"/>
        <w:keepNext w:val="true"/>
        <w:keepLines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/>
      </w:pPr>
      <w:r>
        <w:rPr/>
        <w:tab/>
        <w:t>АО «Ленгидропроект» (далее – Заказчик) сообщает о проведении анализа технико-к</w:t>
      </w:r>
      <w:r>
        <w:rPr>
          <w:sz w:val="28"/>
          <w:szCs w:val="28"/>
        </w:rPr>
        <w:t xml:space="preserve">оммерческих предложений потенциальных поставщиков «ОКПД2 </w:t>
      </w:r>
      <w:r>
        <w:rPr>
          <w:rFonts w:eastAsia="Calibri"/>
          <w:sz w:val="28"/>
          <w:szCs w:val="28"/>
        </w:rPr>
        <w:t xml:space="preserve"> 71.20.19.130 Оказание услуг по оценке профессиональных рисков на рабочих местах</w:t>
      </w:r>
      <w:r>
        <w:rPr>
          <w:sz w:val="28"/>
          <w:szCs w:val="28"/>
        </w:rPr>
        <w:t xml:space="preserve"> в </w:t>
      </w:r>
      <w:r>
        <w:rPr>
          <w:bCs/>
          <w:sz w:val="28"/>
          <w:szCs w:val="28"/>
        </w:rPr>
        <w:t>АО «Ленгидропроект»</w:t>
      </w:r>
      <w:r>
        <w:rPr>
          <w:sz w:val="28"/>
          <w:szCs w:val="28"/>
        </w:rPr>
        <w:t>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/>
      </w:pPr>
      <w:r>
        <w:rPr>
          <w:sz w:val="28"/>
          <w:szCs w:val="28"/>
        </w:rPr>
        <w:t>Подробные требовани</w:t>
      </w:r>
      <w:r>
        <w:rPr/>
        <w:t>я к продукции (в том числе, сведения об объеме, месте, сроках оказываемых услуг) приведены в Технических требованиях настоящего мониторинга (запроса).</w:t>
      </w:r>
    </w:p>
    <w:p>
      <w:pPr>
        <w:pStyle w:val="Normal"/>
        <w:numPr>
          <w:ilvl w:val="0"/>
          <w:numId w:val="3"/>
        </w:numPr>
        <w:spacing w:before="60" w:after="60"/>
        <w:ind w:left="0" w:right="0" w:hanging="0"/>
        <w:jc w:val="both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numPr>
          <w:ilvl w:val="0"/>
          <w:numId w:val="3"/>
        </w:numPr>
        <w:spacing w:before="60" w:after="60"/>
        <w:ind w:left="0" w:right="0" w:hanging="0"/>
        <w:jc w:val="both"/>
        <w:rPr/>
      </w:pPr>
      <w:r>
        <w:rPr/>
        <w:t>Ответ с технико-коммерческим предложением должен быть оформлен на официальном бланке по форме приложения №1 к Техническим требованиям и</w:t>
      </w:r>
      <w:r>
        <w:rPr>
          <w:lang w:val="en-US"/>
        </w:rPr>
        <w:t> </w:t>
      </w:r>
      <w:r>
        <w:rPr/>
        <w:t>заверен подписью уполномоченного лица, а также печатью организации (при</w:t>
      </w:r>
      <w:r>
        <w:rPr>
          <w:lang w:val="en-US"/>
        </w:rPr>
        <w:t> </w:t>
      </w:r>
      <w:r>
        <w:rPr/>
        <w:t>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60" w:after="60"/>
        <w:ind w:left="567" w:right="0" w:hanging="567"/>
        <w:jc w:val="both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60" w:after="60"/>
        <w:ind w:left="567" w:right="0" w:hanging="567"/>
        <w:jc w:val="both"/>
        <w:rPr/>
      </w:pPr>
      <w:r>
        <w:rPr/>
        <w:t>полное наименование организации,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60" w:after="60"/>
        <w:ind w:left="567" w:right="0" w:hanging="567"/>
        <w:jc w:val="both"/>
        <w:rPr/>
      </w:pPr>
      <w:r>
        <w:rPr/>
        <w:t xml:space="preserve">юридический адрес, почтовый адрес, ИНН </w:t>
      </w:r>
      <w:r>
        <w:rPr>
          <w:i/>
          <w:shd w:fill="FFFF99" w:val="clear"/>
        </w:rPr>
        <w:t>[для юридических лиц]</w:t>
      </w:r>
      <w:r>
        <w:rPr>
          <w:i/>
        </w:rPr>
        <w:t xml:space="preserve"> / </w:t>
      </w:r>
      <w:r>
        <w:rPr/>
        <w:t xml:space="preserve">паспортные данные, адрес регистрации, ИНН (при наличии) </w:t>
      </w:r>
      <w:r>
        <w:rPr>
          <w:i/>
          <w:shd w:fill="FFFF99" w:val="clear"/>
        </w:rPr>
        <w:t>[для физических лиц]</w:t>
      </w:r>
      <w:r>
        <w:rPr>
          <w:i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60" w:after="60"/>
        <w:ind w:left="567" w:right="0" w:hanging="567"/>
        <w:jc w:val="both"/>
        <w:rPr/>
      </w:pPr>
      <w:r>
        <w:rPr/>
        <w:t xml:space="preserve">контактные данные: номер телефона, 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60" w:after="60"/>
        <w:ind w:left="567" w:right="0" w:hanging="567"/>
        <w:jc w:val="both"/>
        <w:rPr/>
      </w:pPr>
      <w:r>
        <w:rPr/>
        <w:t>цену предложения в рублях (без учета НДС).</w:t>
      </w:r>
    </w:p>
    <w:p>
      <w:pPr>
        <w:pStyle w:val="Normal"/>
        <w:numPr>
          <w:ilvl w:val="0"/>
          <w:numId w:val="3"/>
        </w:numPr>
        <w:spacing w:before="60" w:after="60"/>
        <w:ind w:left="567" w:right="0" w:hanging="567"/>
        <w:jc w:val="both"/>
        <w:rPr/>
      </w:pPr>
      <w:r>
        <w:rPr/>
        <w:t xml:space="preserve">Срок подачи технико-коммерческих предложений: до </w:t>
      </w:r>
      <w:r>
        <w:rPr>
          <w:u w:val="single"/>
        </w:rPr>
        <w:t>10:00 05.11.2026 </w:t>
      </w:r>
      <w:r>
        <w:rPr/>
        <w:t xml:space="preserve">г. </w:t>
      </w:r>
    </w:p>
    <w:p>
      <w:pPr>
        <w:pStyle w:val="Normal"/>
        <w:numPr>
          <w:ilvl w:val="0"/>
          <w:numId w:val="3"/>
        </w:numPr>
        <w:spacing w:before="60" w:after="60"/>
        <w:ind w:left="0" w:right="0" w:hanging="0"/>
        <w:jc w:val="both"/>
        <w:rPr/>
      </w:pPr>
      <w:r>
        <w:rPr/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hyperlink r:id="rId2" w:tgtFrame="_blank">
        <w:r>
          <w:rPr>
            <w:rStyle w:val="Hyperlink"/>
            <w:rFonts w:ascii="Helvetica Neue;Helvetica;Arial" w:hAnsi="Helvetica Neue;Helvetica;Arial"/>
            <w:color w:val="FF9459"/>
            <w:sz w:val="21"/>
            <w:u w:val="none"/>
          </w:rPr>
          <w:t>StepanovaTV@lhp.ru</w:t>
        </w:r>
      </w:hyperlink>
      <w:r>
        <w:rPr/>
        <w:t>, рабочий телефон: +7 (812) 395-29-00.</w:t>
      </w:r>
    </w:p>
    <w:p>
      <w:pPr>
        <w:pStyle w:val="Normal"/>
        <w:numPr>
          <w:ilvl w:val="0"/>
          <w:numId w:val="3"/>
        </w:numPr>
        <w:tabs>
          <w:tab w:val="clear" w:pos="708"/>
        </w:tabs>
        <w:suppressAutoHyphens w:val="false"/>
        <w:spacing w:before="60" w:after="60"/>
        <w:ind w:left="0" w:right="0" w:hanging="0"/>
        <w:jc w:val="both"/>
        <w:rPr/>
      </w:pPr>
      <w:bookmarkStart w:id="0" w:name="_GoBack"/>
      <w:r>
        <w:rPr/>
        <w:t>Технико-коммерческие предложения участниками мониторинга должны быть поданы в соответствии с установленными Заказчиком требованиями проведения мониторинга.</w:t>
      </w:r>
      <w:bookmarkEnd w:id="0"/>
    </w:p>
    <w:p>
      <w:pPr>
        <w:pStyle w:val="Normal"/>
        <w:spacing w:before="60" w:after="60"/>
        <w:jc w:val="both"/>
        <w:rPr/>
      </w:pPr>
      <w:r>
        <w:rPr/>
      </w:r>
    </w:p>
    <w:p>
      <w:pPr>
        <w:pStyle w:val="Normal"/>
        <w:spacing w:before="60" w:after="60"/>
        <w:jc w:val="both"/>
        <w:rPr/>
      </w:pPr>
      <w:r>
        <w:rPr/>
      </w:r>
    </w:p>
    <w:p>
      <w:pPr>
        <w:pStyle w:val="Normal"/>
        <w:jc w:val="center"/>
        <w:rPr>
          <w:rFonts w:eastAsia="Calibri"/>
          <w:b/>
          <w:caps/>
          <w:lang w:eastAsia="en-US"/>
        </w:rPr>
      </w:pPr>
      <w:r>
        <w:rPr>
          <w:rFonts w:eastAsia="Calibri"/>
          <w:b/>
          <w:caps/>
          <w:lang w:eastAsia="en-US"/>
        </w:rPr>
      </w:r>
    </w:p>
    <w:p>
      <w:pPr>
        <w:pStyle w:val="Normal"/>
        <w:jc w:val="center"/>
        <w:rPr>
          <w:rFonts w:eastAsia="Calibri"/>
          <w:b/>
          <w:caps/>
          <w:lang w:eastAsia="en-US"/>
        </w:rPr>
      </w:pPr>
      <w:r>
        <w:rPr>
          <w:rFonts w:eastAsia="Calibri"/>
          <w:b/>
          <w:caps/>
          <w:lang w:eastAsia="en-US"/>
        </w:rPr>
      </w:r>
    </w:p>
    <w:p>
      <w:pPr>
        <w:pStyle w:val="Normal"/>
        <w:jc w:val="center"/>
        <w:rPr>
          <w:rFonts w:eastAsia="Calibri"/>
          <w:b/>
          <w:caps/>
          <w:lang w:eastAsia="en-US"/>
        </w:rPr>
      </w:pPr>
      <w:r>
        <w:rPr>
          <w:rFonts w:eastAsia="Calibri"/>
          <w:b/>
          <w:caps/>
          <w:lang w:eastAsia="en-US"/>
        </w:rPr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>для проведения мониторинга цен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276"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>ОКПД2 71.20.19.130 Оказание услуг по оценке профессиональных рисков на рабочих местах</w:t>
      </w:r>
      <w:r>
        <w:rPr>
          <w:sz w:val="26"/>
          <w:szCs w:val="26"/>
        </w:rPr>
        <w:t xml:space="preserve"> в АО «Ленгидропроек</w:t>
      </w:r>
      <w:r>
        <w:rPr>
          <w:sz w:val="26"/>
          <w:szCs w:val="26"/>
        </w:rPr>
        <w:t>т»</w:t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Normal"/>
        <w:spacing w:lineRule="auto" w:line="276"/>
        <w:jc w:val="center"/>
        <w:rPr>
          <w:sz w:val="26"/>
          <w:szCs w:val="26"/>
        </w:rPr>
      </w:pPr>
      <w:r>
        <w:rPr/>
      </w:r>
    </w:p>
    <w:p>
      <w:pPr>
        <w:pStyle w:val="Heading1"/>
        <w:keepLines/>
        <w:numPr>
          <w:ilvl w:val="0"/>
          <w:numId w:val="0"/>
        </w:numPr>
        <w:ind w:left="357" w:right="0" w:hanging="0"/>
        <w:jc w:val="center"/>
        <w:rPr>
          <w:caps/>
          <w:lang w:val="ru-RU"/>
        </w:rPr>
      </w:pPr>
      <w:r>
        <w:rPr>
          <w:lang w:val="ru-RU"/>
        </w:rPr>
        <w:t xml:space="preserve">1. </w:t>
      </w:r>
      <w:bookmarkStart w:id="1" w:name="_Toc54643694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0"/>
          <w:numId w:val="0"/>
        </w:numPr>
        <w:ind w:left="432" w:right="0" w:hanging="0"/>
        <w:rPr/>
      </w:pPr>
      <w:r>
        <w:rPr/>
        <w:t xml:space="preserve">1.1. </w:t>
      </w:r>
      <w:bookmarkStart w:id="2" w:name="_Toc54643695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left="0" w:right="0" w:hanging="0"/>
              <w:rPr>
                <w:b w:val="false"/>
                <w:lang w:val="ru-RU"/>
              </w:rPr>
            </w:pPr>
            <w:r>
              <w:rPr>
                <w:b w:val="false"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left="0" w:right="0" w:hanging="0"/>
              <w:rPr>
                <w:b w:val="false"/>
                <w:lang w:val="ru-RU"/>
              </w:rPr>
            </w:pPr>
            <w:r>
              <w:rPr>
                <w:b w:val="false"/>
                <w:lang w:val="ru-RU"/>
              </w:rPr>
              <w:t>Акционерное общество «Ленгидропроект» (АО «Ленгидропроект»)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left="0" w:right="0" w:hanging="0"/>
              <w:rPr>
                <w:b w:val="false"/>
                <w:lang w:val="ru-RU"/>
              </w:rPr>
            </w:pPr>
            <w:r>
              <w:rPr>
                <w:b w:val="false"/>
                <w:lang w:val="ru-RU"/>
              </w:rPr>
              <w:t>Общество/ Заказчик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 w:val="false"/>
                <w:color w:val="000000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 w:eastAsia="x-none" w:bidi="ar-SA"/>
              </w:rPr>
              <w:t>Лицо (предприятие, организация, фирма, частное лицо), оказывающее услуги согласно договору с заказчиком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</w:numPr>
              <w:tabs>
                <w:tab w:val="clear" w:pos="0"/>
              </w:tabs>
              <w:spacing w:before="120" w:after="60"/>
              <w:ind w:left="0" w:right="0" w:hanging="0"/>
              <w:rPr>
                <w:b w:val="false"/>
                <w:lang w:val="ru-RU"/>
              </w:rPr>
            </w:pPr>
            <w:r>
              <w:rPr>
                <w:b w:val="false"/>
                <w:sz w:val="24"/>
                <w:szCs w:val="24"/>
                <w:lang w:val="ru-RU"/>
              </w:rPr>
              <w:t>Объект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Нежилое здание Общества, находящееся по адресу: г. Санкт-Петербург, проспект Испытателей, дом 22, литера А.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eastAsia="x-none"/>
              </w:rPr>
              <w:t>ОПР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eastAsia="x-none"/>
              </w:rPr>
              <w:t>Оценка профессиональных рисков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  <w:lang w:val="x-none" w:eastAsia="x-none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  <w:lang w:eastAsia="x-none"/>
              </w:rPr>
              <w:t>Т</w:t>
            </w:r>
            <w:r>
              <w:rPr>
                <w:sz w:val="24"/>
                <w:szCs w:val="24"/>
                <w:lang w:val="x-none" w:eastAsia="x-none"/>
              </w:rPr>
              <w:t>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0"/>
          <w:numId w:val="0"/>
        </w:numPr>
        <w:ind w:left="432" w:right="0" w:hanging="0"/>
        <w:rPr/>
      </w:pPr>
      <w:r>
        <w:rPr/>
        <w:t xml:space="preserve">1.2. </w:t>
      </w:r>
      <w:bookmarkStart w:id="4" w:name="_Toc54643696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keepNext w:val="true"/>
        <w:keepLines/>
        <w:spacing w:lineRule="auto" w:line="276"/>
        <w:jc w:val="left"/>
        <w:rPr/>
      </w:pPr>
      <w:r>
        <w:rPr>
          <w:rFonts w:eastAsia="Calibri"/>
          <w:sz w:val="24"/>
          <w:szCs w:val="24"/>
        </w:rPr>
        <w:t>ОКПД2 71.20.19.130 Оказание услуг по оценке профессиональных рисков на рабочих местах</w:t>
      </w:r>
      <w:r>
        <w:rPr>
          <w:sz w:val="24"/>
          <w:szCs w:val="24"/>
        </w:rPr>
        <w:t xml:space="preserve"> в АО «Ленгидропроект».</w:t>
      </w:r>
    </w:p>
    <w:p>
      <w:pPr>
        <w:pStyle w:val="Heading4"/>
        <w:numPr>
          <w:ilvl w:val="0"/>
          <w:numId w:val="0"/>
        </w:numPr>
        <w:spacing w:before="240" w:after="60"/>
        <w:ind w:left="431" w:right="0" w:hanging="0"/>
        <w:rPr/>
      </w:pPr>
      <w:r>
        <w:rPr/>
        <w:t xml:space="preserve">1.3. </w:t>
      </w:r>
      <w:bookmarkStart w:id="6" w:name="_Toc54643697"/>
      <w:bookmarkStart w:id="7" w:name="_Toc46743507"/>
      <w:r>
        <w:rPr/>
        <w:t xml:space="preserve">Цель </w:t>
      </w:r>
      <w:bookmarkEnd w:id="7"/>
      <w:r>
        <w:rPr>
          <w:lang w:val="ru-RU"/>
        </w:rPr>
        <w:t>оказания услуг</w:t>
      </w:r>
      <w:r>
        <w:rPr/>
        <w:t xml:space="preserve"> 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i/>
          <w:i/>
        </w:rPr>
      </w:pPr>
      <w:r>
        <w:rPr>
          <w:rStyle w:val="Style8"/>
          <w:b w:val="false"/>
          <w:bCs/>
          <w:i w:val="false"/>
          <w:iCs/>
          <w:sz w:val="24"/>
          <w:szCs w:val="24"/>
          <w:shd w:fill="auto" w:val="clear"/>
        </w:rPr>
        <w:t>Целью оказания услуг является выявление вредных и опасных факторов рабочего процесса и оценка уровня их негативного влияния на работника. О</w:t>
      </w:r>
      <w:r>
        <w:rPr>
          <w:rStyle w:val="Style8"/>
          <w:b w:val="false"/>
          <w:bCs/>
          <w:i w:val="false"/>
          <w:iCs/>
          <w:color w:val="000000"/>
          <w:sz w:val="24"/>
          <w:szCs w:val="24"/>
          <w:shd w:fill="auto" w:val="clear"/>
        </w:rPr>
        <w:t xml:space="preserve">существление мероприятий по приведению условий труда на рабочих местах в соответствие с государственными нормативными требованиями охраны труда. </w:t>
      </w:r>
      <w:r>
        <w:rPr>
          <w:rStyle w:val="Style8"/>
          <w:b w:val="false"/>
          <w:bCs/>
          <w:i w:val="false"/>
          <w:iCs/>
          <w:sz w:val="24"/>
          <w:szCs w:val="24"/>
          <w:shd w:fill="auto" w:val="clear"/>
        </w:rPr>
        <w:t xml:space="preserve"> Определение уровня профессиональных рисков на рабочих местах.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b w:val="false"/>
          <w:sz w:val="24"/>
          <w:szCs w:val="24"/>
          <w:lang w:val="ru-RU"/>
        </w:rPr>
      </w:pPr>
      <w:bookmarkStart w:id="8" w:name="_Toc54643699"/>
      <w:r>
        <w:rPr>
          <w:b w:val="false"/>
          <w:sz w:val="24"/>
          <w:szCs w:val="24"/>
        </w:rPr>
        <w:t>Таблица 1</w:t>
      </w:r>
      <w:r>
        <w:rPr>
          <w:b w:val="false"/>
          <w:sz w:val="24"/>
          <w:szCs w:val="24"/>
          <w:lang w:val="ru-RU"/>
        </w:rPr>
        <w:t>.</w:t>
      </w:r>
      <w:r>
        <w:rPr>
          <w:b w:val="false"/>
          <w:sz w:val="24"/>
          <w:szCs w:val="24"/>
        </w:rPr>
        <w:t xml:space="preserve"> </w:t>
      </w:r>
      <w:r>
        <w:rPr>
          <w:b w:val="false"/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709"/>
        <w:gridCol w:w="6392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360" w:right="0" w:hanging="360"/>
              <w:rPr/>
            </w:pPr>
            <w:r>
              <w:rPr/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Нежилое здание Общества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(инв. № 000000146)</w:t>
            </w:r>
          </w:p>
        </w:tc>
        <w:tc>
          <w:tcPr>
            <w:tcW w:w="6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08"/>
                <w:tab w:val="left" w:pos="567" w:leader="none"/>
              </w:tabs>
              <w:spacing w:before="0" w:after="12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АО «Ленгидропроект», 197349,  г. Санкт-Петербург,</w:t>
            </w:r>
          </w:p>
          <w:p>
            <w:pPr>
              <w:pStyle w:val="BodyText"/>
              <w:widowControl w:val="false"/>
              <w:tabs>
                <w:tab w:val="clear" w:pos="708"/>
                <w:tab w:val="left" w:pos="567" w:leader="none"/>
              </w:tabs>
              <w:spacing w:before="0" w:after="12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пр. Испытателей, д.22, лит. А</w:t>
            </w:r>
          </w:p>
        </w:tc>
      </w:tr>
    </w:tbl>
    <w:p>
      <w:pPr>
        <w:pStyle w:val="Heading1"/>
        <w:keepLines/>
        <w:numPr>
          <w:ilvl w:val="0"/>
          <w:numId w:val="0"/>
        </w:numPr>
        <w:ind w:left="357" w:right="0" w:hanging="0"/>
        <w:jc w:val="center"/>
        <w:rPr>
          <w:iCs/>
          <w:caps/>
          <w:sz w:val="24"/>
          <w:szCs w:val="24"/>
          <w:lang w:val="ru-RU"/>
        </w:rPr>
      </w:pPr>
      <w:bookmarkStart w:id="9" w:name="_Toc50125126"/>
      <w:bookmarkEnd w:id="9"/>
      <w:r>
        <w:rPr>
          <w:iCs/>
          <w:sz w:val="24"/>
          <w:szCs w:val="24"/>
          <w:lang w:val="ru-RU"/>
        </w:rPr>
        <w:t xml:space="preserve">2. </w:t>
      </w:r>
      <w:bookmarkStart w:id="10" w:name="_Toc54643702"/>
      <w:bookmarkStart w:id="11" w:name="_Toc51339693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0"/>
      <w:bookmarkEnd w:id="11"/>
    </w:p>
    <w:p>
      <w:pPr>
        <w:pStyle w:val="Heading4"/>
        <w:numPr>
          <w:ilvl w:val="0"/>
          <w:numId w:val="0"/>
        </w:numPr>
        <w:ind w:left="432" w:right="0" w:hanging="0"/>
        <w:rPr/>
      </w:pPr>
      <w:r>
        <w:rPr/>
        <w:t xml:space="preserve">2.1. </w:t>
      </w:r>
      <w:bookmarkStart w:id="1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2"/>
    </w:p>
    <w:p>
      <w:pPr>
        <w:pStyle w:val="Heading3"/>
        <w:numPr>
          <w:ilvl w:val="0"/>
          <w:numId w:val="0"/>
        </w:numPr>
        <w:ind w:left="1224" w:hanging="0"/>
        <w:rPr>
          <w:lang w:val="ru-RU"/>
        </w:rPr>
      </w:pPr>
      <w:r>
        <w:rPr>
          <w:lang w:val="ru-RU"/>
        </w:rPr>
        <w:t xml:space="preserve">2.1.1. </w:t>
      </w:r>
      <w:bookmarkStart w:id="13" w:name="_Toc54643704"/>
      <w:r>
        <w:rPr>
          <w:lang w:val="ru-RU"/>
        </w:rPr>
        <w:t>Требования к перечню и объему услуг</w:t>
      </w:r>
      <w:bookmarkEnd w:id="1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b w:val="false"/>
          <w:bCs w:val="false"/>
        </w:rPr>
      </w:pPr>
      <w:bookmarkStart w:id="14" w:name="_Toc54643705"/>
      <w:bookmarkStart w:id="15" w:name="_Toc51339695"/>
      <w:r>
        <w:rPr>
          <w:b w:val="false"/>
          <w:bCs w:val="false"/>
          <w:sz w:val="24"/>
          <w:szCs w:val="24"/>
        </w:rPr>
        <w:t xml:space="preserve">Таблица </w:t>
      </w:r>
      <w:r>
        <w:rPr>
          <w:b w:val="false"/>
          <w:bCs w:val="false"/>
          <w:sz w:val="24"/>
          <w:szCs w:val="24"/>
          <w:lang w:val="ru-RU"/>
        </w:rPr>
        <w:t>2.</w:t>
      </w:r>
      <w:r>
        <w:rPr>
          <w:b w:val="false"/>
          <w:bCs w:val="false"/>
          <w:sz w:val="24"/>
          <w:szCs w:val="24"/>
        </w:rPr>
        <w:t xml:space="preserve"> </w:t>
      </w:r>
      <w:r>
        <w:rPr>
          <w:b w:val="false"/>
          <w:bCs w:val="false"/>
          <w:sz w:val="24"/>
          <w:szCs w:val="24"/>
          <w:lang w:val="ru-RU"/>
        </w:rPr>
        <w:t xml:space="preserve">Перечень </w:t>
      </w:r>
      <w:bookmarkEnd w:id="15"/>
      <w:r>
        <w:rPr>
          <w:b w:val="false"/>
          <w:bCs w:val="false"/>
          <w:sz w:val="24"/>
          <w:szCs w:val="24"/>
          <w:lang w:val="ru-RU"/>
        </w:rPr>
        <w:t>и объем оказываемых услуг</w:t>
      </w:r>
      <w:bookmarkEnd w:id="14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4856"/>
        <w:gridCol w:w="1997"/>
        <w:gridCol w:w="2116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360" w:right="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8"/>
                <w:b w:val="false"/>
                <w:i w:val="false"/>
                <w:sz w:val="24"/>
                <w:szCs w:val="20"/>
                <w:shd w:fill="auto" w:val="clear"/>
              </w:rPr>
              <w:t>Проведение оценки профессиональных рисков на рабочих местах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Style w:val="Style8"/>
                <w:b w:val="false"/>
                <w:i w:val="false"/>
                <w:sz w:val="24"/>
                <w:szCs w:val="20"/>
                <w:shd w:fill="auto" w:val="clear"/>
              </w:rPr>
              <w:t>АО “Ленгидропроект”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Рабочее место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470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0"/>
          <w:numId w:val="0"/>
        </w:numPr>
        <w:ind w:left="1224" w:hanging="0"/>
        <w:rPr>
          <w:lang w:val="ru-RU"/>
        </w:rPr>
      </w:pPr>
      <w:r>
        <w:rPr>
          <w:lang w:val="ru-RU"/>
        </w:rPr>
        <w:t xml:space="preserve">2.1.2. </w:t>
      </w:r>
      <w:bookmarkStart w:id="16" w:name="_Toc51339696"/>
      <w:bookmarkStart w:id="17" w:name="_Toc54643706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оказания услуг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b w:val="false"/>
          <w:bCs w:val="false"/>
        </w:rPr>
      </w:pPr>
      <w:bookmarkStart w:id="18" w:name="_Toc54643707"/>
      <w:bookmarkStart w:id="19" w:name="_Toc51339697"/>
      <w:bookmarkStart w:id="20" w:name="_Toc50125127"/>
      <w:bookmarkStart w:id="21" w:name="_Toc50125126_Копия_1"/>
      <w:bookmarkEnd w:id="21"/>
      <w:r>
        <w:rPr>
          <w:b w:val="false"/>
          <w:bCs w:val="false"/>
          <w:sz w:val="24"/>
          <w:szCs w:val="24"/>
        </w:rPr>
        <w:t xml:space="preserve">Таблица </w:t>
      </w:r>
      <w:r>
        <w:rPr>
          <w:b w:val="false"/>
          <w:bCs w:val="false"/>
          <w:sz w:val="24"/>
          <w:szCs w:val="24"/>
          <w:lang w:val="ru-RU"/>
        </w:rPr>
        <w:t>3</w:t>
      </w:r>
      <w:r>
        <w:rPr>
          <w:b w:val="false"/>
          <w:bCs w:val="false"/>
          <w:sz w:val="24"/>
          <w:szCs w:val="24"/>
        </w:rPr>
        <w:t xml:space="preserve">. </w:t>
      </w:r>
      <w:bookmarkStart w:id="22" w:name="_Hlk50465284"/>
      <w:r>
        <w:rPr>
          <w:b w:val="false"/>
          <w:bCs w:val="false"/>
          <w:sz w:val="24"/>
          <w:szCs w:val="24"/>
        </w:rPr>
        <w:t xml:space="preserve">Требования </w:t>
      </w:r>
      <w:r>
        <w:rPr>
          <w:b w:val="false"/>
          <w:bCs w:val="false"/>
          <w:sz w:val="24"/>
          <w:szCs w:val="24"/>
          <w:lang w:val="ru-RU"/>
        </w:rPr>
        <w:t>к</w:t>
      </w:r>
      <w:r>
        <w:rPr>
          <w:b w:val="false"/>
          <w:bCs w:val="false"/>
          <w:sz w:val="24"/>
          <w:szCs w:val="24"/>
        </w:rPr>
        <w:t xml:space="preserve"> срокам </w:t>
      </w:r>
      <w:bookmarkEnd w:id="19"/>
      <w:bookmarkEnd w:id="20"/>
      <w:bookmarkEnd w:id="22"/>
      <w:r>
        <w:rPr>
          <w:b w:val="false"/>
          <w:bCs w:val="false"/>
          <w:sz w:val="24"/>
          <w:szCs w:val="24"/>
          <w:lang w:val="ru-RU"/>
        </w:rPr>
        <w:t>оказания услуг</w:t>
      </w:r>
      <w:bookmarkEnd w:id="18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3916"/>
        <w:gridCol w:w="2601"/>
        <w:gridCol w:w="2592"/>
      </w:tblGrid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360" w:right="0" w:hanging="360"/>
              <w:rPr/>
            </w:pPr>
            <w:r>
              <w:rPr/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 71.20.19.130 Оказание услуг по оценке профессиональных рисков</w:t>
            </w:r>
            <w:r>
              <w:rPr>
                <w:sz w:val="24"/>
                <w:szCs w:val="24"/>
              </w:rPr>
              <w:t xml:space="preserve"> в АО «Ленгидропроект»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30 рабочих дней с начала выполнения работ.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  <w:numId w:val="0"/>
        </w:numPr>
        <w:ind w:left="432" w:right="0" w:hanging="0"/>
        <w:rPr/>
      </w:pPr>
      <w:r>
        <w:rPr/>
        <w:t xml:space="preserve">2.2. </w:t>
      </w:r>
      <w:bookmarkStart w:id="23" w:name="_Toc54643708"/>
      <w:bookmarkStart w:id="24" w:name="_Toc46743511"/>
      <w:bookmarkStart w:id="25" w:name="_Toc51339698"/>
      <w:bookmarkStart w:id="26" w:name="_Toc54643709"/>
      <w:r>
        <w:rPr/>
        <w:t xml:space="preserve">Требования к </w:t>
      </w:r>
      <w:bookmarkEnd w:id="24"/>
      <w:r>
        <w:rPr>
          <w:lang w:val="ru-RU"/>
        </w:rPr>
        <w:t xml:space="preserve">качеству </w:t>
      </w:r>
      <w:bookmarkEnd w:id="23"/>
      <w:r>
        <w:rPr>
          <w:lang w:val="ru-RU"/>
        </w:rPr>
        <w:t>услуг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5"/>
      <w:r>
        <w:rPr>
          <w:sz w:val="24"/>
          <w:szCs w:val="24"/>
          <w:lang w:val="ru-RU"/>
        </w:rPr>
        <w:t xml:space="preserve">качеству </w:t>
      </w:r>
      <w:bookmarkEnd w:id="26"/>
      <w:r>
        <w:rPr>
          <w:sz w:val="24"/>
          <w:szCs w:val="24"/>
          <w:lang w:val="ru-RU"/>
        </w:rPr>
        <w:t>услуг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</w:t>
      </w:r>
      <w:r>
        <w:rPr>
          <w:rFonts w:eastAsia="Calibri"/>
          <w:sz w:val="24"/>
          <w:szCs w:val="24"/>
        </w:rPr>
        <w:t>ОКПД2 71.20.19.130 Оказание услуг по оценке профессиональных рисков</w:t>
      </w:r>
      <w:r>
        <w:rPr>
          <w:sz w:val="24"/>
          <w:szCs w:val="24"/>
        </w:rPr>
        <w:t xml:space="preserve"> в АО «Ленгидропроект»</w:t>
      </w: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W w:w="15033" w:type="dxa"/>
        <w:jc w:val="left"/>
        <w:tblInd w:w="1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900"/>
        <w:gridCol w:w="33"/>
        <w:gridCol w:w="7199"/>
        <w:gridCol w:w="2401"/>
        <w:gridCol w:w="2583"/>
      </w:tblGrid>
      <w:tr>
        <w:trPr/>
        <w:tc>
          <w:tcPr>
            <w:tcW w:w="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b w:val="false"/>
                <w:bCs w:val="false"/>
                <w:sz w:val="24"/>
                <w:szCs w:val="24"/>
              </w:rPr>
              <w:t>п/п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Наименование параметра</w:t>
            </w:r>
          </w:p>
        </w:tc>
        <w:tc>
          <w:tcPr>
            <w:tcW w:w="7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Требование заказчика</w:t>
            </w:r>
          </w:p>
        </w:tc>
        <w:tc>
          <w:tcPr>
            <w:tcW w:w="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3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71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jc w:val="center"/>
              <w:rPr/>
            </w:pPr>
            <w:bookmarkStart w:id="27" w:name="_Toc53499667"/>
            <w:bookmarkEnd w:id="27"/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</w:tabs>
              <w:spacing w:before="60" w:after="60"/>
              <w:ind w:left="0" w:right="0" w:hanging="36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60"/>
              <w:rPr>
                <w:rFonts w:ascii="Times New Roman" w:hAnsi="Times New Roman" w:eastAsia="Times New Roman"/>
                <w:b w:val="false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b w:val="false"/>
                <w:sz w:val="24"/>
                <w:szCs w:val="24"/>
                <w:lang w:val="ru-RU" w:eastAsia="ru-RU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Предоставление ответа на запрос ТКП по форме Приложения № 1 к настоящим техническим требованиям.</w:t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5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60" w:after="6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8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57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Состав (перечень) оказываемых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b/>
                <w:i/>
                <w:i/>
                <w:sz w:val="24"/>
                <w:szCs w:val="24"/>
              </w:rPr>
            </w:pPr>
            <w:bookmarkStart w:id="28" w:name="_Toc126141403"/>
            <w:bookmarkEnd w:id="28"/>
            <w:r>
              <w:rPr>
                <w:sz w:val="20"/>
                <w:szCs w:val="20"/>
              </w:rPr>
              <w:t>В соответствии с Таблицей 2 ТТ «Перечень и объем оказываемых услуг».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68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Требования к оказанию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 xml:space="preserve">Услуги оказываются в помещениях здания Общества по адресу Санкт-Петербург, пр. Испытателей, д. 22, </w:t>
            </w:r>
            <w:r>
              <w:rPr>
                <w:kern w:val="0"/>
                <w:sz w:val="20"/>
                <w:szCs w:val="20"/>
              </w:rPr>
              <w:t>литера А</w:t>
            </w:r>
            <w:r>
              <w:rPr>
                <w:kern w:val="0"/>
                <w:sz w:val="20"/>
                <w:szCs w:val="20"/>
              </w:rPr>
              <w:t>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2857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1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sz w:val="22"/>
                <w:szCs w:val="22"/>
              </w:rPr>
              <w:t>Особые требования к оказанию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70" w:leader="none"/>
              </w:tabs>
              <w:ind w:left="-14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-Исполнитель оказывает услуги в строго согласованные с Заказчиком сроки, качество оказываемых услуг должно удовлетворять ТТ Заказчика.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70" w:leader="none"/>
              </w:tabs>
              <w:ind w:left="-14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-Услуги и материалы, явно неуказанные в настоящих ТТ, но объективно или технологически необходимые для полного («под ключ») и качественного исполнения договора оказываются и поставляются Исполнителем без дополнительной оплаты и подразумеваются включёнными в цену договора.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70" w:leader="none"/>
              </w:tabs>
              <w:ind w:left="-14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- Наличие у Исполнителя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 </w:t>
            </w:r>
            <w:r>
              <w:rPr>
                <w:color w:val="000000"/>
                <w:kern w:val="0"/>
                <w:sz w:val="20"/>
                <w:szCs w:val="20"/>
                <w:shd w:fill="FFFFFF" w:val="clear"/>
              </w:rPr>
              <w:t>законодательством</w:t>
            </w:r>
            <w:r>
              <w:rPr>
                <w:color w:val="000000"/>
                <w:kern w:val="0"/>
                <w:sz w:val="20"/>
                <w:szCs w:val="20"/>
              </w:rPr>
              <w:t> 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70" w:leader="none"/>
              </w:tabs>
              <w:ind w:left="-14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- Наличие у Исполнителя не менее трёх экспертов, работающих по трудовому договору, имеющих высшее или среднее профессиональное образование и дополнительное профессиональное образование — программы повышения квалификации в сфере оценки профессиональных рисков не реже одного раза в три года, прошедших аттестацию на право выполнения работ по оценке профессиональных рисков (имеются удостоверения о повышении квалификации установленного образца), в том числе имеющих стаж в сфере охраны труда или риск-менеджмента не менее 3 лет.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b/>
                <w:sz w:val="20"/>
                <w:szCs w:val="20"/>
                <w:lang w:val="x-none"/>
              </w:rPr>
            </w:pPr>
            <w:r>
              <w:rPr>
                <w:b/>
                <w:sz w:val="20"/>
                <w:szCs w:val="20"/>
                <w:lang w:val="x-none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57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Способ оказания услуг</w:t>
            </w:r>
          </w:p>
        </w:tc>
        <w:tc>
          <w:tcPr>
            <w:tcW w:w="7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hd w:fill="FFFFFF"/>
              <w:tabs>
                <w:tab w:val="clear" w:pos="708"/>
                <w:tab w:val="left" w:pos="142" w:leader="none"/>
                <w:tab w:val="left" w:pos="567" w:leader="none"/>
              </w:tabs>
              <w:ind w:left="0" w:right="0" w:hanging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слуги должны выполняться квалифицированными сотрудниками, прошедшими предварительный инструктаж по охране труда и технике безопасности.</w:t>
            </w:r>
          </w:p>
          <w:p>
            <w:pPr>
              <w:pStyle w:val="ListParagraph"/>
              <w:widowControl w:val="false"/>
              <w:shd w:fill="FFFFFF"/>
              <w:tabs>
                <w:tab w:val="clear" w:pos="708"/>
                <w:tab w:val="left" w:pos="142" w:leader="none"/>
                <w:tab w:val="left" w:pos="567" w:leader="none"/>
              </w:tabs>
              <w:ind w:left="0" w:right="0" w:hanging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комплекс услуг по ОПР включает в себя обязательный выезд специалиста на площадку Заказчика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специалисты Исполнителя обязаны применять в работе актуальные нормативно-правовые акты (ТК РФ, приказы Минтруда, например № 796 от 28.12.2021 «Об утверждении Рекомендаций по выбору методов оценки уровней профессиональных рисков») и современные методики (матричный метод, анализ, метод чек-листов и др.).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57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6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iCs/>
                <w:sz w:val="20"/>
                <w:szCs w:val="20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- Услуги, осуществляемые на территории Заказчика, оказываются в рабочее время, установленное для АО «Ленгидропроект»: понедельник-четверг с 8 ч. 30 мин. до 17 ч. 15 мин, пятница с 8 ч.30 мин. до 16 ч. 00 мин, в соответствии с внутриобъектовым режимом.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978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- До начала </w:t>
            </w:r>
            <w:r>
              <w:rPr>
                <w:sz w:val="20"/>
                <w:szCs w:val="20"/>
              </w:rPr>
              <w:t xml:space="preserve">оказания </w:t>
            </w:r>
            <w:r>
              <w:rPr>
                <w:sz w:val="20"/>
                <w:szCs w:val="20"/>
              </w:rPr>
              <w:t>услуг, для оформления пропусков на территорию Заказчика, Исполнитель должен представить Заказчику список персонала, который будет задействован на объекте, с указанием фамилии, имени, отчества и паспортных данных каждого работника.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Все лица со стороны Исполнителя, привлекаемые к оказанию услуг, должны иметь при себе паспорт или иной документ, удостоверяющий личность гражданина Российской Федерации, при отсутствии гражданства Российской Федерации должны иметь документ, разрешающий трудовую деятельность в Российской Федерации на период исполнения договора.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Сотрудники Исполнителя, являющиеся иностранными гражданами, должны иметь документы, согласно требованиям Федерального закона от 25.07.2002 № 115-ФЗ «О правовом положении иностранных граждан в Российской Федерации».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1723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iCs/>
                <w:sz w:val="20"/>
                <w:szCs w:val="20"/>
              </w:rPr>
              <w:t>Иные организационно-технические требования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- Исполнитель обеспечива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 возможность контроля и надзора за ходом оказания услуг, качеством используемых материалов и оборудования, в том числе беспрепятственно допускать представителей Заказчика к месту оказания услуг, предоставлять по их требованию устные отчеты о ходе оказания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Качество оказываемых услуг, применяемого метода и оборудования должно удовлетворять требованиям действующего законодательства РФ, с учетом всех изменений и дополнений.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Требования к безопасности оказываемых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Исполнитель должен оказывать услуги с соблюдением требований пожарной безопасности, требований охраны труда и применении специальных повышенных мер безопасности работ в условиях действующего учреждения, требований охраны окружающей среды и санитарно-гигиенического режима на территории, где оказываются услуги;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Всю ответственность за соблюдением норм и требований по охране труда и пожарной безопасности несет Исполнитель;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Исполнитель должен обеспечить безопасность жизни, здоровья своих работников, работников Заказчика и третьих лиц, а также сохранность имущества Заказчика.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При наступлении несчастного случая с работниками Исполнителя, произошедшими по их вине в период оказания услуг по договору, таковые случаи расследовать в порядке, предусмотренном ст. 36.1 Трудового кодекса РФ и Приказом Минтруда России от 20.04.2022 №223н, с привлечением уполномоченных органов.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sz w:val="20"/>
                <w:szCs w:val="20"/>
              </w:rPr>
              <w:t>Исполнитель несет ответственность: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за несчастные случаи происшедшие с обслуживающим персоналом Исполнителя в ходе оказания услуг, если эти случаи явились следствием невыполнения последним требований, предусмотренных нормативными документами;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8" w:leader="none"/>
              </w:tabs>
              <w:spacing w:before="60" w:after="0"/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за повреждения имущества Заказчика, возникшие в ходе оказания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sz w:val="20"/>
                <w:szCs w:val="20"/>
              </w:rPr>
              <w:t>До начала оказания услуг Исполнитель обязан согласовать с Заказчиком порядок предоставления услуг.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ind w:left="0" w:right="0" w:hanging="0"/>
              <w:jc w:val="both"/>
              <w:rPr/>
            </w:pPr>
            <w:r>
              <w:rPr>
                <w:sz w:val="20"/>
                <w:szCs w:val="20"/>
              </w:rPr>
              <w:t>- Ущерб, нанесенный по вине Исполнителя имуществу Заказчика при оказании услуг по Договору, Исполнитель возмещает за свой счет и несет ответственность в соответствии с законодательством Российской Федерации.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ind w:left="0" w:right="0" w:hanging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- Услуги должны оказываться Исполнителем без нарушения режима работы сотрудников Общества.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1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61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1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Требования к оборудованию и материалам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Инвентарь, технологическое оборудование и материалы, подлежащие обязательной сертификации, должны иметь сертификат соответствия.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hanging="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Исполнитель максимально экономно использует электроэнергию, воду и другие ресурсы, предоставляемые ему Заказчиком.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1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lang w:val="ru-RU"/>
              </w:rPr>
            </w:pPr>
            <w:r>
              <w:rPr>
                <w:b w:val="false"/>
                <w:lang w:val="ru-RU"/>
              </w:rPr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1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320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7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Результат оказания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tabs>
                <w:tab w:val="clear" w:pos="708"/>
              </w:tabs>
              <w:spacing w:lineRule="auto" w:line="240"/>
              <w:ind w:right="0" w:hanging="0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Отчет о проведении оценки профессиональных рисков предоставляется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З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аказчику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на электронном носителе в редактируемом формате и pdf (диск) 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посредством отправки файлов по электронной почте,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 также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бумажном носителе в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 экземпляре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</w:tr>
      <w:tr>
        <w:trPr>
          <w:trHeight w:val="606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794" w:right="0" w:hanging="624"/>
              <w:contextualSpacing/>
              <w:jc w:val="center"/>
              <w:rPr/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867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170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Порядок приемки оказанных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mrcssattr"/>
              <w:widowControl w:val="false"/>
              <w:tabs>
                <w:tab w:val="clear" w:pos="708"/>
              </w:tabs>
              <w:spacing w:beforeAutospacing="1" w:afterAutospacing="1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kern w:val="0"/>
                <w:sz w:val="20"/>
                <w:szCs w:val="20"/>
              </w:rPr>
              <w:t xml:space="preserve">Исполнитель предоставляет Заказчику </w:t>
            </w:r>
            <w:r>
              <w:rPr>
                <w:kern w:val="0"/>
                <w:sz w:val="20"/>
                <w:szCs w:val="20"/>
              </w:rPr>
              <w:t xml:space="preserve">отчет </w:t>
            </w:r>
            <w:r>
              <w:rPr>
                <w:kern w:val="0"/>
                <w:sz w:val="20"/>
                <w:szCs w:val="20"/>
              </w:rPr>
              <w:t>ОПР на проверку и согласование до его подписания со стороны Исполнителя. Заказчик проверяет отчет ОПР на достоверность и при отсутствии замечаний принимает отчет ОПР.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227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4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3566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before="60" w:after="60"/>
              <w:ind w:left="0" w:right="0" w:hanging="0"/>
              <w:contextualSpacing/>
              <w:jc w:val="center"/>
              <w:rPr/>
            </w:pPr>
            <w:r>
              <w:rPr/>
              <w:t>3.1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Соответствие стандартам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Исполнитель</w:t>
            </w:r>
            <w:r>
              <w:rPr>
                <w:b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>обязан при оказании услуг по Договору руководствоваться требованиями: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>- Приказа Минтруда России от 28.12.2021 №926 «Об утверждении Рекомендаций по выбору методов оценки уровней профессиональных рисков и по снижению уровней таких рисков».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Приказа Минтруда России от 31.01.2022 №36 «Об утверждении Рекомендаций по классификации, обнаружению, распознаванию и описанию опасностей».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Приказа Минтруда России от 29.10.2021 №776н «Об утверждении Примерного положения о системе управления охраной труда»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ГОСТ Р 12.0.010-2009 «Система стандартов безопасности труда. Системы управления охраной труда. Определение опасностей и оценка рисков»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ГОСТ Р 51901.23-2012 «Менеджмент риска. Реестр риска. Руководство по оценке риска опасных событий для включения в реестр риска».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Типового положения о системе управления охраной труда (приказ Минтруда России от 19.08.2016 № 438н).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Исполнитель своевременно информирует Заказчика о введении новых норм и правил, инструкций, связанных с оказанием услуг.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0" w:right="0" w:firstLine="283"/>
              <w:contextualSpacing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20" w:after="0"/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462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before="60" w:after="60"/>
              <w:ind w:left="0" w:right="0" w:hanging="0"/>
              <w:contextualSpacing/>
              <w:jc w:val="center"/>
              <w:rPr/>
            </w:pPr>
            <w:r>
              <w:rPr/>
              <w:t>4.1.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Требования к ответственности и гарантиям исполнителя при оказании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Ущерб, нанесенный по вине Исполнителя имуществу Заказчика при оказании услуг по Договору, Исполнитель возмещает за свой счет и несет ответственность в соответствии с законодательством Российской Федерации. Исполнитель возмещает ущерб в соответствии с условиями Договора.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62" w:hRule="atLeast"/>
        </w:trPr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-283" w:right="0" w:firstLine="170"/>
              <w:contextualSpacing/>
              <w:jc w:val="center"/>
              <w:rPr/>
            </w:pPr>
            <w:r>
              <w:rPr>
                <w:b/>
                <w:bCs/>
              </w:rPr>
              <w:t>5.</w:t>
            </w:r>
          </w:p>
        </w:tc>
        <w:tc>
          <w:tcPr>
            <w:tcW w:w="91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</w:tabs>
              <w:spacing w:before="60" w:after="6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Требования к исполнителю и его обязательствам, влияющим на исполнение договора</w:t>
            </w:r>
          </w:p>
        </w:tc>
        <w:tc>
          <w:tcPr>
            <w:tcW w:w="24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62" w:hRule="atLeast"/>
        </w:trPr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before="60" w:after="60"/>
              <w:ind w:left="0" w:right="0" w:hanging="0"/>
              <w:contextualSpacing/>
              <w:jc w:val="center"/>
              <w:rPr/>
            </w:pPr>
            <w:r>
              <w:rPr/>
              <w:t>5.1.‍</w:t>
            </w:r>
          </w:p>
        </w:tc>
        <w:tc>
          <w:tcPr>
            <w:tcW w:w="19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60" w:after="60"/>
              <w:jc w:val="left"/>
              <w:rPr>
                <w:lang w:val="ru-RU"/>
              </w:rPr>
            </w:pPr>
            <w:r>
              <w:rPr>
                <w:b w:val="false"/>
                <w:sz w:val="20"/>
                <w:szCs w:val="20"/>
                <w:lang w:val="ru-RU"/>
              </w:rPr>
              <w:t>Требования к исполнителю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1418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Исполнитель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  <w:tab w:val="left" w:pos="1418" w:leader="none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kern w:val="0"/>
                <w:sz w:val="20"/>
                <w:szCs w:val="20"/>
              </w:rPr>
              <w:t>- при проведении работы по оценке профессиональных рисков соответствовать требованиям, указанным в приказе Министерства труда и социальной защиты Российской Федерации от 28 декабря 2021 г. N 926.</w:t>
            </w:r>
          </w:p>
        </w:tc>
        <w:tc>
          <w:tcPr>
            <w:tcW w:w="24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62" w:hRule="atLeast"/>
        </w:trPr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before="60" w:after="60"/>
              <w:ind w:left="0" w:right="0" w:hanging="0"/>
              <w:contextualSpacing/>
              <w:jc w:val="center"/>
              <w:rPr/>
            </w:pPr>
            <w:r>
              <w:rPr/>
              <w:t>5.2.</w:t>
            </w:r>
          </w:p>
        </w:tc>
        <w:tc>
          <w:tcPr>
            <w:tcW w:w="193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60" w:after="60"/>
              <w:jc w:val="left"/>
              <w:rPr>
                <w:b/>
                <w:i/>
                <w:i/>
                <w:sz w:val="24"/>
                <w:szCs w:val="24"/>
              </w:rPr>
            </w:pPr>
            <w:r>
              <w:rPr>
                <w:b w:val="false"/>
                <w:sz w:val="20"/>
                <w:szCs w:val="20"/>
              </w:rPr>
              <w:t>Привлечение сои</w:t>
            </w:r>
            <w:r>
              <w:rPr>
                <w:b w:val="false"/>
                <w:sz w:val="20"/>
                <w:szCs w:val="20"/>
                <w:lang w:val="ru-RU"/>
              </w:rPr>
              <w:t>сполнителей</w:t>
            </w:r>
          </w:p>
        </w:tc>
        <w:tc>
          <w:tcPr>
            <w:tcW w:w="7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jc w:val="both"/>
              <w:rPr>
                <w:b/>
                <w:i/>
                <w:i/>
                <w:sz w:val="24"/>
                <w:szCs w:val="24"/>
              </w:rPr>
            </w:pPr>
            <w:r>
              <w:rPr>
                <w:sz w:val="20"/>
                <w:szCs w:val="20"/>
              </w:rPr>
              <w:t>Привлечение соисполнителей для оказания услуг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возможно в части </w:t>
            </w:r>
            <w:r>
              <w:rPr>
                <w:sz w:val="20"/>
                <w:szCs w:val="20"/>
              </w:rPr>
              <w:t>привлечения лаборатории/испытательного центра</w:t>
            </w:r>
          </w:p>
        </w:tc>
        <w:tc>
          <w:tcPr>
            <w:tcW w:w="24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8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uppressAutoHyphens w:val="true"/>
              <w:overflowPunct w:val="false"/>
              <w:bidi w:val="0"/>
              <w:spacing w:before="60" w:after="60"/>
              <w:ind w:left="340" w:right="0" w:hanging="454"/>
              <w:contextualSpacing/>
              <w:jc w:val="center"/>
              <w:rPr/>
            </w:pPr>
            <w:r>
              <w:rPr>
                <w:b/>
                <w:bCs/>
              </w:rPr>
              <w:t>6.</w:t>
            </w:r>
          </w:p>
        </w:tc>
        <w:tc>
          <w:tcPr>
            <w:tcW w:w="9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60" w:after="60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732" w:hRule="atLeast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before="60" w:after="60"/>
              <w:ind w:left="-117" w:right="0" w:hanging="0"/>
              <w:contextualSpacing/>
              <w:jc w:val="center"/>
              <w:rPr/>
            </w:pPr>
            <w:r>
              <w:rPr/>
              <w:t>6.1.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lang w:val="ru-RU"/>
              </w:rPr>
            </w:pPr>
            <w:bookmarkStart w:id="29" w:name="_Toc124258302"/>
            <w:bookmarkStart w:id="30" w:name="_Toc198568716"/>
            <w:bookmarkEnd w:id="29"/>
            <w:bookmarkEnd w:id="30"/>
            <w:r>
              <w:rPr>
                <w:rFonts w:eastAsia="Times New Roman"/>
                <w:b w:val="false"/>
                <w:iCs/>
                <w:sz w:val="20"/>
                <w:szCs w:val="20"/>
                <w:lang w:val="ru-RU" w:eastAsia="ru-RU"/>
              </w:rPr>
              <w:t>Условия оплаты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both"/>
              <w:rPr>
                <w:rFonts w:ascii="Times New Roman" w:hAnsi="Times New Roman"/>
                <w:lang w:val="ru-RU"/>
              </w:rPr>
            </w:pPr>
            <w:bookmarkStart w:id="31" w:name="_Toc198568717"/>
            <w:bookmarkEnd w:id="31"/>
            <w:r>
              <w:rPr>
                <w:rFonts w:eastAsia="Times New Roman"/>
                <w:b w:val="false"/>
                <w:color w:val="000000"/>
                <w:sz w:val="20"/>
                <w:szCs w:val="20"/>
                <w:lang w:val="ru-RU" w:eastAsia="ru-RU"/>
              </w:rPr>
              <w:t>Авансирование не предусмотрено.</w:t>
            </w:r>
          </w:p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both"/>
              <w:rPr>
                <w:lang w:val="ru-RU"/>
              </w:rPr>
            </w:pPr>
            <w:bookmarkStart w:id="32" w:name="__DdeLink__3578_3816554867"/>
            <w:bookmarkEnd w:id="32"/>
            <w:r>
              <w:rPr>
                <w:rFonts w:eastAsia="Times New Roman"/>
                <w:b w:val="false"/>
                <w:color w:val="000000"/>
                <w:sz w:val="20"/>
                <w:szCs w:val="20"/>
                <w:lang w:val="ru-RU" w:eastAsia="ru-RU"/>
              </w:rPr>
              <w:t xml:space="preserve">Оплата за оказанные услуги по Договору, производится </w:t>
            </w:r>
            <w:r>
              <w:rPr>
                <w:rFonts w:eastAsia="Times New Roman" w:cs="Times New Roman"/>
                <w:b w:val="false"/>
                <w:color w:val="000000"/>
                <w:kern w:val="0"/>
                <w:sz w:val="20"/>
                <w:szCs w:val="20"/>
                <w:lang w:val="ru-RU" w:eastAsia="ru-RU" w:bidi="ar-SA"/>
              </w:rPr>
              <w:t>по факту оказания услуг.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before="60" w:after="60"/>
              <w:ind w:left="-100" w:right="0" w:hanging="0"/>
              <w:jc w:val="center"/>
              <w:rPr/>
            </w:pPr>
            <w:r>
              <w:rPr>
                <w:sz w:val="24"/>
                <w:szCs w:val="24"/>
              </w:rPr>
              <w:t>6.2.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60" w:after="60"/>
              <w:jc w:val="left"/>
              <w:rPr>
                <w:b/>
                <w:i/>
                <w:i/>
                <w:sz w:val="24"/>
                <w:szCs w:val="24"/>
              </w:rPr>
            </w:pPr>
            <w:r>
              <w:rPr>
                <w:b w:val="false"/>
                <w:sz w:val="20"/>
                <w:szCs w:val="20"/>
              </w:rPr>
              <w:t xml:space="preserve">Требования по срокам </w:t>
            </w:r>
            <w:r>
              <w:rPr>
                <w:b w:val="false"/>
                <w:sz w:val="20"/>
                <w:szCs w:val="20"/>
                <w:lang w:val="ru-RU"/>
              </w:rPr>
              <w:t>оказания</w:t>
            </w:r>
            <w:r>
              <w:rPr>
                <w:b w:val="false"/>
                <w:sz w:val="20"/>
                <w:szCs w:val="20"/>
              </w:rPr>
              <w:t xml:space="preserve"> услуг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i/>
                <w:i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В соответствии с Таблицей 4 ТТ.</w:t>
            </w:r>
          </w:p>
        </w:tc>
        <w:tc>
          <w:tcPr>
            <w:tcW w:w="2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b w:val="false"/>
                <w:lang w:val="ru-RU"/>
              </w:rPr>
            </w:pPr>
            <w:r>
              <w:rPr>
                <w:b w:val="false"/>
                <w:lang w:val="ru-RU"/>
              </w:rPr>
            </w:r>
          </w:p>
        </w:tc>
        <w:tc>
          <w:tcPr>
            <w:tcW w:w="25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</w:tabs>
              <w:spacing w:before="0" w:after="0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pStyle w:val="Normal"/>
        <w:spacing w:before="0" w:after="0"/>
        <w:rPr>
          <w:rFonts w:eastAsia="Calibri" w:cs="Times New Roman"/>
          <w:b/>
          <w:color w:val="000000"/>
          <w:sz w:val="24"/>
          <w:szCs w:val="24"/>
          <w:lang w:eastAsia="x-none"/>
        </w:rPr>
      </w:pPr>
      <w:r>
        <w:rPr>
          <w:rFonts w:eastAsia="Calibri" w:cs="Times New Roman"/>
          <w:b/>
          <w:color w:val="000000"/>
          <w:sz w:val="24"/>
          <w:szCs w:val="24"/>
          <w:lang w:eastAsia="x-none"/>
        </w:rPr>
      </w:r>
    </w:p>
    <w:p>
      <w:pPr>
        <w:pStyle w:val="Normal"/>
        <w:jc w:val="left"/>
        <w:rPr>
          <w:b/>
          <w:i w:val="false"/>
          <w:i w:val="false"/>
          <w:iCs w:val="false"/>
          <w:sz w:val="28"/>
          <w:szCs w:val="24"/>
        </w:rPr>
      </w:pPr>
      <w:r>
        <w:rPr>
          <w:b/>
          <w:i w:val="false"/>
          <w:iCs w:val="false"/>
          <w:sz w:val="28"/>
          <w:szCs w:val="24"/>
        </w:rPr>
        <w:t>2.2.1. Состав заявки на мониторинг цен:</w:t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left"/>
        <w:rPr>
          <w:b/>
          <w:i w:val="false"/>
          <w:i w:val="false"/>
          <w:iCs w:val="false"/>
          <w:sz w:val="28"/>
          <w:szCs w:val="24"/>
        </w:rPr>
      </w:pPr>
      <w:r>
        <w:rPr>
          <w:i w:val="false"/>
          <w:iCs w:val="false"/>
          <w:sz w:val="28"/>
        </w:rPr>
        <w:tab/>
      </w:r>
      <w:r>
        <w:rPr>
          <w:b w:val="false"/>
          <w:bCs w:val="false"/>
          <w:i w:val="false"/>
          <w:iCs w:val="false"/>
          <w:sz w:val="28"/>
        </w:rPr>
        <w:t xml:space="preserve">В составе заявки на мониторинг цен необходимо представить Технико-коммерческое предложение по форме приложения № 1 к настоящим Техническим требованиям. </w:t>
      </w:r>
    </w:p>
    <w:p>
      <w:pPr>
        <w:pStyle w:val="Standard"/>
        <w:numPr>
          <w:ilvl w:val="0"/>
          <w:numId w:val="0"/>
        </w:numPr>
        <w:tabs>
          <w:tab w:val="clear" w:pos="708"/>
          <w:tab w:val="left" w:pos="0" w:leader="none"/>
          <w:tab w:val="left" w:pos="1560" w:leader="none"/>
        </w:tabs>
        <w:ind w:left="0" w:right="0" w:hanging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Приложение №1 </w:t>
      </w:r>
    </w:p>
    <w:p>
      <w:pPr>
        <w:pStyle w:val="Standard"/>
        <w:numPr>
          <w:ilvl w:val="0"/>
          <w:numId w:val="0"/>
        </w:numPr>
        <w:tabs>
          <w:tab w:val="clear" w:pos="708"/>
          <w:tab w:val="left" w:pos="0" w:leader="none"/>
          <w:tab w:val="left" w:pos="1560" w:leader="none"/>
        </w:tabs>
        <w:ind w:left="0" w:right="0" w:hanging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к Техническим требованиям</w:t>
      </w:r>
    </w:p>
    <w:p>
      <w:pPr>
        <w:pStyle w:val="Standard"/>
        <w:numPr>
          <w:ilvl w:val="0"/>
          <w:numId w:val="0"/>
        </w:numPr>
        <w:tabs>
          <w:tab w:val="clear" w:pos="708"/>
          <w:tab w:val="left" w:pos="0" w:leader="none"/>
          <w:tab w:val="left" w:pos="1560" w:leader="none"/>
        </w:tabs>
        <w:ind w:left="0" w:right="0" w:hanging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9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1"/>
      </w:tblGrid>
      <w:tr>
        <w:trPr/>
        <w:tc>
          <w:tcPr>
            <w:tcW w:w="992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>
      <w:pPr>
        <w:pStyle w:val="Normal"/>
        <w:tabs>
          <w:tab w:val="clear" w:pos="708"/>
          <w:tab w:val="left" w:pos="5812" w:leader="none"/>
        </w:tabs>
        <w:jc w:val="center"/>
        <w:rPr>
          <w:rFonts w:ascii="Times New Roman" w:hAnsi="Times New Roman"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>
      <w:pPr>
        <w:pStyle w:val="Normal"/>
        <w:jc w:val="center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>
      <w:pPr>
        <w:pStyle w:val="Normal"/>
        <w:jc w:val="center"/>
        <w:rPr>
          <w:rFonts w:ascii="Times New Roman" w:hAnsi="Times New Roman"/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tbl>
      <w:tblPr>
        <w:tblW w:w="35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137"/>
        <w:gridCol w:w="1699"/>
      </w:tblGrid>
      <w:tr>
        <w:trPr/>
        <w:tc>
          <w:tcPr>
            <w:tcW w:w="1810" w:type="dxa"/>
            <w:gridSpan w:val="2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6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3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</w:r>
          </w:p>
        </w:tc>
        <w:tc>
          <w:tcPr>
            <w:tcW w:w="2836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6"/>
        <w:gridCol w:w="264"/>
      </w:tblGrid>
      <w:tr>
        <w:trPr/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left="-105" w:righ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 в рамках настоящего мониторинга «ОКПД</w:t>
            </w:r>
            <w:r>
              <w:rPr>
                <w:bCs/>
                <w:sz w:val="24"/>
                <w:szCs w:val="24"/>
              </w:rPr>
              <w:t xml:space="preserve">2 </w:t>
            </w:r>
            <w:r>
              <w:rPr>
                <w:rFonts w:eastAsia="Calibri"/>
                <w:bCs/>
                <w:sz w:val="24"/>
                <w:szCs w:val="24"/>
              </w:rPr>
              <w:t>71.20.19.130 Оказание услуг по оценке профессиональных рисков на рабочих местах</w:t>
            </w:r>
            <w:r>
              <w:rPr>
                <w:bCs/>
                <w:sz w:val="24"/>
                <w:szCs w:val="24"/>
              </w:rPr>
              <w:t xml:space="preserve"> в АО «Ленгидропроект»</w:t>
            </w:r>
            <w:r>
              <w:rPr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.</w:t>
            </w:r>
          </w:p>
        </w:tc>
      </w:tr>
      <w:tr>
        <w:trPr/>
        <w:tc>
          <w:tcPr>
            <w:tcW w:w="9656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56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656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56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656" w:type="dxa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656" w:type="dxa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4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vertAlign w:val="superscript"/>
        </w:rPr>
        <w:t>(контактные данные номер телефона, e-mail, ФИО контактного лица)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согласен </w:t>
      </w:r>
      <w:r>
        <w:rPr>
          <w:kern w:val="2"/>
          <w:sz w:val="24"/>
          <w:szCs w:val="24"/>
        </w:rPr>
        <w:t>со всеми условиями Технических требований, включая установленные (предложенные Заказчиком) сроки изготовления и поставки Товара, условия оплаты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и сообщаю следующее:</w:t>
      </w:r>
    </w:p>
    <w:p>
      <w:pPr>
        <w:pStyle w:val="Normal"/>
        <w:widowControl/>
        <w:suppressAutoHyphens w:val="true"/>
        <w:bidi w:val="0"/>
        <w:spacing w:before="0" w:after="0"/>
        <w:contextualSpacing/>
        <w:jc w:val="left"/>
        <w:rPr>
          <w:rFonts w:ascii="Times New Roman" w:hAnsi="Times New Roman"/>
          <w:kern w:val="2"/>
          <w:sz w:val="22"/>
          <w:szCs w:val="22"/>
        </w:rPr>
      </w:pPr>
      <w:r>
        <w:rPr>
          <w:kern w:val="2"/>
          <w:sz w:val="22"/>
          <w:szCs w:val="22"/>
        </w:rPr>
      </w:r>
    </w:p>
    <w:p>
      <w:pPr>
        <w:pStyle w:val="Normal"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Сводная таблица стоимости продукции </w:t>
      </w:r>
    </w:p>
    <w:p>
      <w:pPr>
        <w:pStyle w:val="Normal"/>
        <w:shd w:val="clear" w:fill="FFFFFF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4486"/>
        <w:gridCol w:w="1131"/>
        <w:gridCol w:w="796"/>
        <w:gridCol w:w="1237"/>
        <w:gridCol w:w="1437"/>
      </w:tblGrid>
      <w:tr>
        <w:trPr>
          <w:trHeight w:val="1235" w:hRule="atLeast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Наименование услуг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изм-я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 за единицу без учета НДС, руб. коп.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Стоимость без учета НДС, руб. коп.</w:t>
            </w:r>
          </w:p>
        </w:tc>
      </w:tr>
      <w:tr>
        <w:trPr>
          <w:trHeight w:val="149" w:hRule="atLeast"/>
        </w:trPr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221" w:hRule="atLeast"/>
        </w:trPr>
        <w:tc>
          <w:tcPr>
            <w:tcW w:w="99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left="-105" w:right="0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ОКПД2 </w:t>
            </w:r>
            <w:r>
              <w:rPr>
                <w:rFonts w:eastAsia="Calibri"/>
                <w:b/>
                <w:bCs/>
                <w:sz w:val="24"/>
                <w:szCs w:val="24"/>
              </w:rPr>
              <w:t>71.20.19.130 Оказание услуг по оценке профессиональных рисков на рабочих местах</w:t>
            </w:r>
            <w:r>
              <w:rPr>
                <w:b/>
                <w:bCs/>
                <w:sz w:val="24"/>
                <w:szCs w:val="24"/>
              </w:rPr>
              <w:t xml:space="preserve"> в АО «Ленгидропроект»</w:t>
            </w:r>
          </w:p>
        </w:tc>
      </w:tr>
      <w:tr>
        <w:trPr>
          <w:trHeight w:val="404" w:hRule="atLeast"/>
        </w:trPr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left="-105" w:right="0" w:hanging="0"/>
              <w:jc w:val="both"/>
              <w:rPr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4"/>
                <w:szCs w:val="24"/>
              </w:rPr>
              <w:t>ОКПД2 71.20.19.130 Оказание услуг по оценке профессиональных рисков на рабочих местах в АО «Ленгидропроект»</w:t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Style3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шт.</w:t>
            </w:r>
          </w:p>
          <w:p>
            <w:pPr>
              <w:pStyle w:val="Style38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470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72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Итого, без НДС, руб. коп.: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1"/>
      </w:tblGrid>
      <w:tr>
        <w:trPr/>
        <w:tc>
          <w:tcPr>
            <w:tcW w:w="9921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spacing w:before="0" w:after="0"/>
        <w:contextualSpacing/>
        <w:rPr>
          <w:rFonts w:ascii="Times New Roman" w:hAnsi="Times New Roman"/>
          <w:kern w:val="2"/>
          <w:sz w:val="22"/>
          <w:szCs w:val="22"/>
        </w:rPr>
      </w:pPr>
      <w:r>
        <w:rPr>
          <w:kern w:val="2"/>
          <w:sz w:val="22"/>
          <w:szCs w:val="22"/>
        </w:rPr>
      </w:r>
    </w:p>
    <w:tbl>
      <w:tblPr>
        <w:tblW w:w="46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550"/>
      </w:tblGrid>
      <w:tr>
        <w:trPr/>
        <w:tc>
          <w:tcPr>
            <w:tcW w:w="4643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643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>
        <w:trPr/>
        <w:tc>
          <w:tcPr>
            <w:tcW w:w="209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3" w:hRule="atLeast"/>
        </w:trPr>
        <w:tc>
          <w:tcPr>
            <w:tcW w:w="2093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1"/>
      </w:tblGrid>
      <w:tr>
        <w:trPr/>
        <w:tc>
          <w:tcPr>
            <w:tcW w:w="9921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/>
      </w:r>
      <w:bookmarkStart w:id="33" w:name="_Toc126141403_Копия_1"/>
      <w:bookmarkStart w:id="34" w:name="_Toc126141403_Копия_1"/>
      <w:bookmarkEnd w:id="34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Helvetica Neue">
    <w:altName w:val="Helvetica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left="432" w:right="0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4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5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3"/>
    <w:qFormat/>
    <w:rPr>
      <w:sz w:val="26"/>
      <w:szCs w:val="26"/>
    </w:rPr>
  </w:style>
  <w:style w:type="character" w:styleId="3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LineNumber">
    <w:name w:val="Line Number"/>
    <w:rPr/>
  </w:style>
  <w:style w:type="character" w:styleId="Style16">
    <w:name w:val="Символ нумерации"/>
    <w:qFormat/>
    <w:rPr/>
  </w:style>
  <w:style w:type="character" w:styleId="Linenumber1">
    <w:name w:val="line number1"/>
    <w:qFormat/>
    <w:rPr/>
  </w:style>
  <w:style w:type="character" w:styleId="Linenumber3">
    <w:name w:val="line number3"/>
    <w:qFormat/>
    <w:rPr/>
  </w:style>
  <w:style w:type="character" w:styleId="Linenumber2">
    <w:name w:val="line number2"/>
    <w:qFormat/>
    <w:rPr/>
  </w:style>
  <w:style w:type="character" w:styleId="Linenumber11">
    <w:name w:val="line number11"/>
    <w:qFormat/>
    <w:rPr/>
  </w:style>
  <w:style w:type="character" w:styleId="Style17">
    <w:name w:val="Нижний колонтитул Знак"/>
    <w:qFormat/>
    <w:rPr>
      <w:sz w:val="28"/>
      <w:szCs w:val="28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Style18">
    <w:name w:val="Текст Знак"/>
    <w:qFormat/>
    <w:rPr>
      <w:rFonts w:ascii="Calibri" w:hAnsi="Calibri" w:eastAsia="Calibri" w:cs="Arial"/>
      <w:sz w:val="22"/>
      <w:szCs w:val="21"/>
      <w:lang w:eastAsia="en-US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2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6">
    <w:name w:val="Раздел регламента"/>
    <w:basedOn w:val="Normal"/>
    <w:qFormat/>
    <w:pPr/>
    <w:rPr/>
  </w:style>
  <w:style w:type="paragraph" w:styleId="Style27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5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numPr>
        <w:ilvl w:val="0"/>
        <w:numId w:val="0"/>
      </w:num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9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>
    <w:name w:val="ConsPlusNormal"/>
    <w:qFormat/>
    <w:pPr>
      <w:widowControl w:val="false"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>
    <w:name w:val="Подподпункт"/>
    <w:basedOn w:val="Style25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4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7">
    <w:name w:val="Содержимое врезки"/>
    <w:basedOn w:val="Normal"/>
    <w:qFormat/>
    <w:pPr/>
    <w:rPr/>
  </w:style>
  <w:style w:type="paragraph" w:styleId="Style38">
    <w:name w:val="Содержимое таблицы"/>
    <w:basedOn w:val="Normal"/>
    <w:qFormat/>
    <w:pPr>
      <w:widowControl w:val="false"/>
      <w:suppressLineNumbers/>
    </w:pPr>
    <w:rPr/>
  </w:style>
  <w:style w:type="paragraph" w:styleId="Style39">
    <w:name w:val="Заголовок таблицы"/>
    <w:basedOn w:val="Style38"/>
    <w:qFormat/>
    <w:pPr>
      <w:jc w:val="center"/>
    </w:pPr>
    <w:rPr>
      <w:b/>
      <w:bCs/>
    </w:rPr>
  </w:style>
  <w:style w:type="paragraph" w:styleId="Consplusnormalmrcssattr">
    <w:name w:val="consplusnormal_mr_css_attr"/>
    <w:basedOn w:val="Normal"/>
    <w:qFormat/>
    <w:pPr>
      <w:spacing w:before="280" w:after="280"/>
    </w:pPr>
    <w:rPr>
      <w:rFonts w:eastAsia="Calibri"/>
      <w:sz w:val="24"/>
      <w:szCs w:val="24"/>
    </w:rPr>
  </w:style>
  <w:style w:type="paragraph" w:styleId="Consplusnormal11">
    <w:name w:val="consplusnormal1"/>
    <w:basedOn w:val="Normal"/>
    <w:qFormat/>
    <w:pPr>
      <w:spacing w:beforeAutospacing="1" w:afterAutospacing="1"/>
    </w:pPr>
    <w:rPr>
      <w:rFonts w:eastAsia="Calibri"/>
      <w:sz w:val="24"/>
      <w:szCs w:val="24"/>
    </w:rPr>
  </w:style>
  <w:style w:type="paragraph" w:styleId="PlainText">
    <w:name w:val="Plain Text"/>
    <w:basedOn w:val="Normal"/>
    <w:qFormat/>
    <w:pPr/>
    <w:rPr>
      <w:rFonts w:ascii="Calibri" w:hAnsi="Calibri" w:eastAsia="Calibri" w:cs="Arial"/>
      <w:sz w:val="22"/>
      <w:szCs w:val="21"/>
      <w:lang w:eastAsia="en-US"/>
    </w:rPr>
  </w:style>
  <w:style w:type="paragraph" w:styleId="311">
    <w:name w:val="Список 3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Caption1111111">
    <w:name w:val="caption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">
    <w:name w:val="index heading11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Caption111111">
    <w:name w:val="caption111111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>
    <w:name w:val="index heading1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Caption11111">
    <w:name w:val="caption11111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>
    <w:name w:val="index heading1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Caption1111">
    <w:name w:val="caption1111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>
    <w:name w:val="index heading1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Caption111">
    <w:name w:val="caption111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Indexheading11">
    <w:name w:val="index heading1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Indexheading2">
    <w:name w:val="index heading2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59"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numbering" w:styleId="19">
    <w:name w:val="Стиль1"/>
    <w:qFormat/>
  </w:style>
  <w:style w:type="numbering" w:styleId="29">
    <w:name w:val="Стиль2"/>
    <w:qFormat/>
  </w:style>
  <w:style w:type="numbering" w:styleId="31246723081">
    <w:name w:val="3124672308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tepanovaTV@lhp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Application>AlterOffice/2025.3.0.0$Linux_X86_64 LibreOffice_project/4ba31b6a4271509a884f95065d0a726e9cb2bdbb</Application>
  <AppVersion>15.0000</AppVersion>
  <Pages>11</Pages>
  <Words>1935</Words>
  <Characters>13169</Characters>
  <CharactersWithSpaces>14867</CharactersWithSpaces>
  <Paragraphs>247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stepanovatv</cp:lastModifiedBy>
  <cp:lastPrinted>2025-08-08T13:40:00Z</cp:lastPrinted>
  <dcterms:modified xsi:type="dcterms:W3CDTF">2026-10-29T17:15:48Z</dcterms:modified>
  <cp:revision>87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