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media/image9.wmf" ContentType="image/x-wmf"/>
  <Override PartName="/word/media/image10.wmf" ContentType="image/x-wmf"/>
  <Override PartName="/word/media/image13.wmf" ContentType="image/x-wmf"/>
  <Override PartName="/word/media/image21.wmf" ContentType="image/x-wmf"/>
  <Override PartName="/word/media/image8.wmf" ContentType="image/x-wmf"/>
  <Override PartName="/word/media/image12.wmf" ContentType="image/x-wmf"/>
  <Override PartName="/word/media/image20.wmf" ContentType="image/x-wmf"/>
  <Override PartName="/word/media/image7.wmf" ContentType="image/x-wmf"/>
  <Override PartName="/word/media/image11.wmf" ContentType="image/x-wmf"/>
  <Override PartName="/word/media/image19.wmf" ContentType="image/x-wmf"/>
  <Override PartName="/word/media/image1.png" ContentType="image/png"/>
  <Override PartName="/word/media/image18.wmf" ContentType="image/x-wmf"/>
  <Override PartName="/word/media/image17.wmf" ContentType="image/x-wmf"/>
  <Override PartName="/word/media/image16.wmf" ContentType="image/x-wmf"/>
  <Override PartName="/word/media/image15.wmf" ContentType="image/x-wmf"/>
  <Override PartName="/word/media/image22.wmf" ContentType="image/x-wmf"/>
  <Override PartName="/word/media/image14.wmf" ContentType="image/x-wmf"/>
  <Override PartName="/word/media/image2.wmf" ContentType="image/x-wmf"/>
  <Override PartName="/word/media/image3.wmf" ContentType="image/x-wmf"/>
  <Override PartName="/word/media/image4.wmf" ContentType="image/x-wmf"/>
  <Override PartName="/word/media/image5.wmf" ContentType="image/x-wmf"/>
  <Override PartName="/word/media/image6.wmf" ContentType="image/x-wmf"/>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ind w:firstLine="567"/>
        <w:jc w:val="right"/>
        <w:rPr>
          <w:b w:val="false"/>
        </w:rPr>
      </w:pPr>
      <w:r>
        <w:rPr>
          <w:b w:val="false"/>
        </w:rPr>
        <w:t>Приложение</w:t>
      </w:r>
    </w:p>
    <w:p>
      <w:pPr>
        <w:pStyle w:val="Normal"/>
        <w:shd w:val="clear" w:color="auto" w:fill="FFFFFF"/>
        <w:tabs>
          <w:tab w:val="clear" w:pos="709"/>
          <w:tab w:val="left" w:pos="6926" w:leader="none"/>
        </w:tabs>
        <w:jc w:val="right"/>
        <w:rPr>
          <w:bCs/>
          <w:sz w:val="24"/>
          <w:szCs w:val="24"/>
        </w:rPr>
      </w:pPr>
      <w:r>
        <w:rPr>
          <w:bCs/>
          <w:sz w:val="24"/>
          <w:szCs w:val="24"/>
        </w:rPr>
        <w:t>к приказу ПАО «РусГидро»</w:t>
      </w:r>
    </w:p>
    <w:p>
      <w:pPr>
        <w:pStyle w:val="Normal"/>
        <w:shd w:val="clear" w:color="auto" w:fill="FFFFFF"/>
        <w:tabs>
          <w:tab w:val="clear" w:pos="709"/>
          <w:tab w:val="left" w:pos="6926" w:leader="none"/>
        </w:tabs>
        <w:jc w:val="right"/>
        <w:rPr>
          <w:b/>
          <w:sz w:val="24"/>
          <w:szCs w:val="24"/>
        </w:rPr>
      </w:pPr>
      <w:r>
        <w:rPr>
          <w:sz w:val="24"/>
          <w:szCs w:val="24"/>
        </w:rPr>
        <w:t>от 02.07.2024 № 415</w:t>
      </w:r>
    </w:p>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sz w:val="24"/>
          <w:szCs w:val="24"/>
        </w:rPr>
      </w:pPr>
      <w:r>
        <w:rPr>
          <w:b/>
          <w:sz w:val="24"/>
          <w:szCs w:val="24"/>
        </w:rPr>
        <w:t xml:space="preserve">Публичное акционерное общество «Федеральная гидрогенерирующая </w:t>
        <w:br/>
        <w:t xml:space="preserve">компания – РусГидро» </w:t>
      </w:r>
      <w:r>
        <w:rPr>
          <w:sz w:val="24"/>
          <w:szCs w:val="24"/>
        </w:rPr>
        <w:t>(ПАО «РусГидро»)</w:t>
      </w:r>
      <w:r>
        <w:rPr>
          <w:spacing w:val="2"/>
          <w:sz w:val="24"/>
          <w:szCs w:val="24"/>
        </w:rPr>
        <w:t xml:space="preserve"> (далее – </w:t>
      </w:r>
      <w:r>
        <w:rPr>
          <w:sz w:val="24"/>
          <w:szCs w:val="24"/>
        </w:rPr>
        <w:t>«Покупатель»), в лице _____________________</w:t>
      </w:r>
      <w:r>
        <w:rPr>
          <w:spacing w:val="4"/>
          <w:sz w:val="24"/>
          <w:szCs w:val="24"/>
        </w:rPr>
        <w:t xml:space="preserve">, действующего на основании ________, с одной стороны, </w:t>
        <w:br/>
        <w:t>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pacing w:val="10"/>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 xml:space="preserve"> </w:t>
      </w:r>
      <w:r>
        <w:rPr>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567" w:leader="none"/>
          <w:tab w:val="left" w:pos="1134" w:leader="none"/>
        </w:tabs>
        <w:overflowPunct w:val="true"/>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widowControl w:val="false"/>
        <w:shd w:val="clear" w:fill="FFFFFF"/>
        <w:tabs>
          <w:tab w:val="clear" w:pos="709"/>
          <w:tab w:val="left" w:pos="567" w:leader="none"/>
          <w:tab w:val="left" w:pos="1134" w:leader="none"/>
        </w:tabs>
        <w:overflowPunct w:val="false"/>
        <w:ind w:firstLine="708" w:left="0" w:right="0"/>
        <w:jc w:val="both"/>
        <w:textAlignment w:val="baseline"/>
        <w:rPr>
          <w:highlight w:val="none"/>
          <w:shd w:fill="auto" w:val="clear"/>
        </w:rPr>
      </w:pPr>
      <w:r>
        <w:rPr>
          <w:b/>
          <w:sz w:val="24"/>
          <w:szCs w:val="24"/>
          <w:shd w:fill="auto" w:val="clear"/>
          <w:lang w:eastAsia="en-US"/>
        </w:rPr>
        <w:t xml:space="preserve">«ГК РФ» </w:t>
      </w:r>
      <w:r>
        <w:rPr>
          <w:b w:val="false"/>
          <w:bCs w:val="false"/>
          <w:sz w:val="24"/>
          <w:szCs w:val="24"/>
          <w:shd w:fill="auto" w:val="clear"/>
          <w:lang w:eastAsia="en-US"/>
        </w:rPr>
        <w:t>– Гражданский кодекс Российской Федерации.</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Normal"/>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pPr>
        <w:pStyle w:val="Normal"/>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pPr>
        <w:pStyle w:val="Normal"/>
        <w:tabs>
          <w:tab w:val="clear" w:pos="709"/>
          <w:tab w:val="left" w:pos="567" w:leader="none"/>
        </w:tabs>
        <w:ind w:firstLine="708"/>
        <w:jc w:val="both"/>
        <w:rPr>
          <w:sz w:val="24"/>
          <w:szCs w:val="24"/>
          <w:highlight w:val="lightGray"/>
          <w:lang w:eastAsia="en-US"/>
        </w:rPr>
      </w:pPr>
      <w:r>
        <w:rPr>
          <w:b/>
          <w:sz w:val="24"/>
          <w:szCs w:val="24"/>
          <w:highlight w:val="lightGray"/>
          <w:lang w:eastAsia="en-US"/>
        </w:rPr>
        <w:t xml:space="preserve">«Рабочая документация» </w:t>
      </w:r>
      <w:r>
        <w:rPr>
          <w:sz w:val="24"/>
          <w:szCs w:val="24"/>
          <w:highlight w:val="lightGray"/>
          <w:lang w:eastAsia="en-US"/>
        </w:rPr>
        <w:t>–</w:t>
      </w:r>
      <w:r>
        <w:rPr>
          <w:b/>
          <w:sz w:val="24"/>
          <w:szCs w:val="24"/>
          <w:highlight w:val="lightGray"/>
          <w:lang w:eastAsia="en-US"/>
        </w:rPr>
        <w:t xml:space="preserve"> </w:t>
      </w:r>
      <w:r>
        <w:rPr>
          <w:sz w:val="24"/>
          <w:szCs w:val="24"/>
          <w:highlight w:val="lightGray"/>
          <w:lang w:eastAsia="en-US"/>
        </w:rPr>
        <w:t xml:space="preserve">совокупность текстовых и графических документов </w:t>
        <w:br/>
        <w:t xml:space="preserve">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w:t>
        <w:br/>
        <w:t>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w:t>
      </w:r>
    </w:p>
    <w:p>
      <w:pPr>
        <w:pStyle w:val="ListParagraph"/>
        <w:numPr>
          <w:ilvl w:val="0"/>
          <w:numId w:val="12"/>
        </w:numPr>
        <w:tabs>
          <w:tab w:val="clear" w:pos="709"/>
          <w:tab w:val="left" w:pos="567" w:leader="none"/>
          <w:tab w:val="left" w:pos="1134" w:leader="none"/>
        </w:tabs>
        <w:ind w:firstLine="709" w:left="0"/>
        <w:jc w:val="both"/>
        <w:rPr>
          <w:b/>
          <w:lang w:eastAsia="en-US"/>
        </w:rPr>
      </w:pPr>
      <w:r>
        <w:rPr>
          <w:sz w:val="24"/>
          <w:szCs w:val="24"/>
          <w:highlight w:val="lightGray"/>
          <w:lang w:eastAsia="en-US"/>
        </w:rPr>
        <w:t>рабочие чертежи основного комплекта, спецификации оборудования и изделий;</w:t>
      </w:r>
    </w:p>
    <w:p>
      <w:pPr>
        <w:pStyle w:val="ListParagraph"/>
        <w:numPr>
          <w:ilvl w:val="0"/>
          <w:numId w:val="12"/>
        </w:numPr>
        <w:tabs>
          <w:tab w:val="clear" w:pos="709"/>
          <w:tab w:val="left" w:pos="567" w:leader="none"/>
          <w:tab w:val="left" w:pos="1134" w:leader="none"/>
        </w:tabs>
        <w:ind w:firstLine="709" w:left="0"/>
        <w:jc w:val="both"/>
        <w:rPr>
          <w:b/>
          <w:lang w:eastAsia="en-US"/>
        </w:rPr>
      </w:pPr>
      <w:r>
        <w:rPr>
          <w:sz w:val="24"/>
          <w:szCs w:val="24"/>
          <w:highlight w:val="lightGray"/>
          <w:lang w:eastAsia="en-US"/>
        </w:rPr>
        <w:t>документы, разработанные в дополнение к рабочим чертежам основного комплекта;</w:t>
      </w:r>
    </w:p>
    <w:p>
      <w:pPr>
        <w:pStyle w:val="ListParagraph"/>
        <w:numPr>
          <w:ilvl w:val="0"/>
          <w:numId w:val="12"/>
        </w:numPr>
        <w:tabs>
          <w:tab w:val="clear" w:pos="709"/>
          <w:tab w:val="left" w:pos="567" w:leader="none"/>
          <w:tab w:val="left" w:pos="1134" w:leader="none"/>
        </w:tabs>
        <w:ind w:firstLine="709" w:left="0"/>
        <w:jc w:val="both"/>
        <w:rPr>
          <w:b/>
          <w:lang w:eastAsia="en-US"/>
        </w:rPr>
      </w:pPr>
      <w:r>
        <w:rPr>
          <w:sz w:val="24"/>
          <w:szCs w:val="24"/>
          <w:highlight w:val="lightGray"/>
          <w:lang w:eastAsia="en-US"/>
        </w:rPr>
        <w:t>сметную документацию.</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pPr>
      <w:r>
        <w:rPr>
          <w:rFonts w:eastAsia="Times New Roman" w:cs="Times New Roman"/>
          <w:b/>
          <w:bCs/>
          <w:color w:val="000000"/>
          <w:kern w:val="0"/>
          <w:sz w:val="24"/>
          <w:szCs w:val="24"/>
          <w:shd w:fill="auto" w:val="clear"/>
          <w:lang w:val="ru-RU" w:eastAsia="en-US" w:bidi="ar-SA"/>
        </w:rPr>
        <w:t>«Система ЭДО общего пользования»</w:t>
      </w:r>
      <w:r>
        <w:rPr>
          <w:rFonts w:eastAsia="Times New Roman" w:cs="Times New Roman"/>
          <w:b/>
          <w:color w:val="000000"/>
          <w:kern w:val="0"/>
          <w:sz w:val="24"/>
          <w:szCs w:val="24"/>
          <w:shd w:fill="auto" w:val="clear"/>
          <w:lang w:val="ru-RU" w:eastAsia="en-US" w:bidi="ar-SA"/>
        </w:rPr>
        <w:t xml:space="preserve"> </w:t>
      </w:r>
      <w:r>
        <w:rPr>
          <w:rFonts w:eastAsia="Times New Roman" w:cs="Times New Roman"/>
          <w:b w:val="false"/>
          <w:bCs w:val="false"/>
          <w:color w:val="000000"/>
          <w:kern w:val="0"/>
          <w:sz w:val="24"/>
          <w:szCs w:val="24"/>
          <w:shd w:fill="auto" w:val="clear"/>
          <w:lang w:val="ru-RU" w:eastAsia="en-US" w:bidi="ar-SA"/>
        </w:rPr>
        <w:t>–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kern w:val="0"/>
          <w:lang w:val="ru-RU" w:bidi="ar-SA"/>
        </w:rPr>
      </w:pPr>
      <w:r>
        <w:rPr>
          <w:rFonts w:eastAsia="Times New Roman" w:cs="Times New Roman"/>
          <w:b/>
          <w:bCs/>
          <w:color w:val="000000"/>
          <w:kern w:val="0"/>
          <w:sz w:val="24"/>
          <w:szCs w:val="24"/>
          <w:shd w:fill="auto" w:val="clear"/>
          <w:lang w:val="ru-RU" w:eastAsia="en-US" w:bidi="ar-SA"/>
        </w:rPr>
        <w:t>«УКЭП»</w:t>
      </w:r>
      <w:r>
        <w:rPr>
          <w:rFonts w:eastAsia="Times New Roman" w:cs="Times New Roman"/>
          <w:b w:val="false"/>
          <w:bCs w:val="false"/>
          <w:color w:val="000000"/>
          <w:kern w:val="0"/>
          <w:sz w:val="24"/>
          <w:szCs w:val="24"/>
          <w:shd w:fill="auto" w:val="clear"/>
          <w:lang w:val="ru-RU" w:eastAsia="en-US" w:bidi="ar-SA"/>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pPr>
        <w:pStyle w:val="Heading3"/>
        <w:widowControl w:val="false"/>
        <w:tabs>
          <w:tab w:val="clear" w:pos="709"/>
          <w:tab w:val="left" w:pos="567" w:leader="none"/>
        </w:tabs>
        <w:overflowPunct w:val="tru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br/>
        <w:t>и причитающееся ему вознаграждение, а также инфляционные риски на весь период действия Договора.</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sz w:val="24"/>
          <w:szCs w:val="24"/>
          <w:lang w:val="ru-RU" w:eastAsia="en-US"/>
        </w:rPr>
      </w:pPr>
      <w:r>
        <w:rPr>
          <w:rFonts w:eastAsia="Times New Roman" w:cs="Times New Roman" w:ascii="Times New Roman" w:hAnsi="Times New Roman"/>
          <w:b/>
          <w:bCs/>
          <w:color w:val="auto"/>
          <w:kern w:val="0"/>
          <w:sz w:val="24"/>
          <w:szCs w:val="24"/>
          <w:lang w:val="ru-RU" w:eastAsia="ru-RU" w:bidi="ar-SA"/>
        </w:rPr>
        <w:t>«Электронный документ»</w:t>
      </w:r>
      <w:r>
        <w:rPr>
          <w:rFonts w:eastAsia="Times New Roman" w:cs="Times New Roman" w:ascii="Times New Roman" w:hAnsi="Times New Roman"/>
          <w:b w:val="false"/>
          <w:bCs/>
          <w:color w:val="auto"/>
          <w:kern w:val="0"/>
          <w:sz w:val="24"/>
          <w:szCs w:val="24"/>
          <w:lang w:val="ru-RU" w:eastAsia="ru-RU" w:bidi="ar-SA"/>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r>
        <w:rPr>
          <w:rFonts w:ascii="Times New Roman" w:hAnsi="Times New Roman"/>
          <w:b w:val="false"/>
          <w:color w:val="auto"/>
          <w:sz w:val="24"/>
          <w:szCs w:val="24"/>
          <w:lang w:val="ru-RU" w:eastAsia="en-US"/>
        </w:rPr>
        <w:t xml:space="preserve">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Поставщик обязуется в порядке и сроки, установленные Договором, передать </w:t>
        <w:br/>
        <w:t>в собственность Покупателю</w:t>
      </w:r>
      <w:r>
        <w:rPr>
          <w:rFonts w:eastAsia="Calibri"/>
          <w:bCs/>
          <w:sz w:val="24"/>
          <w:szCs w:val="24"/>
          <w:lang w:eastAsia="en-US"/>
        </w:rPr>
        <w:t xml:space="preserve"> </w:t>
      </w:r>
      <w:r>
        <w:rPr>
          <w:rFonts w:eastAsia="Calibri"/>
          <w:bCs/>
          <w:sz w:val="24"/>
          <w:szCs w:val="24"/>
          <w:lang w:eastAsia="en-US"/>
        </w:rPr>
        <w:t>подарки детские новогодние</w:t>
      </w:r>
      <w:r>
        <w:rPr>
          <w:sz w:val="24"/>
          <w:szCs w:val="24"/>
          <w:lang w:eastAsia="en-US"/>
        </w:rPr>
        <w:t xml:space="preserve"> для нужд АО </w:t>
      </w:r>
      <w:r>
        <w:rPr>
          <w:sz w:val="24"/>
          <w:szCs w:val="24"/>
          <w:lang w:val="ru-RU" w:eastAsia="ru-RU" w:bidi="ar-SA"/>
        </w:rPr>
        <w:t>«ТК Русгидро»</w:t>
      </w:r>
      <w:r>
        <w:rPr>
          <w:sz w:val="24"/>
          <w:szCs w:val="24"/>
        </w:rPr>
        <w:t xml:space="preserve"> </w:t>
      </w:r>
      <w:r>
        <w:rPr>
          <w:bCs/>
          <w:sz w:val="24"/>
          <w:szCs w:val="24"/>
        </w:rPr>
        <w:t>(далее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АО «ТК  РусГидро»</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Место поставки Товара: РФ, г. </w:t>
      </w:r>
      <w:r>
        <w:rPr>
          <w:bCs/>
          <w:sz w:val="24"/>
          <w:szCs w:val="24"/>
        </w:rPr>
        <w:t>Владивосток</w:t>
      </w:r>
      <w:r>
        <w:rPr>
          <w:bCs/>
          <w:sz w:val="24"/>
          <w:szCs w:val="24"/>
        </w:rPr>
        <w:t xml:space="preserve"> </w:t>
      </w:r>
      <w:r>
        <w:rPr>
          <w:sz w:val="24"/>
          <w:szCs w:val="24"/>
        </w:rPr>
        <w:t>(далее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Срок поставки Товара: не позднее «</w:t>
      </w:r>
      <w:r>
        <w:rPr>
          <w:bCs/>
          <w:sz w:val="24"/>
          <w:szCs w:val="24"/>
        </w:rPr>
        <w:t>2</w:t>
      </w:r>
      <w:r>
        <w:rPr>
          <w:bCs/>
          <w:sz w:val="24"/>
          <w:szCs w:val="24"/>
        </w:rPr>
        <w:t>5» декабря 2026 г.</w:t>
      </w:r>
    </w:p>
    <w:p>
      <w:pPr>
        <w:pStyle w:val="Normal"/>
        <w:shd w:val="clear" w:color="auto" w:fill="FFFFFF"/>
        <w:tabs>
          <w:tab w:val="clear" w:pos="709"/>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предельной / твердой</w:t>
      </w:r>
      <w:r>
        <w:rPr>
          <w:rStyle w:val="FootnoteReference"/>
          <w:bCs/>
          <w:sz w:val="24"/>
          <w:szCs w:val="24"/>
          <w:highlight w:val="lightGray"/>
          <w:vertAlign w:val="superscript"/>
        </w:rPr>
        <w:footnoteReference w:id="2"/>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Российской Федерации.</w:t>
      </w:r>
    </w:p>
    <w:p>
      <w:pPr>
        <w:pStyle w:val="ListParagraph"/>
        <w:numPr>
          <w:ilvl w:val="1"/>
          <w:numId w:val="2"/>
        </w:numPr>
        <w:tabs>
          <w:tab w:val="clear" w:pos="709"/>
          <w:tab w:val="left" w:pos="568" w:leader="none"/>
          <w:tab w:val="left" w:pos="1134" w:leader="none"/>
        </w:tabs>
        <w:ind w:firstLine="709" w:left="0"/>
        <w:jc w:val="both"/>
        <w:rPr/>
      </w:pPr>
      <w:r>
        <w:rPr>
          <w:bCs/>
          <w:sz w:val="24"/>
          <w:szCs w:val="24"/>
          <w:highlight w:val="lightGray"/>
        </w:rPr>
        <w:t xml:space="preserve">Спецификация (Приложение № 1 к Договору) подлежит согласованию Сторонами не позднее 30 (тридцати) рабочих дней с даты завершения разработки Рабочей документации и приемки ее Покупателем. При несогласовании Спецификации (Приложение № 1 </w:t>
        <w:br/>
        <w:t xml:space="preserve">к Договору) в установленный срок Поставщик обязан по соответствующему письменному требованию Покупателя приостановить исполнение Договора полностью или в части </w:t>
        <w:br/>
        <w:t>до момента такого согласования. После согласования Спецификации Стороны обязаны уточнить Цену Договора путем заключения дополнительного соглашения к Договору. Спецификация включается в Договор в качестве приложения путем заключения дополнительного соглашения к Договору.</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13"/>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highlight w:val="lightGray"/>
          <w:vertAlign w:val="superscript"/>
        </w:rPr>
        <w:footnoteReference w:id="3"/>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5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rPr>
      </w:pPr>
      <w:r>
        <w:rPr>
          <w:sz w:val="24"/>
        </w:rPr>
        <w:t>Авансовый платеж в размере 30 (тридцати) процентов от стоимости Товара</w:t>
      </w:r>
      <w:r>
        <w:rPr>
          <w:rStyle w:val="FootnoteReference"/>
          <w:sz w:val="24"/>
        </w:rPr>
        <w:footnoteReference w:id="4"/>
      </w:r>
      <w:r>
        <w:rPr>
          <w:sz w:val="24"/>
        </w:rPr>
        <w:t xml:space="preserve"> выплачивается Поставщику </w:t>
      </w:r>
      <w:r>
        <w:rPr>
          <w:sz w:val="24"/>
          <w:highlight w:val="lightGray"/>
        </w:rPr>
        <w:t>при условии согласования Сторонами Спецификации (Приложение № 1 к Договору) в соответствии с пунктом 2.2 Договора</w:t>
      </w:r>
      <w:r>
        <w:rPr>
          <w:sz w:val="24"/>
        </w:rPr>
        <w:t xml:space="preserve"> в течение </w:t>
        <w:br/>
        <w:t>30 (тридцати) календарных дней с даты получения Покупателем счета, выставленного Поставщиком, но не ранее чем за 30 (тридцать) календарных дней до даты поставки Товара, и с учетом пунктов 2.5.1, 2.5.4 Договора.</w:t>
      </w:r>
    </w:p>
    <w:p>
      <w:pPr>
        <w:pStyle w:val="ListParagraph"/>
        <w:numPr>
          <w:ilvl w:val="2"/>
          <w:numId w:val="2"/>
        </w:numPr>
        <w:tabs>
          <w:tab w:val="clear" w:pos="709"/>
        </w:tabs>
        <w:ind w:firstLine="709" w:left="0"/>
        <w:jc w:val="both"/>
        <w:rPr>
          <w:sz w:val="24"/>
        </w:rPr>
      </w:pPr>
      <w:r>
        <w:rPr>
          <w:sz w:val="24"/>
        </w:rPr>
        <w:t>Окончательный платеж в размере 70 (семидесяти) процентов от стоимости Товара</w:t>
      </w:r>
      <w:r>
        <w:rPr>
          <w:rStyle w:val="FootnoteReference"/>
          <w:sz w:val="24"/>
        </w:rPr>
        <w:footnoteReference w:id="5"/>
      </w:r>
      <w:r>
        <w:rPr>
          <w:sz w:val="24"/>
        </w:rPr>
        <w:t xml:space="preserve"> выплачивается Поставщику в течение </w:t>
      </w:r>
      <w:r>
        <w:rPr>
          <w:sz w:val="24"/>
          <w:highlight w:val="lightGray"/>
        </w:rPr>
        <w:t>20 (двадцати) календарных дней</w:t>
      </w:r>
      <w:r>
        <w:rPr>
          <w:rStyle w:val="FootnoteReference"/>
          <w:sz w:val="24"/>
          <w:highlight w:val="lightGray"/>
        </w:rPr>
        <w:footnoteReference w:id="6"/>
      </w:r>
      <w:r>
        <w:rPr>
          <w:sz w:val="24"/>
          <w:highlight w:val="lightGray"/>
        </w:rPr>
        <w:t xml:space="preserve"> / 45 (сорока пяти) календарных дней</w:t>
      </w:r>
      <w:r>
        <w:rPr>
          <w:rStyle w:val="FootnoteReference"/>
          <w:sz w:val="24"/>
          <w:highlight w:val="lightGray"/>
        </w:rPr>
        <w:footnoteReference w:id="7"/>
      </w:r>
      <w:r>
        <w:rPr>
          <w:sz w:val="24"/>
          <w:highlight w:val="lightGray"/>
        </w:rPr>
        <w:t xml:space="preserve"> / 7 (семи) рабочих дней</w:t>
      </w:r>
      <w:r>
        <w:rPr>
          <w:rStyle w:val="FootnoteReference"/>
          <w:sz w:val="24"/>
          <w:highlight w:val="lightGray"/>
        </w:rPr>
        <w:footnoteReference w:id="8"/>
      </w:r>
      <w:r>
        <w:rPr>
          <w:sz w:val="24"/>
        </w:rPr>
        <w:t xml:space="preserve"> с даты подписания Сторонами Накладной ТОРГ-12/УПД на основании счета, выставленного Поставщиком, и с учетом пункта 2.5.4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bookmarkStart w:id="0"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w:t>
        <w:br/>
        <w:t xml:space="preserve">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2.5.1 Договора, в установленный срок и при этом не приступил к исполнению обязательств по Договору.</w:t>
      </w:r>
      <w:bookmarkEnd w:id="0"/>
      <w:r>
        <w:rPr>
          <w:bCs/>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bCs/>
          <w:sz w:val="24"/>
          <w:szCs w:val="24"/>
          <w:highlight w:val="lightGray"/>
        </w:rPr>
        <w:t>и Рабочей</w:t>
      </w:r>
      <w:r>
        <w:rPr>
          <w:bCs/>
          <w:sz w:val="24"/>
          <w:szCs w:val="24"/>
        </w:rPr>
        <w:t xml:space="preserve">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br/>
        <w:t>а также Применимого права.</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br/>
        <w:t>и не обременен правами третьих лиц.</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сертификат качества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технический паспорт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инструкция по эксплуатации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упаковочный лист в </w:t>
      </w:r>
      <w:r>
        <w:rPr>
          <w:sz w:val="24"/>
          <w:szCs w:val="24"/>
          <w:highlight w:val="lightGray"/>
        </w:rPr>
        <w:t>__(____)</w:t>
      </w:r>
      <w:r>
        <w:rPr>
          <w:sz w:val="24"/>
          <w:szCs w:val="24"/>
        </w:rPr>
        <w:t xml:space="preserve"> экз.;</w:t>
      </w:r>
    </w:p>
    <w:p>
      <w:pPr>
        <w:pStyle w:val="Normal"/>
        <w:numPr>
          <w:ilvl w:val="0"/>
          <w:numId w:val="3"/>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9"/>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Накладная ТОРГ-12/УПД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1"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vertAlign w:val="superscript"/>
        </w:rPr>
        <w:footnoteReference w:id="9"/>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2" w:name="_Ref361396594"/>
      <w:r>
        <w:rPr>
          <w:sz w:val="24"/>
          <w:szCs w:val="24"/>
        </w:rPr>
        <w:t xml:space="preserve">Датой поставки Товара является дата подписания Сторонами Накладной </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3"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3"/>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w:t>
        <w:br/>
        <w:t xml:space="preserve">в присутствии представителя Поставщика в течение </w:t>
      </w:r>
      <w:r>
        <w:rPr>
          <w:sz w:val="24"/>
          <w:szCs w:val="24"/>
          <w:highlight w:val="lightGray"/>
        </w:rPr>
        <w:t>10 (десяти)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br/>
        <w:t>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 xml:space="preserve">Гарантийный срок на Товар, поставленный по Договору,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w:t>
        <w:br/>
        <w:t>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предоставить Покупателю копию(-и) заключения(-ий) </w:t>
        <w:br/>
        <w:t xml:space="preserve">о подтверждении производства Товара на территории Российской Федерации, </w:t>
        <w:br/>
        <w:t>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Pr>
          <w:rStyle w:val="FootnoteReference"/>
          <w:sz w:val="24"/>
          <w:szCs w:val="24"/>
        </w:rPr>
        <w:footnoteReference w:id="10"/>
      </w:r>
      <w:r>
        <w:rPr>
          <w:sz w:val="24"/>
          <w:szCs w:val="24"/>
        </w:rPr>
        <w:t>.</w:t>
      </w:r>
    </w:p>
    <w:p>
      <w:pPr>
        <w:pStyle w:val="Normal"/>
        <w:shd w:val="clear" w:color="auto" w:fill="FFFFFF"/>
        <w:tabs>
          <w:tab w:val="clear" w:pos="709"/>
          <w:tab w:val="left" w:pos="1190" w:leader="none"/>
        </w:tabs>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Банковские гарантии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предоставляемая Поставщиком Покупателю по Договору, должна соответствовать следующим требованиям: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быть безотзывной и безусловной (гарантия </w:t>
        <w:br/>
        <w:t>по первому требованию).</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Бенефициар по Банковской гарантии – Покупатель, принципал – Поставщик.</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Сумма Банковской гарантии – выражена в валюте расчетов по Договору.</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Сумма Банковской гарантии возврата авансового платежа – не менее </w:t>
        <w:br/>
        <w:t xml:space="preserve">100 (ста) процентов от размера уплачиваемой по Договору предварительной оплаты (аванса) </w:t>
        <w:br/>
        <w:t xml:space="preserve">в совокупной сумме с учетом ранее выплаченных Поставщику и непогашенных (незачтенных) авансовых платежей.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w:t>
        <w:br/>
        <w:t>о предъявлении суммы обеспечения к оплате</w:t>
      </w:r>
      <w:r>
        <w:rPr>
          <w:sz w:val="24"/>
          <w:szCs w:val="24"/>
        </w:rPr>
        <w:t xml:space="preserve"> </w:t>
      </w:r>
      <w:r>
        <w:rPr>
          <w:bCs/>
          <w:sz w:val="24"/>
          <w:szCs w:val="24"/>
        </w:rPr>
        <w:t xml:space="preserve">как полностью, так и частично, с указанием </w:t>
        <w:br/>
        <w:t>на существо допущенных Поставщиком нарушений, в том числе в случаях:</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нарушения Поставщиком срока</w:t>
      </w:r>
      <w:r>
        <w:rPr>
          <w:sz w:val="24"/>
          <w:szCs w:val="24"/>
        </w:rPr>
        <w:t xml:space="preserve"> </w:t>
      </w:r>
      <w:r>
        <w:rPr>
          <w:bCs/>
          <w:sz w:val="24"/>
          <w:szCs w:val="24"/>
        </w:rPr>
        <w:t>поставки Товара, установленного пунктом 1.4 Договора более, чем на 60 (шестьдесят) календарных дней;</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введения арбитражным судом процедуры несостоятельности (банкротства)</w:t>
      </w:r>
      <w:r>
        <w:rPr>
          <w:sz w:val="24"/>
          <w:szCs w:val="24"/>
        </w:rPr>
        <w:t xml:space="preserve"> </w:t>
        <w:br/>
      </w:r>
      <w:r>
        <w:rPr>
          <w:bCs/>
          <w:sz w:val="24"/>
          <w:szCs w:val="24"/>
        </w:rPr>
        <w:t>в отношении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 xml:space="preserve">непредоставления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w:t>
        <w:br/>
        <w:t>по Договору превышает срок действия банковской гарантии либо срок исполнения обязательств продлен;</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 xml:space="preserve">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pPr>
        <w:pStyle w:val="Normal"/>
        <w:widowControl/>
        <w:shd w:val="clear" w:color="auto" w:fill="FFFFFF"/>
        <w:tabs>
          <w:tab w:val="clear" w:pos="709"/>
          <w:tab w:val="left" w:pos="1418" w:leader="none"/>
          <w:tab w:val="left" w:pos="1855" w:leader="none"/>
        </w:tabs>
        <w:ind w:firstLine="709"/>
        <w:jc w:val="both"/>
        <w:rPr>
          <w:bCs/>
          <w:sz w:val="24"/>
        </w:rPr>
      </w:pPr>
      <w:r>
        <w:rPr>
          <w:bCs/>
          <w:sz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pPr>
        <w:pStyle w:val="ListParagraph"/>
        <w:widowControl/>
        <w:numPr>
          <w:ilvl w:val="0"/>
          <w:numId w:val="0"/>
        </w:numPr>
        <w:shd w:val="clear" w:color="auto" w:fill="FFFFFF"/>
        <w:tabs>
          <w:tab w:val="clear" w:pos="709"/>
          <w:tab w:val="left" w:pos="1418" w:leader="none"/>
        </w:tabs>
        <w:suppressAutoHyphens w:val="true"/>
        <w:bidi w:val="0"/>
        <w:spacing w:lineRule="auto" w:line="240" w:before="0" w:after="0"/>
        <w:ind w:firstLine="709" w:left="0"/>
        <w:contextualSpacing/>
        <w:jc w:val="both"/>
        <w:rPr>
          <w:bCs/>
        </w:rPr>
      </w:pPr>
      <w:r>
        <w:rPr>
          <w:rFonts w:eastAsia="Times New Roman" w:cs="Times New Roman"/>
          <w:bCs/>
          <w:color w:val="000000"/>
          <w:kern w:val="0"/>
          <w:sz w:val="24"/>
          <w:szCs w:val="24"/>
          <w:shd w:fill="auto" w:val="clear"/>
          <w:lang w:val="ru-RU" w:eastAsia="ru-RU" w:bidi="ar-SA"/>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spacing w:lineRule="auto" w:line="240" w:before="0" w:after="0"/>
        <w:ind w:firstLine="709"/>
        <w:jc w:val="both"/>
        <w:rPr>
          <w:rFonts w:ascii="Times New Roman" w:hAnsi="Times New Roman" w:eastAsia="Times New Roman" w:cs="Times New Roman"/>
          <w:bCs/>
          <w:color w:val="auto"/>
          <w:kern w:val="0"/>
          <w:sz w:val="24"/>
          <w:szCs w:val="24"/>
          <w:highlight w:val="none"/>
          <w:shd w:fill="FFFF00" w:val="clear"/>
          <w:lang w:val="ru-RU" w:eastAsia="ru-RU" w:bidi="ar-SA"/>
        </w:rPr>
      </w:pPr>
      <w:r>
        <w:rPr>
          <w:rFonts w:eastAsia="Times New Roman" w:cs="Times New Roman"/>
          <w:bCs/>
          <w:color w:val="000000"/>
          <w:kern w:val="0"/>
          <w:sz w:val="24"/>
          <w:szCs w:val="24"/>
          <w:shd w:fill="auto" w:val="clear"/>
          <w:lang w:val="ru-RU" w:eastAsia="ru-RU" w:bidi="ar-SA"/>
        </w:rPr>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Покупателя.</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Срок окончания действия Банковской гарантии – не ранее 70 (семидесяти) календарных дней после наступления даты поставки Товара.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Внесение изменений и дополнений в Договор в период срока действия Банковской гарантии не освобождает Банк-Гарант от обязательств перед Покупателем </w:t>
        <w:br/>
        <w:t>по Банковской гарантии.</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Банковские гарантии, предусмотренные настоящим разделом Договора, предоставляются (по выбору Покупателя): </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оригинале на бумажном носителе.</w:t>
      </w:r>
    </w:p>
    <w:p>
      <w:pPr>
        <w:pStyle w:val="Normal"/>
        <w:widowControl/>
        <w:numPr>
          <w:ilvl w:val="1"/>
          <w:numId w:val="2"/>
        </w:numPr>
        <w:tabs>
          <w:tab w:val="clear" w:pos="709"/>
          <w:tab w:val="left" w:pos="0" w:leader="none"/>
          <w:tab w:val="left" w:pos="1134" w:leader="none"/>
        </w:tabs>
        <w:ind w:firstLine="709" w:left="0"/>
        <w:jc w:val="both"/>
        <w:rPr>
          <w:bCs/>
          <w:sz w:val="24"/>
          <w:szCs w:val="24"/>
        </w:rPr>
      </w:pPr>
      <w:r>
        <w:rPr>
          <w:bCs/>
          <w:sz w:val="24"/>
          <w:szCs w:val="24"/>
        </w:rPr>
        <w:t>Банк-Гарант, выдавший Банковскую гарантию, должен соответствовать критериям, установленным в Приложении № 3 к Договору.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Сумма Банковской гарантии возврата авансового платежа по согласованию </w:t>
        <w:b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случаях</w:t>
      </w:r>
      <w:r>
        <w:rPr>
          <w:bCs/>
          <w:sz w:val="24"/>
          <w:szCs w:val="24"/>
          <w:lang w:val="en-US"/>
        </w:rPr>
        <w:t>:</w:t>
      </w:r>
      <w:r>
        <w:rPr>
          <w:bCs/>
          <w:sz w:val="24"/>
          <w:szCs w:val="24"/>
        </w:rPr>
        <w:t xml:space="preserve"> </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pPr>
        <w:pStyle w:val="ListParagraph"/>
        <w:shd w:val="clear" w:color="auto" w:fill="FFFFFF"/>
        <w:tabs>
          <w:tab w:val="clear" w:pos="709"/>
          <w:tab w:val="left" w:pos="0" w:leader="none"/>
        </w:tabs>
        <w:ind w:firstLine="709" w:left="0"/>
        <w:jc w:val="both"/>
        <w:rPr>
          <w:bCs/>
          <w:sz w:val="24"/>
          <w:szCs w:val="24"/>
        </w:rPr>
      </w:pPr>
      <w:r>
        <w:rPr>
          <w:bCs/>
          <w:sz w:val="24"/>
          <w:szCs w:val="24"/>
        </w:rPr>
        <w:t>Поставщик обязан предоставить Покупателю новую Банковскую гарантию</w:t>
      </w:r>
      <w:r>
        <w:rPr>
          <w:sz w:val="24"/>
          <w:szCs w:val="24"/>
        </w:rPr>
        <w:t xml:space="preserve"> </w:t>
      </w:r>
      <w:r>
        <w:rPr>
          <w:bCs/>
          <w:sz w:val="24"/>
          <w:szCs w:val="24"/>
        </w:rPr>
        <w:t>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pPr>
        <w:pStyle w:val="ListParagraph"/>
        <w:shd w:val="clear" w:color="auto" w:fill="FFFFFF"/>
        <w:tabs>
          <w:tab w:val="clear" w:pos="709"/>
          <w:tab w:val="left" w:pos="0" w:leader="none"/>
        </w:tabs>
        <w:ind w:firstLine="709" w:left="0"/>
        <w:jc w:val="both"/>
        <w:rPr>
          <w:bCs/>
          <w:sz w:val="24"/>
          <w:szCs w:val="24"/>
        </w:rPr>
      </w:pPr>
      <w:r>
        <w:rPr>
          <w:bCs/>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(незачтенного) аванса</w:t>
      </w:r>
      <w:r>
        <w:rPr>
          <w:rStyle w:val="FootnoteReference"/>
          <w:sz w:val="24"/>
          <w:szCs w:val="24"/>
        </w:rPr>
        <w:footnoteReference w:id="11"/>
      </w:r>
      <w:r>
        <w:rPr>
          <w:bCs/>
          <w:sz w:val="24"/>
          <w:szCs w:val="24"/>
        </w:rPr>
        <w:t xml:space="preserve"> при выплате каждого платежа, причитающегося Поставщику, до полного зачета непогашенного (незачтенного) аванса, </w:t>
      </w:r>
      <w:r>
        <w:rPr>
          <w:sz w:val="24"/>
          <w:szCs w:val="24"/>
        </w:rPr>
        <w:t>при выплате каждого платежа, причитающегося Поставщику.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Положения пункта 2.5.1 Договора применяются, если совокупный размер авансовых платежей, уплаченных и подлежащих уплате по Договору в соответствии </w:t>
        <w:br/>
        <w:t xml:space="preserve">с выставленными счетами Поставщика составляет 5 000 000 (Пять миллионов) рублей </w:t>
        <w:br/>
        <w:t xml:space="preserve">и более без учета НДС. </w:t>
      </w:r>
    </w:p>
    <w:p>
      <w:pPr>
        <w:pStyle w:val="ListParagraph"/>
        <w:widowControl/>
        <w:numPr>
          <w:ilvl w:val="1"/>
          <w:numId w:val="2"/>
        </w:numPr>
        <w:shd w:val="clear" w:color="auto" w:fill="FFFFFF"/>
        <w:tabs>
          <w:tab w:val="clear" w:pos="709"/>
          <w:tab w:val="left" w:pos="1134" w:leader="none"/>
          <w:tab w:val="left" w:pos="1985" w:leader="none"/>
        </w:tabs>
        <w:ind w:firstLine="709" w:left="0"/>
        <w:jc w:val="both"/>
        <w:rPr>
          <w:bCs/>
          <w:sz w:val="24"/>
          <w:szCs w:val="24"/>
        </w:rPr>
      </w:pPr>
      <w:r>
        <w:rPr>
          <w:sz w:val="24"/>
          <w:szCs w:val="24"/>
          <w:highlight w:val="lightGray"/>
        </w:rPr>
        <w:t xml:space="preserve">Стороны вправе изменить способы и порядок обеспечения обязательств </w:t>
        <w:br/>
        <w:t>по Договору, указанные в настоящем разделе, путем подписания дополнительного соглашения к Договору</w:t>
      </w:r>
      <w:r>
        <w:rPr>
          <w:rStyle w:val="FootnoteReference"/>
          <w:sz w:val="24"/>
          <w:szCs w:val="24"/>
          <w:highlight w:val="lightGray"/>
        </w:rPr>
        <w:footnoteReference w:id="12"/>
      </w:r>
      <w:r>
        <w:rPr>
          <w:sz w:val="24"/>
          <w:szCs w:val="24"/>
          <w:highlight w:val="lightGray"/>
        </w:rPr>
        <w:t>.</w:t>
      </w:r>
    </w:p>
    <w:p>
      <w:pPr>
        <w:pStyle w:val="ListParagraph"/>
        <w:widowControl/>
        <w:numPr>
          <w:ilvl w:val="1"/>
          <w:numId w:val="2"/>
        </w:numPr>
        <w:shd w:val="clear" w:color="auto" w:fill="FFFFFF"/>
        <w:tabs>
          <w:tab w:val="clear" w:pos="709"/>
        </w:tabs>
        <w:ind w:firstLine="709" w:left="0"/>
        <w:jc w:val="both"/>
        <w:rPr>
          <w:bCs/>
          <w:sz w:val="24"/>
          <w:szCs w:val="24"/>
        </w:rPr>
      </w:pPr>
      <w:r>
        <w:rPr>
          <w:sz w:val="24"/>
        </w:rPr>
        <w:t xml:space="preserve">Принадлежащее Покупателю по Банковской гарантии право требования </w:t>
        <w:br/>
        <w:t>к Банку-Гаранту может быть передано новому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w:t>
      </w:r>
    </w:p>
    <w:p>
      <w:pPr>
        <w:pStyle w:val="Normal"/>
        <w:widowControl/>
        <w:shd w:val="clear" w:color="auto" w:fill="FFFFFF"/>
        <w:tabs>
          <w:tab w:val="clear" w:pos="709"/>
          <w:tab w:val="left" w:pos="0" w:leader="none"/>
          <w:tab w:val="left" w:pos="1134" w:leader="none"/>
        </w:tabs>
        <w:ind w:hanging="0" w:left="1419"/>
        <w:jc w:val="both"/>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w:t>
        <w:br/>
        <w:t xml:space="preserve">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ListParagraph"/>
        <w:widowControl/>
        <w:numPr>
          <w:ilvl w:val="1"/>
          <w:numId w:val="18"/>
        </w:numPr>
        <w:tabs>
          <w:tab w:val="clear" w:pos="709"/>
          <w:tab w:val="left" w:pos="1276" w:leader="none"/>
        </w:tabs>
        <w:ind w:firstLine="709" w:left="0"/>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ListParagraph"/>
        <w:widowControl/>
        <w:numPr>
          <w:ilvl w:val="2"/>
          <w:numId w:val="18"/>
        </w:numPr>
        <w:ind w:firstLine="709" w:left="0"/>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ListParagraph"/>
        <w:widowControl/>
        <w:numPr>
          <w:ilvl w:val="2"/>
          <w:numId w:val="18"/>
        </w:numPr>
        <w:ind w:firstLine="709" w:left="0"/>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18"/>
        </w:numPr>
        <w:tabs>
          <w:tab w:val="clear" w:pos="709"/>
          <w:tab w:val="left" w:pos="1276" w:leader="none"/>
          <w:tab w:val="left" w:pos="1701" w:leader="none"/>
        </w:tabs>
        <w:ind w:firstLine="709" w:left="0"/>
        <w:jc w:val="both"/>
        <w:rPr>
          <w:sz w:val="24"/>
          <w:szCs w:val="24"/>
        </w:rPr>
      </w:pPr>
      <w:r>
        <w:rPr>
          <w:rFonts w:eastAsia="Calibri"/>
          <w:bCs/>
          <w:sz w:val="24"/>
          <w:szCs w:val="24"/>
        </w:rPr>
        <w:t xml:space="preserve">На сумму подлежащего возврату аванса начисляется неустойка в размере </w:t>
        <w:br/>
        <w:t>0,1 (ноль целых и одной десятой) процента с даты, установленной для возврата аванса</w:t>
      </w:r>
      <w:r>
        <w:rPr>
          <w:sz w:val="24"/>
          <w:szCs w:val="24"/>
        </w:rPr>
        <w:t>.</w:t>
      </w:r>
    </w:p>
    <w:p>
      <w:pPr>
        <w:pStyle w:val="ListParagraph"/>
        <w:widowControl/>
        <w:numPr>
          <w:ilvl w:val="1"/>
          <w:numId w:val="18"/>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w:t>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ListParagraph"/>
        <w:widowControl/>
        <w:numPr>
          <w:ilvl w:val="1"/>
          <w:numId w:val="18"/>
        </w:numPr>
        <w:shd w:val="clear" w:color="auto" w:fill="FFFFFF"/>
        <w:tabs>
          <w:tab w:val="clear" w:pos="709"/>
          <w:tab w:val="left" w:pos="1276" w:leader="none"/>
        </w:tabs>
        <w:ind w:firstLine="709" w:left="0"/>
        <w:jc w:val="both"/>
        <w:rPr>
          <w:bCs/>
          <w:sz w:val="24"/>
          <w:szCs w:val="24"/>
        </w:rPr>
      </w:pPr>
      <w:r>
        <w:rPr>
          <w:bCs/>
          <w:sz w:val="24"/>
          <w:szCs w:val="24"/>
        </w:rPr>
        <w:t>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18"/>
        </w:numPr>
        <w:shd w:val="clear" w:color="auto" w:fill="FFFFFF"/>
        <w:ind w:firstLine="709" w:left="0"/>
        <w:jc w:val="both"/>
        <w:rPr>
          <w:bCs/>
          <w:sz w:val="24"/>
          <w:szCs w:val="24"/>
        </w:rPr>
      </w:pPr>
      <w:r>
        <w:rPr>
          <w:bCs/>
          <w:sz w:val="24"/>
          <w:szCs w:val="24"/>
        </w:rPr>
        <w:t>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трех сотых) процента от Цены Договора за каждый день просрочки.</w:t>
      </w:r>
    </w:p>
    <w:p>
      <w:pPr>
        <w:pStyle w:val="ListParagraph"/>
        <w:numPr>
          <w:ilvl w:val="1"/>
          <w:numId w:val="18"/>
        </w:numPr>
        <w:ind w:firstLine="709" w:left="0"/>
        <w:jc w:val="both"/>
        <w:rPr>
          <w:sz w:val="24"/>
          <w:szCs w:val="24"/>
          <w:highlight w:val="lightGray"/>
        </w:rPr>
      </w:pPr>
      <w:r>
        <w:rPr>
          <w:sz w:val="24"/>
          <w:szCs w:val="24"/>
          <w:highlight w:val="lightGray"/>
        </w:rPr>
        <w:t xml:space="preserve">В случае если неисполнение / ненадлежащее исполнение Поставщиком обязательств по Договору повлекло за собой нарушение </w:t>
      </w:r>
      <w:r>
        <w:rPr>
          <w:bCs/>
          <w:sz w:val="24"/>
          <w:szCs w:val="24"/>
          <w:highlight w:val="lightGray"/>
        </w:rPr>
        <w:t>Покупателем</w:t>
      </w:r>
      <w:r>
        <w:rPr>
          <w:sz w:val="24"/>
          <w:szCs w:val="24"/>
          <w:highlight w:val="lightGray"/>
        </w:rPr>
        <w:t xml:space="preserve"> обязательств </w:t>
        <w:br/>
        <w:t xml:space="preserve">на оптовом и / или розничных рынках электрической энергии и мощности, Поставщик несет ответственность перед </w:t>
      </w:r>
      <w:r>
        <w:rPr>
          <w:bCs/>
          <w:sz w:val="24"/>
          <w:szCs w:val="24"/>
          <w:highlight w:val="lightGray"/>
        </w:rPr>
        <w:t>Покупателем</w:t>
      </w:r>
      <w:r>
        <w:rPr>
          <w:sz w:val="24"/>
          <w:szCs w:val="24"/>
          <w:highlight w:val="lightGray"/>
        </w:rPr>
        <w:t xml:space="preserve"> за причиненный ущерб в размере фактически понесенных и документально подтвержденных расходов, произведенных </w:t>
        <w:br/>
        <w:t xml:space="preserve">для восстановления нарушенного права, в том числе в части затрат, понесенных </w:t>
      </w:r>
      <w:r>
        <w:rPr>
          <w:bCs/>
          <w:sz w:val="24"/>
          <w:szCs w:val="24"/>
          <w:highlight w:val="lightGray"/>
        </w:rPr>
        <w:t>Покупателем</w:t>
      </w:r>
      <w:r>
        <w:rPr>
          <w:sz w:val="24"/>
          <w:szCs w:val="24"/>
          <w:highlight w:val="lightGray"/>
        </w:rPr>
        <w:t xml:space="preserve">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Поставщиком своих обязательств.</w:t>
      </w:r>
    </w:p>
    <w:p>
      <w:pPr>
        <w:pStyle w:val="Normal"/>
        <w:ind w:firstLine="709"/>
        <w:jc w:val="both"/>
        <w:rPr>
          <w:sz w:val="24"/>
          <w:szCs w:val="24"/>
          <w:highlight w:val="lightGray"/>
        </w:rPr>
      </w:pPr>
      <w:r>
        <w:rPr>
          <w:sz w:val="24"/>
          <w:szCs w:val="24"/>
          <w:highlight w:val="lightGray"/>
        </w:rPr>
        <w:t xml:space="preserve">Кроме суммы реального ущерба, Поставщик компенсирует </w:t>
      </w:r>
      <w:r>
        <w:rPr>
          <w:bCs/>
          <w:sz w:val="24"/>
          <w:szCs w:val="24"/>
          <w:highlight w:val="lightGray"/>
        </w:rPr>
        <w:t>Покупателем</w:t>
      </w:r>
      <w:r>
        <w:rPr>
          <w:sz w:val="24"/>
          <w:szCs w:val="24"/>
          <w:highlight w:val="lightGray"/>
        </w:rPr>
        <w:t xml:space="preserve">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pPr>
        <w:pStyle w:val="Normal"/>
        <w:ind w:firstLine="709"/>
        <w:jc w:val="both"/>
        <w:rPr>
          <w:sz w:val="24"/>
          <w:szCs w:val="24"/>
          <w:highlight w:val="lightGray"/>
        </w:rPr>
      </w:pPr>
      <w:r>
        <w:rPr>
          <w:sz w:val="24"/>
          <w:szCs w:val="24"/>
          <w:highlight w:val="lightGray"/>
        </w:rPr>
        <w:t xml:space="preserve">Размер упущенной выгоды (выручки) подтверждается (по выбору </w:t>
      </w:r>
      <w:r>
        <w:rPr>
          <w:bCs/>
          <w:sz w:val="24"/>
          <w:szCs w:val="24"/>
          <w:highlight w:val="lightGray"/>
        </w:rPr>
        <w:t>Покупателя</w:t>
      </w:r>
      <w:r>
        <w:rPr>
          <w:sz w:val="24"/>
          <w:szCs w:val="24"/>
          <w:highlight w:val="lightGray"/>
        </w:rPr>
        <w:t>):</w:t>
      </w:r>
    </w:p>
    <w:p>
      <w:pPr>
        <w:pStyle w:val="Normal"/>
        <w:widowControl/>
        <w:numPr>
          <w:ilvl w:val="0"/>
          <w:numId w:val="14"/>
        </w:numPr>
        <w:spacing w:lineRule="auto" w:line="259"/>
        <w:ind w:firstLine="709" w:left="0"/>
        <w:jc w:val="both"/>
        <w:rPr>
          <w:sz w:val="24"/>
          <w:szCs w:val="24"/>
          <w:highlight w:val="lightGray"/>
        </w:rPr>
      </w:pPr>
      <w:r>
        <w:rPr>
          <w:sz w:val="24"/>
          <w:szCs w:val="24"/>
          <w:highlight w:val="lightGray"/>
        </w:rPr>
        <w:t>в ценовой зоне оптового рынка:</w:t>
      </w:r>
    </w:p>
    <w:p>
      <w:pPr>
        <w:pStyle w:val="Normal"/>
        <w:ind w:firstLine="709"/>
        <w:jc w:val="both"/>
        <w:rPr>
          <w:sz w:val="24"/>
          <w:szCs w:val="24"/>
          <w:highlight w:val="lightGray"/>
        </w:rPr>
      </w:pPr>
      <w:r>
        <w:rPr>
          <w:sz w:val="24"/>
          <w:szCs w:val="24"/>
          <w:highlight w:val="lightGray"/>
        </w:rPr>
        <w:t xml:space="preserve">расчетом, подготовленным Коммерческим оператором оптового рынка; </w:t>
      </w:r>
    </w:p>
    <w:p>
      <w:pPr>
        <w:pStyle w:val="Normal"/>
        <w:ind w:firstLine="709"/>
        <w:jc w:val="both"/>
        <w:rPr>
          <w:sz w:val="24"/>
          <w:szCs w:val="24"/>
          <w:highlight w:val="lightGray"/>
        </w:rPr>
      </w:pPr>
      <w:r>
        <w:rPr>
          <w:sz w:val="24"/>
          <w:szCs w:val="24"/>
          <w:highlight w:val="lightGray"/>
        </w:rPr>
        <w:t>и / или</w:t>
      </w:r>
    </w:p>
    <w:p>
      <w:pPr>
        <w:pStyle w:val="Normal"/>
        <w:ind w:firstLine="709"/>
        <w:jc w:val="both"/>
        <w:rPr>
          <w:sz w:val="24"/>
          <w:szCs w:val="24"/>
          <w:highlight w:val="lightGray"/>
        </w:rPr>
      </w:pPr>
      <w:r>
        <w:rPr>
          <w:sz w:val="24"/>
          <w:szCs w:val="24"/>
          <w:highlight w:val="lightGray"/>
        </w:rPr>
        <w:t xml:space="preserve">расчетом, подготовленным </w:t>
      </w:r>
      <w:r>
        <w:rPr>
          <w:bCs/>
          <w:sz w:val="24"/>
          <w:szCs w:val="24"/>
          <w:highlight w:val="lightGray"/>
        </w:rPr>
        <w:t>Покупателем</w:t>
      </w:r>
      <w:r>
        <w:rPr>
          <w:sz w:val="24"/>
          <w:szCs w:val="24"/>
          <w:highlight w:val="lightGray"/>
        </w:rPr>
        <w:t xml:space="preserve"> на основании методики, утвержденной Наблюдательным советом Ассоциации «Некоммерческое партнерство Совет рынка </w:t>
        <w:br/>
        <w:t>по организации эффективной системы оптовой и розничной торговли электрической энергией и мощностью» (далее – Ассоциация «НП Совета рынка»).</w:t>
      </w:r>
    </w:p>
    <w:p>
      <w:pPr>
        <w:pStyle w:val="Normal"/>
        <w:widowControl/>
        <w:numPr>
          <w:ilvl w:val="0"/>
          <w:numId w:val="14"/>
        </w:numPr>
        <w:spacing w:lineRule="auto" w:line="259"/>
        <w:ind w:firstLine="709" w:left="0"/>
        <w:jc w:val="both"/>
        <w:rPr>
          <w:sz w:val="24"/>
          <w:szCs w:val="24"/>
          <w:highlight w:val="lightGray"/>
        </w:rPr>
      </w:pPr>
      <w:r>
        <w:rPr>
          <w:rFonts w:eastAsia="Times New Roman" w:cs="Times New Roman"/>
          <w:color w:val="auto"/>
          <w:kern w:val="0"/>
          <w:sz w:val="24"/>
          <w:szCs w:val="24"/>
          <w:highlight w:val="lightGray"/>
          <w:lang w:val="ru-RU" w:eastAsia="ru-RU" w:bidi="ar-SA"/>
        </w:rPr>
        <w:t>в о</w:t>
      </w:r>
      <w:r>
        <w:rPr>
          <w:sz w:val="24"/>
          <w:szCs w:val="24"/>
          <w:highlight w:val="lightGray"/>
        </w:rPr>
        <w:t xml:space="preserve">тдельной территории ценовой зоны оптового рынка, ранее относившейся к  неценовой зоне оптового рынка Дальнего Востока: </w:t>
      </w:r>
    </w:p>
    <w:p>
      <w:pPr>
        <w:pStyle w:val="Normal"/>
        <w:ind w:firstLine="709"/>
        <w:jc w:val="both"/>
        <w:rPr>
          <w:sz w:val="24"/>
          <w:szCs w:val="24"/>
          <w:highlight w:val="lightGray"/>
        </w:rPr>
      </w:pPr>
      <w:r>
        <w:rPr>
          <w:sz w:val="24"/>
          <w:szCs w:val="24"/>
          <w:highlight w:val="lightGray"/>
        </w:rPr>
        <w:t xml:space="preserve">до даты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 – расчетом, подготовленным </w:t>
      </w:r>
      <w:r>
        <w:rPr>
          <w:bCs/>
          <w:sz w:val="24"/>
          <w:szCs w:val="24"/>
          <w:highlight w:val="lightGray"/>
        </w:rPr>
        <w:t>Покупателем</w:t>
      </w:r>
      <w:r>
        <w:rPr>
          <w:sz w:val="24"/>
          <w:szCs w:val="24"/>
          <w:highlight w:val="lightGray"/>
        </w:rPr>
        <w:t xml:space="preserve"> на основании Методики (Приложение № 6 к Договору);</w:t>
      </w:r>
    </w:p>
    <w:p>
      <w:pPr>
        <w:pStyle w:val="Normal"/>
        <w:ind w:firstLine="709"/>
        <w:jc w:val="both"/>
        <w:rPr>
          <w:sz w:val="24"/>
          <w:szCs w:val="24"/>
          <w:highlight w:val="lightGray"/>
        </w:rPr>
      </w:pPr>
      <w:r>
        <w:rPr>
          <w:sz w:val="24"/>
          <w:szCs w:val="24"/>
          <w:highlight w:val="lightGray"/>
        </w:rPr>
        <w:t>после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w:t>
      </w:r>
    </w:p>
    <w:p>
      <w:pPr>
        <w:pStyle w:val="Normal"/>
        <w:ind w:firstLine="709"/>
        <w:jc w:val="both"/>
        <w:rPr>
          <w:sz w:val="24"/>
          <w:szCs w:val="24"/>
          <w:highlight w:val="lightGray"/>
        </w:rPr>
      </w:pPr>
      <w:r>
        <w:rPr>
          <w:sz w:val="24"/>
          <w:szCs w:val="24"/>
          <w:highlight w:val="lightGray"/>
        </w:rPr>
        <w:t xml:space="preserve">расчетом, подготовленным Коммерческим оператором оптового рынка; </w:t>
      </w:r>
    </w:p>
    <w:p>
      <w:pPr>
        <w:pStyle w:val="Normal"/>
        <w:ind w:firstLine="709"/>
        <w:jc w:val="both"/>
        <w:rPr>
          <w:sz w:val="24"/>
          <w:szCs w:val="24"/>
          <w:highlight w:val="lightGray"/>
        </w:rPr>
      </w:pPr>
      <w:r>
        <w:rPr>
          <w:sz w:val="24"/>
          <w:szCs w:val="24"/>
          <w:highlight w:val="lightGray"/>
        </w:rPr>
        <w:t>и / или</w:t>
      </w:r>
    </w:p>
    <w:p>
      <w:pPr>
        <w:pStyle w:val="Normal"/>
        <w:ind w:firstLine="709"/>
        <w:jc w:val="both"/>
        <w:rPr>
          <w:sz w:val="24"/>
          <w:szCs w:val="24"/>
          <w:highlight w:val="lightGray"/>
        </w:rPr>
      </w:pPr>
      <w:r>
        <w:rPr>
          <w:sz w:val="24"/>
          <w:szCs w:val="24"/>
          <w:highlight w:val="lightGray"/>
        </w:rPr>
        <w:t xml:space="preserve">расчетом, подготовленным </w:t>
      </w:r>
      <w:r>
        <w:rPr>
          <w:bCs/>
          <w:sz w:val="24"/>
          <w:szCs w:val="24"/>
          <w:highlight w:val="lightGray"/>
        </w:rPr>
        <w:t>Покупателем</w:t>
      </w:r>
      <w:r>
        <w:rPr>
          <w:sz w:val="24"/>
          <w:szCs w:val="24"/>
          <w:highlight w:val="lightGray"/>
        </w:rPr>
        <w:t xml:space="preserve"> на основании методики, утвержденной Наблюдательным советом Ассоциации «НП Совет рынка».</w:t>
      </w:r>
    </w:p>
    <w:p>
      <w:pPr>
        <w:pStyle w:val="Normal"/>
        <w:ind w:firstLine="709"/>
        <w:jc w:val="both"/>
        <w:rPr>
          <w:sz w:val="24"/>
          <w:szCs w:val="24"/>
          <w:highlight w:val="lightGray"/>
        </w:rPr>
      </w:pPr>
      <w:r>
        <w:rPr>
          <w:sz w:val="24"/>
          <w:szCs w:val="24"/>
          <w:highlight w:val="lightGray"/>
        </w:rPr>
        <w:t xml:space="preserve">В отношении вновь вводимого оборудования ГЭС / ГАЭС – объектов ДПМ, ДПМ ВИЭ в ценовых зонах ОРЭМ Поставщик дополнительно компенсирует </w:t>
      </w:r>
      <w:r>
        <w:rPr>
          <w:bCs/>
          <w:sz w:val="24"/>
          <w:szCs w:val="24"/>
          <w:highlight w:val="lightGray"/>
        </w:rPr>
        <w:t>Покупателю</w:t>
      </w:r>
      <w:r>
        <w:rPr>
          <w:sz w:val="24"/>
          <w:szCs w:val="24"/>
          <w:highlight w:val="lightGray"/>
        </w:rPr>
        <w:t xml:space="preserve"> упущенную выгоду (выручку) в связи с неоплатой мощности из-за просрочки исполнения обязательства по поставке мощности выводимого на ОРЭМ объекта. Размер упущенной выгоды для каждого месяца просрочки определяется как произведение договорного объема мощности новой ГЭС / ГАЭС на тариф по мощности, определенный Коммерческим оператором оптового рынка в соответствии с регламентами ОРЭМ. Упущенная выгода рассчитывается в случае, если просрочка по поставке мощности привела к сокращению оплачиваемого по договору периода поставки мощности.</w:t>
      </w:r>
    </w:p>
    <w:p>
      <w:pPr>
        <w:pStyle w:val="Normal"/>
        <w:ind w:firstLine="709"/>
        <w:jc w:val="both"/>
        <w:rPr>
          <w:sz w:val="24"/>
          <w:szCs w:val="24"/>
          <w:highlight w:val="lightGray"/>
        </w:rPr>
      </w:pPr>
      <w:r>
        <w:rPr>
          <w:sz w:val="24"/>
          <w:szCs w:val="24"/>
          <w:highlight w:val="lightGray"/>
        </w:rPr>
        <w:t xml:space="preserve">В отношении вновь вводимого (модернизируемого) оборудования ТЭС в отдельной территории ценовой зоны оптового рынка, ранее относившейся к неценовой зоне </w:t>
      </w:r>
      <w:r>
        <w:rPr>
          <w:bCs/>
          <w:color w:val="000000"/>
          <w:sz w:val="24"/>
          <w:szCs w:val="24"/>
          <w:highlight w:val="lightGray"/>
          <w:shd w:fill="CCCCCC" w:val="clear"/>
        </w:rPr>
        <w:t xml:space="preserve">оптового рынка </w:t>
      </w:r>
      <w:r>
        <w:rPr>
          <w:sz w:val="24"/>
          <w:szCs w:val="24"/>
          <w:highlight w:val="lightGray"/>
        </w:rPr>
        <w:t xml:space="preserve">Дальнего Востока Подрядчик дополнительно компенсирует Покупателю упущенную выгоду (выручку) в связи: </w:t>
      </w:r>
    </w:p>
    <w:p>
      <w:pPr>
        <w:pStyle w:val="ListParagraph"/>
        <w:numPr>
          <w:ilvl w:val="2"/>
          <w:numId w:val="18"/>
        </w:numPr>
        <w:ind w:firstLine="709" w:left="0"/>
        <w:jc w:val="both"/>
        <w:rPr>
          <w:sz w:val="24"/>
          <w:szCs w:val="24"/>
          <w:highlight w:val="lightGray"/>
        </w:rPr>
      </w:pPr>
      <w:r>
        <w:rPr>
          <w:sz w:val="24"/>
          <w:szCs w:val="24"/>
          <w:highlight w:val="lightGray"/>
        </w:rPr>
        <w:t>С неоплатой мощности из-за просрочки исполнения обязательства по поставке мощности от модернизированного объекта.</w:t>
      </w:r>
    </w:p>
    <w:p>
      <w:pPr>
        <w:pStyle w:val="Normal"/>
        <w:ind w:firstLine="709"/>
        <w:jc w:val="both"/>
        <w:rPr>
          <w:sz w:val="24"/>
          <w:szCs w:val="24"/>
          <w:highlight w:val="lightGray"/>
        </w:rPr>
      </w:pPr>
      <w:r>
        <w:rPr>
          <w:sz w:val="24"/>
          <w:szCs w:val="24"/>
          <w:highlight w:val="lightGray"/>
        </w:rPr>
        <w:t xml:space="preserve">Размер упущенной выгоды для каждого месяца просрочки определяется в соответствии с Правилами ОРЭМ. </w:t>
      </w:r>
    </w:p>
    <w:p>
      <w:pPr>
        <w:pStyle w:val="ListParagraph"/>
        <w:numPr>
          <w:ilvl w:val="2"/>
          <w:numId w:val="18"/>
        </w:numPr>
        <w:ind w:firstLine="709" w:left="0"/>
        <w:jc w:val="both"/>
        <w:rPr>
          <w:sz w:val="24"/>
          <w:szCs w:val="24"/>
          <w:highlight w:val="lightGray"/>
        </w:rPr>
      </w:pPr>
      <w:r>
        <w:rPr>
          <w:sz w:val="24"/>
          <w:szCs w:val="24"/>
          <w:highlight w:val="lightGray"/>
        </w:rPr>
        <w:t xml:space="preserve">С уменьшением тарифа на мощность генерирующего объекта в порядке, установленном договором о присоединении к торговой системе оптового рынка, </w:t>
        <w:br/>
        <w:t xml:space="preserve">на стоимость реализации всех мероприятий, выполнение которых не подтверждено, и (или) мероприятий в отношении оборудования, в отношении которого не подтверждено требование по локализации в неценовых зонах оптового рынка, определенную </w:t>
        <w:br/>
        <w:t>в соответствии с решением Правительства Российской Федерации.</w:t>
      </w:r>
    </w:p>
    <w:p>
      <w:pPr>
        <w:pStyle w:val="Normal"/>
        <w:ind w:firstLine="709"/>
        <w:jc w:val="both"/>
        <w:rPr>
          <w:sz w:val="24"/>
          <w:szCs w:val="24"/>
          <w:highlight w:val="lightGray"/>
        </w:rPr>
      </w:pPr>
      <w:r>
        <w:rPr>
          <w:sz w:val="24"/>
          <w:szCs w:val="24"/>
          <w:highlight w:val="lightGray"/>
        </w:rPr>
        <w:t xml:space="preserve">Размер упущенной выручки определяется как величина капитальных затрат с учетом доходности на мероприятия, в отношении которых не подтверждено требование </w:t>
        <w:br/>
        <w:t>по локализации.</w:t>
      </w:r>
    </w:p>
    <w:p>
      <w:pPr>
        <w:pStyle w:val="ListParagraph"/>
        <w:numPr>
          <w:ilvl w:val="2"/>
          <w:numId w:val="18"/>
        </w:numPr>
        <w:ind w:firstLine="709" w:left="0"/>
        <w:jc w:val="both"/>
        <w:rPr>
          <w:sz w:val="24"/>
          <w:szCs w:val="24"/>
          <w:highlight w:val="lightGray"/>
        </w:rPr>
      </w:pPr>
      <w:r>
        <w:rPr>
          <w:sz w:val="24"/>
          <w:szCs w:val="24"/>
          <w:highlight w:val="lightGray"/>
        </w:rPr>
        <w:t xml:space="preserve"> </w:t>
      </w:r>
      <w:r>
        <w:rPr>
          <w:sz w:val="24"/>
          <w:szCs w:val="24"/>
          <w:highlight w:val="lightGray"/>
        </w:rPr>
        <w:t>С применением понижающих коэффициентов к стоимости мощности из-за просрочки исполнения обязательства по поставке мощности от модернизированного объекта и(или) несоответствия объема введенной мощности модернизированного объекта величине, указанной в перечне модернизируемых объектов в отдельной территории ценовой зоны оптового рынка, ранее относившейся к неценовой зоне оптового рынка Дальнего Востока (включенных распоряжениями Правительства Российской Федерации от 17.08.2019 № 1844-р и от 20.02.2021 № 430-р в комплексный план модернизации и расширения магистральной инфраструктуры на период до 2024 года, утвержденный распоряжением Правительства Российской Федерации от 30.09.2018 № 2101-р). Размер упущенной выгоды для каждого месяца просрочки определяется в соответствии с Правилами ОРЭМ</w:t>
      </w:r>
      <w:r>
        <w:rPr>
          <w:rStyle w:val="FootnoteReference"/>
          <w:sz w:val="24"/>
          <w:szCs w:val="24"/>
          <w:highlight w:val="lightGray"/>
        </w:rPr>
        <w:footnoteReference w:id="13"/>
      </w:r>
      <w:r>
        <w:rPr>
          <w:sz w:val="24"/>
          <w:szCs w:val="24"/>
          <w:highlight w:val="lightGray"/>
        </w:rPr>
        <w:t>.</w:t>
      </w:r>
    </w:p>
    <w:p>
      <w:pPr>
        <w:pStyle w:val="Normal"/>
        <w:ind w:firstLine="709"/>
        <w:jc w:val="both"/>
        <w:rPr>
          <w:sz w:val="24"/>
          <w:szCs w:val="24"/>
          <w:highlight w:val="lightGray"/>
        </w:rPr>
      </w:pPr>
      <w:r>
        <w:rPr>
          <w:sz w:val="24"/>
          <w:szCs w:val="24"/>
          <w:highlight w:val="lightGray"/>
        </w:rPr>
        <w:t>Методика</w:t>
      </w:r>
      <w:r>
        <w:rPr>
          <w:sz w:val="24"/>
          <w:szCs w:val="28"/>
          <w:highlight w:val="lightGray"/>
        </w:rPr>
        <w:t xml:space="preserve"> расчета упущенной выгоды (выручки) 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w:t>
      </w:r>
      <w:r>
        <w:rPr>
          <w:bCs/>
          <w:color w:val="000000"/>
          <w:sz w:val="24"/>
          <w:szCs w:val="24"/>
          <w:highlight w:val="lightGray"/>
          <w:shd w:fill="CCCCCC" w:val="clear"/>
        </w:rPr>
        <w:t xml:space="preserve">оптового рынка </w:t>
      </w:r>
      <w:r>
        <w:rPr>
          <w:sz w:val="24"/>
          <w:szCs w:val="28"/>
          <w:highlight w:val="lightGray"/>
        </w:rPr>
        <w:t>Дальнего Востока изложена в П</w:t>
      </w:r>
      <w:r>
        <w:rPr>
          <w:sz w:val="24"/>
          <w:szCs w:val="24"/>
          <w:highlight w:val="lightGray"/>
        </w:rPr>
        <w:t>риложении № 6 к Договору.</w:t>
      </w:r>
    </w:p>
    <w:p>
      <w:pPr>
        <w:pStyle w:val="ListParagraph"/>
        <w:widowControl/>
        <w:numPr>
          <w:ilvl w:val="1"/>
          <w:numId w:val="18"/>
        </w:numPr>
        <w:shd w:val="clear" w:color="auto" w:fill="FFFFFF"/>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numPr>
          <w:ilvl w:val="1"/>
          <w:numId w:val="18"/>
        </w:numPr>
        <w:ind w:firstLine="709" w:left="0"/>
        <w:jc w:val="both"/>
        <w:rPr>
          <w:rFonts w:eastAsia="Calibri"/>
          <w:bCs/>
          <w:sz w:val="24"/>
          <w:szCs w:val="24"/>
          <w:highlight w:val="lightGray"/>
        </w:rPr>
      </w:pPr>
      <w:r>
        <w:rPr>
          <w:rFonts w:eastAsia="Calibri"/>
          <w:bCs/>
          <w:sz w:val="24"/>
          <w:szCs w:val="24"/>
          <w:highlight w:val="lightGray"/>
        </w:rPr>
        <w:t>В случае нарушения Поставщиком сроков исполнения обязательств, установленных пунктом 3.2.4 Регламента взаимодействия в ходе исполнения процессов управления проектом (Приложение № 5 к Договору), Покупатель вправе потребовать уплаты Поставщиком штрафа в размере 15 000 (пятнадцати тысяч) рублей за каждый случай нарушения</w:t>
      </w:r>
      <w:r>
        <w:rPr>
          <w:rStyle w:val="FootnoteReference"/>
          <w:rFonts w:eastAsia="Calibri"/>
          <w:bCs/>
          <w:sz w:val="24"/>
          <w:szCs w:val="24"/>
          <w:highlight w:val="lightGray"/>
        </w:rPr>
        <w:footnoteReference w:id="14"/>
      </w:r>
      <w:r>
        <w:rPr>
          <w:rFonts w:eastAsia="Calibri"/>
          <w:bCs/>
          <w:sz w:val="24"/>
          <w:szCs w:val="24"/>
          <w:highlight w:val="lightGray"/>
        </w:rPr>
        <w:t>.</w:t>
      </w:r>
    </w:p>
    <w:p>
      <w:pPr>
        <w:pStyle w:val="ListParagraph"/>
        <w:widowControl/>
        <w:numPr>
          <w:ilvl w:val="1"/>
          <w:numId w:val="18"/>
        </w:numPr>
        <w:shd w:val="clear" w:color="auto" w:fill="FFFFFF"/>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8"/>
        </w:numPr>
        <w:shd w:val="clear" w:color="auto" w:fill="FFFFFF"/>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18"/>
        </w:numPr>
        <w:shd w:val="clear" w:color="auto" w:fill="FFFFFF"/>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18"/>
        </w:numPr>
        <w:shd w:val="clear" w:color="auto" w:fill="FFFFFF"/>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ListParagraph"/>
        <w:widowControl/>
        <w:numPr>
          <w:ilvl w:val="1"/>
          <w:numId w:val="18"/>
        </w:numPr>
        <w:shd w:val="clear" w:color="auto" w:fill="FFFFFF"/>
        <w:ind w:firstLine="709" w:left="0"/>
        <w:jc w:val="both"/>
        <w:rPr>
          <w:bCs/>
          <w:sz w:val="24"/>
          <w:szCs w:val="24"/>
        </w:rPr>
      </w:pPr>
      <w:r>
        <w:rPr>
          <w:bCs/>
          <w:sz w:val="24"/>
          <w:szCs w:val="24"/>
        </w:rPr>
        <w:t xml:space="preserve">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r>
        <w:rPr>
          <w:rStyle w:val="FootnoteReference"/>
          <w:bCs/>
          <w:sz w:val="24"/>
          <w:szCs w:val="24"/>
        </w:rPr>
        <w:footnoteReference w:id="15"/>
      </w:r>
      <w:r>
        <w:rPr>
          <w:bCs/>
          <w:sz w:val="24"/>
          <w:szCs w:val="24"/>
        </w:rPr>
        <w:t>.</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9"/>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FootnoteReference"/>
          <w:bCs/>
          <w:sz w:val="24"/>
          <w:szCs w:val="24"/>
          <w:highlight w:val="lightGray"/>
          <w:shd w:fill="auto" w:val="clear"/>
        </w:rPr>
        <w:footnoteReference w:id="16"/>
      </w:r>
      <w:r>
        <w:rPr>
          <w:bCs/>
          <w:sz w:val="24"/>
          <w:szCs w:val="24"/>
        </w:rPr>
        <w:t xml:space="preserve"> в соответствии с законодательством Российской Федерации, </w:t>
        <w:br/>
        <w:t>за исключением споров из Банковской гарантии, подсудность которых предусмотрена пунктом 5.1.9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 xml:space="preserve">14.9 </w:t>
      </w:r>
      <w:r>
        <w:rPr>
          <w:bCs/>
          <w:sz w:val="24"/>
          <w:szCs w:val="24"/>
        </w:rPr>
        <w:t>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br/>
        <w:t>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9.7. 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9.7.2.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br/>
        <w:t>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14.6</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br/>
        <w:t>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r>
        <w:rPr>
          <w:sz w:val="24"/>
          <w:szCs w:val="24"/>
          <w:highlight w:val="lightGray"/>
        </w:rPr>
        <w:t xml:space="preserve">В соответствии с пунктом 2 статьи 425 ГК РФ, условия Договора применяются к отношениям Сторон, возникшим </w:t>
        <w:br/>
        <w:t>с __________</w:t>
      </w:r>
      <w:r>
        <w:rPr>
          <w:sz w:val="24"/>
          <w:szCs w:val="24"/>
        </w:rPr>
        <w:t>.</w:t>
      </w:r>
    </w:p>
    <w:p>
      <w:pPr>
        <w:pStyle w:val="Normal"/>
        <w:widowControl/>
        <w:numPr>
          <w:ilvl w:val="1"/>
          <w:numId w:val="2"/>
        </w:numPr>
        <w:shd w:val="clear" w:fill="FFFFFF"/>
        <w:tabs>
          <w:tab w:val="clear" w:pos="709"/>
          <w:tab w:val="left" w:pos="1134" w:leader="none"/>
        </w:tabs>
        <w:suppressAutoHyphens w:val="true"/>
        <w:overflowPunct w:val="false"/>
        <w:bidi w:val="0"/>
        <w:spacing w:lineRule="auto" w:line="240" w:before="0" w:after="0"/>
        <w:ind w:firstLine="709" w:left="0" w:right="0"/>
        <w:contextualSpacing/>
        <w:jc w:val="both"/>
        <w:rPr/>
      </w:pPr>
      <w:r>
        <w:rPr>
          <w:sz w:val="24"/>
          <w:szCs w:val="24"/>
          <w:shd w:fill="C0C0C0" w:val="clear"/>
          <w:lang w:eastAsia="en-US"/>
        </w:rPr>
        <w:t>Договор заключается в электронной форме с использованием программно-аппаратных средств Системы ЭДО общего пользования путем его подписания УКЭП уполномоченных представителей Сторон</w:t>
      </w:r>
      <w:r>
        <w:rPr>
          <w:rStyle w:val="FootnoteReference"/>
          <w:sz w:val="24"/>
          <w:szCs w:val="24"/>
          <w:shd w:fill="C0C0C0" w:val="clear"/>
          <w:lang w:eastAsia="en-US"/>
        </w:rPr>
        <w:footnoteReference w:id="17"/>
      </w:r>
      <w:r>
        <w:rPr>
          <w:sz w:val="24"/>
          <w:szCs w:val="24"/>
          <w:shd w:fill="C0C0C0" w:val="clear"/>
          <w:lang w:eastAsia="en-US"/>
        </w:rPr>
        <w:t>.</w:t>
      </w:r>
    </w:p>
    <w:p>
      <w:pPr>
        <w:pStyle w:val="Normal"/>
        <w:widowControl/>
        <w:shd w:val="clear" w:fill="FFFFFF"/>
        <w:tabs>
          <w:tab w:val="clear" w:pos="709"/>
          <w:tab w:val="left" w:pos="1134" w:leader="none"/>
        </w:tabs>
        <w:suppressAutoHyphens w:val="true"/>
        <w:overflowPunct w:val="false"/>
        <w:bidi w:val="0"/>
        <w:spacing w:lineRule="auto" w:line="240" w:before="0" w:after="0"/>
        <w:ind w:firstLine="709" w:left="0" w:right="0"/>
        <w:contextualSpacing/>
        <w:jc w:val="both"/>
        <w:rPr/>
      </w:pPr>
      <w:r>
        <w:rPr>
          <w:sz w:val="24"/>
          <w:szCs w:val="24"/>
          <w:shd w:fill="C0C0C0" w:val="clear"/>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2"/>
        </w:numPr>
        <w:shd w:val="clear" w:fill="FFFFFF"/>
        <w:tabs>
          <w:tab w:val="clear" w:pos="709"/>
          <w:tab w:val="left" w:pos="1134" w:leader="none"/>
        </w:tabs>
        <w:ind w:firstLine="709" w:left="0" w:righ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shd w:fill="C0C0C0" w:val="clear"/>
        </w:rPr>
        <w:t>14.8</w:t>
      </w:r>
      <w:r>
        <w:rPr>
          <w:sz w:val="24"/>
          <w:szCs w:val="24"/>
        </w:rPr>
        <w:t xml:space="preserve"> Договора. </w:t>
      </w:r>
    </w:p>
    <w:p>
      <w:pPr>
        <w:pStyle w:val="ListParagraph"/>
        <w:numPr>
          <w:ilvl w:val="1"/>
          <w:numId w:val="2"/>
        </w:numPr>
        <w:shd w:val="clear" w:fill="FFFFFF"/>
        <w:tabs>
          <w:tab w:val="clear" w:pos="709"/>
          <w:tab w:val="left" w:pos="1134" w:leader="none"/>
        </w:tabs>
        <w:ind w:firstLine="709" w:left="0" w:righ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
        </w:numPr>
        <w:shd w:val="clear" w:fill="FFFFFF"/>
        <w:tabs>
          <w:tab w:val="clear" w:pos="709"/>
          <w:tab w:val="left" w:pos="1134" w:leader="none"/>
        </w:tabs>
        <w:ind w:firstLine="709" w:left="0" w:righ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numPr>
          <w:ilvl w:val="1"/>
          <w:numId w:val="2"/>
        </w:numPr>
        <w:shd w:val="clear" w:fill="FFFFFF"/>
        <w:tabs>
          <w:tab w:val="clear" w:pos="709"/>
          <w:tab w:val="left" w:pos="0" w:leader="none"/>
          <w:tab w:val="left" w:pos="1134" w:leader="none"/>
          <w:tab w:val="left" w:pos="1418" w:leader="none"/>
        </w:tabs>
        <w:ind w:firstLine="709" w:left="0" w:right="0"/>
        <w:jc w:val="both"/>
        <w:rPr>
          <w:sz w:val="24"/>
          <w:szCs w:val="24"/>
        </w:rPr>
      </w:pPr>
      <w:r>
        <w:rPr>
          <w:sz w:val="24"/>
          <w:szCs w:val="24"/>
        </w:rPr>
        <w:t xml:space="preserve">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w:t>
      </w:r>
      <w:r>
        <w:rPr>
          <w:sz w:val="24"/>
          <w:szCs w:val="24"/>
          <w:shd w:fill="C0C0C0" w:val="clear"/>
        </w:rPr>
        <w:t>14.7 или 14.9</w:t>
      </w:r>
      <w:r>
        <w:rPr>
          <w:sz w:val="24"/>
          <w:szCs w:val="24"/>
        </w:rPr>
        <w:t xml:space="preserve"> Договора.</w:t>
      </w:r>
    </w:p>
    <w:p>
      <w:pPr>
        <w:pStyle w:val="ListParagraph"/>
        <w:numPr>
          <w:ilvl w:val="1"/>
          <w:numId w:val="2"/>
        </w:numPr>
        <w:shd w:val="clear" w:fill="FFFFFF"/>
        <w:tabs>
          <w:tab w:val="clear" w:pos="709"/>
          <w:tab w:val="left" w:pos="142" w:leader="none"/>
          <w:tab w:val="left" w:pos="1134" w:leader="none"/>
          <w:tab w:val="left" w:pos="1418" w:leader="none"/>
        </w:tabs>
        <w:ind w:firstLine="709" w:left="0" w:right="0"/>
        <w:jc w:val="both"/>
        <w:rPr>
          <w:sz w:val="24"/>
          <w:szCs w:val="24"/>
        </w:rPr>
      </w:pPr>
      <w:r>
        <w:rPr>
          <w:rFonts w:eastAsia="Times New Roman" w:cs="Times New Roman"/>
          <w:color w:val="auto"/>
          <w:kern w:val="0"/>
          <w:sz w:val="24"/>
          <w:szCs w:val="24"/>
          <w:lang w:val="ru-RU" w:eastAsia="ru-RU" w:bidi="ar-SA"/>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Покупателя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Покупателем</w:t>
      </w:r>
      <w:r>
        <w:rPr>
          <w:sz w:val="24"/>
          <w:szCs w:val="24"/>
        </w:rPr>
        <w:t>.</w:t>
      </w:r>
    </w:p>
    <w:p>
      <w:pPr>
        <w:pStyle w:val="ListParagraph"/>
        <w:numPr>
          <w:ilvl w:val="1"/>
          <w:numId w:val="2"/>
        </w:numPr>
        <w:shd w:val="clear" w:fill="FFFFFF"/>
        <w:tabs>
          <w:tab w:val="clear" w:pos="709"/>
          <w:tab w:val="left" w:pos="1134" w:leader="none"/>
        </w:tabs>
        <w:ind w:firstLine="709" w:left="0" w:right="0"/>
        <w:jc w:val="both"/>
        <w:rPr>
          <w:sz w:val="24"/>
          <w:szCs w:val="24"/>
        </w:rPr>
      </w:pPr>
      <w:bookmarkStart w:id="9"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w:t>
      </w:r>
      <w:r>
        <w:rPr>
          <w:sz w:val="24"/>
          <w:szCs w:val="24"/>
          <w:shd w:fill="auto" w:val="clear"/>
        </w:rPr>
        <w:t xml:space="preserve">пунктами </w:t>
      </w:r>
      <w:r>
        <w:rPr>
          <w:sz w:val="24"/>
          <w:szCs w:val="24"/>
          <w:shd w:fill="C0C0C0" w:val="clear"/>
        </w:rPr>
        <w:t>14.7 или 14.9</w:t>
      </w:r>
      <w:r>
        <w:rPr>
          <w:sz w:val="24"/>
          <w:szCs w:val="24"/>
        </w:rPr>
        <w:t xml:space="preserve"> Договора.</w:t>
      </w:r>
      <w:bookmarkEnd w:id="9"/>
      <w:r>
        <w:rPr>
          <w:sz w:val="24"/>
          <w:szCs w:val="24"/>
        </w:rPr>
        <w:t xml:space="preserve"> </w:t>
      </w:r>
    </w:p>
    <w:p>
      <w:pPr>
        <w:pStyle w:val="ListParagraph"/>
        <w:numPr>
          <w:ilvl w:val="1"/>
          <w:numId w:val="2"/>
        </w:numPr>
        <w:shd w:val="clear" w:fill="FFFFFF"/>
        <w:tabs>
          <w:tab w:val="clear" w:pos="709"/>
          <w:tab w:val="left" w:pos="142" w:leader="none"/>
          <w:tab w:val="left" w:pos="1134" w:leader="none"/>
          <w:tab w:val="left" w:pos="1418" w:leader="none"/>
        </w:tabs>
        <w:ind w:firstLine="709" w:left="0" w:right="0"/>
        <w:jc w:val="both"/>
        <w:rPr>
          <w:sz w:val="24"/>
          <w:szCs w:val="24"/>
        </w:rPr>
      </w:pPr>
      <w:r>
        <w:rPr>
          <w:sz w:val="24"/>
          <w:szCs w:val="24"/>
        </w:rPr>
        <w:t>Обмен документами на бумажном носителе допускается по требованию Покупателя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widowControl w:val="false"/>
        <w:numPr>
          <w:ilvl w:val="2"/>
          <w:numId w:val="2"/>
        </w:numPr>
        <w:tabs>
          <w:tab w:val="clear" w:pos="709"/>
          <w:tab w:val="left" w:pos="142" w:leader="none"/>
        </w:tabs>
        <w:ind w:firstLine="709" w:left="0" w:righ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2"/>
        </w:numPr>
        <w:tabs>
          <w:tab w:val="clear" w:pos="709"/>
          <w:tab w:val="left" w:pos="142" w:leader="none"/>
        </w:tabs>
        <w:ind w:firstLine="709" w:left="0" w:righ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widowControl w:val="false"/>
        <w:numPr>
          <w:ilvl w:val="2"/>
          <w:numId w:val="2"/>
        </w:numPr>
        <w:tabs>
          <w:tab w:val="clear" w:pos="709"/>
          <w:tab w:val="left" w:pos="142" w:leader="none"/>
        </w:tabs>
        <w:ind w:firstLine="709" w:left="0" w:right="0"/>
        <w:jc w:val="both"/>
        <w:rPr>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426" w:left="0"/>
        <w:jc w:val="both"/>
        <w:rPr>
          <w:bCs/>
        </w:rPr>
      </w:pPr>
      <w:r>
        <w:rPr>
          <w:bCs/>
          <w:sz w:val="24"/>
          <w:szCs w:val="24"/>
          <w:highlight w:val="lightGray"/>
          <w:lang w:eastAsia="en-U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 </w:t>
      </w:r>
      <w:r>
        <w:rPr>
          <w:bCs/>
          <w:sz w:val="24"/>
          <w:szCs w:val="24"/>
          <w:highlight w:val="lightGray"/>
          <w:shd w:fill="C0C0C0" w:val="clear"/>
          <w:lang w:eastAsia="en-US"/>
        </w:rPr>
        <w:t>14.9.1 –14.9.2</w:t>
      </w:r>
      <w:r>
        <w:rPr>
          <w:bCs/>
          <w:sz w:val="24"/>
          <w:szCs w:val="24"/>
          <w:highlight w:val="lightGray"/>
          <w:lang w:eastAsia="en-US"/>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18"/>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shd w:fill="CCCCCC" w:val="clear"/>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9"/>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0"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9"/>
          <w:tab w:val="left" w:pos="0" w:leader="none"/>
          <w:tab w:val="left" w:pos="2694" w:leader="none"/>
        </w:tabs>
        <w:suppressAutoHyphens w:val="true"/>
        <w:ind w:firstLine="709"/>
        <w:jc w:val="both"/>
        <w:rPr>
          <w:sz w:val="24"/>
          <w:szCs w:val="24"/>
        </w:rPr>
      </w:pPr>
      <w:r>
        <w:rPr>
          <w:sz w:val="24"/>
          <w:szCs w:val="24"/>
          <w:lang w:eastAsia="x-none"/>
        </w:rPr>
        <w:t>Приложение № 3 –</w:t>
      </w:r>
      <w:r>
        <w:rPr>
          <w:rFonts w:eastAsia="Calibri"/>
          <w:sz w:val="24"/>
          <w:szCs w:val="24"/>
          <w:lang w:eastAsia="en-US"/>
        </w:rPr>
        <w:t xml:space="preserve"> Критерии отбора Банков-Гарантов.</w:t>
      </w:r>
      <w:bookmarkEnd w:id="10"/>
    </w:p>
    <w:p>
      <w:pPr>
        <w:pStyle w:val="Normal"/>
        <w:ind w:firstLine="709"/>
        <w:jc w:val="both"/>
        <w:rPr>
          <w:bCs/>
          <w:sz w:val="24"/>
          <w:szCs w:val="24"/>
        </w:rPr>
      </w:pPr>
      <w:r>
        <w:rPr>
          <w:bCs/>
          <w:sz w:val="24"/>
          <w:szCs w:val="24"/>
        </w:rPr>
        <w:t xml:space="preserve">Приложение № 4 </w:t>
      </w:r>
      <w:r>
        <w:rPr>
          <w:rFonts w:eastAsia="Calibri"/>
          <w:sz w:val="24"/>
          <w:szCs w:val="24"/>
          <w:lang w:eastAsia="en-US"/>
        </w:rPr>
        <w:t>–</w:t>
      </w:r>
      <w:r>
        <w:rPr>
          <w:bCs/>
          <w:sz w:val="24"/>
          <w:szCs w:val="24"/>
        </w:rPr>
        <w:t xml:space="preserve"> Размер ответственности Поставщика за нарушения пропускного </w:t>
        <w:br/>
        <w:t>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highlight w:val="lightGray"/>
        </w:rPr>
        <w:t xml:space="preserve">Приложение № 5 </w:t>
      </w:r>
      <w:r>
        <w:rPr>
          <w:rFonts w:eastAsia="Calibri"/>
          <w:sz w:val="24"/>
          <w:szCs w:val="24"/>
          <w:highlight w:val="lightGray"/>
          <w:lang w:eastAsia="en-US"/>
        </w:rPr>
        <w:t>–</w:t>
      </w:r>
      <w:r>
        <w:rPr>
          <w:bCs/>
          <w:sz w:val="24"/>
          <w:szCs w:val="24"/>
          <w:highlight w:val="lightGray"/>
        </w:rPr>
        <w:t xml:space="preserve"> Регламент взаимодействия в ходе исполнения процессов управления проектом</w:t>
      </w:r>
      <w:r>
        <w:rPr>
          <w:bCs/>
          <w:sz w:val="24"/>
          <w:szCs w:val="24"/>
        </w:rPr>
        <w:t>.</w:t>
      </w:r>
    </w:p>
    <w:p>
      <w:pPr>
        <w:pStyle w:val="Normal"/>
        <w:ind w:firstLine="709"/>
        <w:jc w:val="both"/>
        <w:rPr>
          <w:bCs/>
          <w:sz w:val="24"/>
          <w:szCs w:val="24"/>
          <w:highlight w:val="lightGray"/>
        </w:rPr>
      </w:pPr>
      <w:r>
        <w:rPr>
          <w:bCs/>
          <w:sz w:val="24"/>
          <w:szCs w:val="24"/>
          <w:highlight w:val="lightGray"/>
        </w:rPr>
        <w:t xml:space="preserve">Приложение № 6 – Методика расчета упущенной выгоды (выручки) </w:t>
        <w:br/>
        <w:t xml:space="preserve">и дополнительных обязательств участника ОРЭМ от недопоставки электрической энергии </w:t>
        <w:br/>
        <w:t>и мощности на ОРЭМ в неценовой зоне Дальнего Востока.</w:t>
      </w:r>
    </w:p>
    <w:p>
      <w:pPr>
        <w:pStyle w:val="Normal"/>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8"/>
        <w:gridCol w:w="150"/>
        <w:gridCol w:w="4636"/>
        <w:gridCol w:w="326"/>
      </w:tblGrid>
      <w:tr>
        <w:trPr/>
        <w:tc>
          <w:tcPr>
            <w:tcW w:w="4928" w:type="dxa"/>
            <w:gridSpan w:val="2"/>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c>
          <w:tcPr>
            <w:tcW w:w="4928" w:type="dxa"/>
            <w:gridSpan w:val="2"/>
            <w:tcBorders/>
          </w:tcPr>
          <w:p>
            <w:pPr>
              <w:pStyle w:val="Normal"/>
              <w:widowControl w:val="false"/>
              <w:rPr>
                <w:sz w:val="24"/>
                <w:szCs w:val="24"/>
              </w:rPr>
            </w:pPr>
            <w:r>
              <w:rPr>
                <w:sz w:val="24"/>
                <w:szCs w:val="24"/>
              </w:rPr>
            </w:r>
          </w:p>
          <w:p>
            <w:pPr>
              <w:pStyle w:val="Normal"/>
              <w:bidi w:val="0"/>
              <w:rPr>
                <w:b/>
                <w:bCs/>
                <w:sz w:val="24"/>
                <w:szCs w:val="24"/>
              </w:rPr>
            </w:pPr>
            <w:r>
              <w:rPr>
                <w:b/>
                <w:bCs/>
                <w:sz w:val="24"/>
                <w:szCs w:val="24"/>
              </w:rPr>
              <w:t>Акционерное общество «Транспортная компания РусГидро»</w:t>
            </w:r>
          </w:p>
          <w:p>
            <w:pPr>
              <w:pStyle w:val="Normal"/>
              <w:bidi w:val="0"/>
              <w:rPr>
                <w:sz w:val="24"/>
                <w:szCs w:val="24"/>
              </w:rPr>
            </w:pPr>
            <w:r>
              <w:rPr>
                <w:sz w:val="24"/>
                <w:szCs w:val="24"/>
              </w:rPr>
              <w:t>АО «ТК РусГидро»</w:t>
            </w:r>
          </w:p>
          <w:p>
            <w:pPr>
              <w:pStyle w:val="Normal"/>
              <w:bidi w:val="0"/>
              <w:rPr>
                <w:sz w:val="24"/>
                <w:szCs w:val="24"/>
              </w:rPr>
            </w:pPr>
            <w:r>
              <w:rPr>
                <w:sz w:val="24"/>
                <w:szCs w:val="24"/>
              </w:rPr>
              <w:t>Юридический адрес: 655619, Республика Хакасия, город Саяногорск, рабочий поселок Черемушки, стр.101</w:t>
            </w:r>
          </w:p>
          <w:p>
            <w:pPr>
              <w:pStyle w:val="Normal"/>
              <w:bidi w:val="0"/>
              <w:rPr>
                <w:sz w:val="24"/>
                <w:szCs w:val="24"/>
              </w:rPr>
            </w:pPr>
            <w:r>
              <w:rPr>
                <w:sz w:val="24"/>
                <w:szCs w:val="24"/>
              </w:rPr>
              <w:t>Почтовый адрес: 690003, Россия, Приморский край., г. Владивосток, ул. Станюковича д. 1</w:t>
            </w:r>
          </w:p>
          <w:p>
            <w:pPr>
              <w:pStyle w:val="Normal"/>
              <w:bidi w:val="0"/>
              <w:rPr>
                <w:sz w:val="24"/>
                <w:szCs w:val="24"/>
              </w:rPr>
            </w:pPr>
            <w:r>
              <w:rPr>
                <w:sz w:val="24"/>
                <w:szCs w:val="24"/>
              </w:rPr>
              <w:t>ИНН 1902018248</w:t>
            </w:r>
          </w:p>
          <w:p>
            <w:pPr>
              <w:pStyle w:val="Normal"/>
              <w:bidi w:val="0"/>
              <w:rPr>
                <w:sz w:val="24"/>
                <w:szCs w:val="24"/>
              </w:rPr>
            </w:pPr>
            <w:r>
              <w:rPr>
                <w:sz w:val="24"/>
                <w:szCs w:val="24"/>
              </w:rPr>
              <w:t>КПП 190201001</w:t>
            </w:r>
          </w:p>
          <w:p>
            <w:pPr>
              <w:pStyle w:val="Normal"/>
              <w:bidi w:val="0"/>
              <w:rPr>
                <w:sz w:val="24"/>
                <w:szCs w:val="24"/>
              </w:rPr>
            </w:pPr>
            <w:r>
              <w:rPr>
                <w:sz w:val="24"/>
                <w:szCs w:val="24"/>
              </w:rPr>
              <w:t>ОГРН 1031900676356</w:t>
            </w:r>
          </w:p>
          <w:p>
            <w:pPr>
              <w:pStyle w:val="Normal"/>
              <w:bidi w:val="0"/>
              <w:rPr>
                <w:sz w:val="24"/>
                <w:szCs w:val="24"/>
              </w:rPr>
            </w:pPr>
            <w:r>
              <w:rPr>
                <w:sz w:val="24"/>
                <w:szCs w:val="24"/>
              </w:rPr>
              <w:t>ОКПО 42213224</w:t>
            </w:r>
          </w:p>
          <w:p>
            <w:pPr>
              <w:pStyle w:val="Normal"/>
              <w:widowControl w:val="false"/>
              <w:jc w:val="left"/>
              <w:rPr>
                <w:sz w:val="24"/>
                <w:szCs w:val="24"/>
              </w:rPr>
            </w:pPr>
            <w:r>
              <w:rPr>
                <w:sz w:val="24"/>
                <w:szCs w:val="24"/>
                <w:lang w:val="ru-RU"/>
              </w:rPr>
              <w:t>р/с 40702810795000000002</w:t>
            </w:r>
          </w:p>
          <w:p>
            <w:pPr>
              <w:pStyle w:val="Normal"/>
              <w:widowControl w:val="false"/>
              <w:jc w:val="left"/>
              <w:rPr>
                <w:sz w:val="24"/>
                <w:szCs w:val="24"/>
              </w:rPr>
            </w:pPr>
            <w:r>
              <w:rPr>
                <w:sz w:val="24"/>
                <w:szCs w:val="24"/>
                <w:lang w:val="ru-RU"/>
              </w:rPr>
              <w:t>в «Газпромбанк» (Акционерное общество)</w:t>
            </w:r>
          </w:p>
          <w:p>
            <w:pPr>
              <w:pStyle w:val="Normal"/>
              <w:widowControl w:val="false"/>
              <w:jc w:val="left"/>
              <w:rPr>
                <w:sz w:val="24"/>
                <w:szCs w:val="24"/>
              </w:rPr>
            </w:pPr>
            <w:r>
              <w:rPr>
                <w:sz w:val="24"/>
                <w:szCs w:val="24"/>
                <w:lang w:val="ru-RU"/>
              </w:rPr>
              <w:t>ГПБ (АО) г. Москва</w:t>
            </w:r>
          </w:p>
          <w:p>
            <w:pPr>
              <w:pStyle w:val="Normal"/>
              <w:widowControl w:val="false"/>
              <w:jc w:val="left"/>
              <w:rPr>
                <w:sz w:val="24"/>
                <w:szCs w:val="24"/>
              </w:rPr>
            </w:pPr>
            <w:r>
              <w:rPr>
                <w:sz w:val="24"/>
                <w:szCs w:val="24"/>
                <w:lang w:val="ru-RU"/>
              </w:rPr>
              <w:t>к/с 30101810200000000823</w:t>
            </w:r>
          </w:p>
          <w:p>
            <w:pPr>
              <w:pStyle w:val="Normal"/>
              <w:widowControl w:val="false"/>
              <w:jc w:val="left"/>
              <w:rPr>
                <w:sz w:val="24"/>
                <w:szCs w:val="24"/>
              </w:rPr>
            </w:pPr>
            <w:r>
              <w:rPr>
                <w:b/>
                <w:sz w:val="24"/>
                <w:szCs w:val="24"/>
                <w:lang w:val="ru-RU"/>
              </w:rPr>
              <w:t>БИК 044525823</w:t>
            </w:r>
          </w:p>
          <w:p>
            <w:pPr>
              <w:pStyle w:val="Normal"/>
              <w:widowControl w:val="false"/>
              <w:rPr>
                <w:sz w:val="24"/>
                <w:szCs w:val="24"/>
              </w:rPr>
            </w:pPr>
            <w:r>
              <w:rPr>
                <w:sz w:val="24"/>
                <w:szCs w:val="24"/>
              </w:rPr>
            </w:r>
          </w:p>
        </w:tc>
        <w:tc>
          <w:tcPr>
            <w:tcW w:w="4962" w:type="dxa"/>
            <w:gridSpan w:val="2"/>
            <w:tcBorders/>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Юридический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78" w:type="dxa"/>
            <w:tcBorders/>
          </w:tcPr>
          <w:p>
            <w:pPr>
              <w:pStyle w:val="Normal"/>
              <w:widowControl w:val="false"/>
              <w:rPr>
                <w:sz w:val="24"/>
                <w:szCs w:val="24"/>
                <w:highlight w:val="lightGray"/>
              </w:rPr>
            </w:pPr>
            <w:r>
              <w:rPr>
                <w:sz w:val="24"/>
                <w:szCs w:val="24"/>
                <w:highlight w:val="lightGray"/>
              </w:rPr>
              <w:t xml:space="preserve">_______________ / _______________ </w:t>
            </w:r>
          </w:p>
          <w:p>
            <w:pPr>
              <w:pStyle w:val="Normal"/>
              <w:widowControl w:val="false"/>
              <w:rPr>
                <w:sz w:val="24"/>
                <w:szCs w:val="24"/>
                <w:highlight w:val="lightGray"/>
              </w:rPr>
            </w:pPr>
            <w:r>
              <w:rPr>
                <w:sz w:val="24"/>
                <w:szCs w:val="24"/>
                <w:highlight w:val="lightGray"/>
              </w:rPr>
            </w:r>
          </w:p>
        </w:tc>
        <w:tc>
          <w:tcPr>
            <w:tcW w:w="4786"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26"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560" w:right="851" w:gutter="0" w:header="709" w:top="1134" w:footer="709" w:bottom="1135"/>
          <w:pgNumType w:fmt="decimal"/>
          <w:formProt w:val="false"/>
          <w:titlePg/>
          <w:textDirection w:val="lrTb"/>
          <w:docGrid w:type="default" w:linePitch="360" w:charSpace="8192"/>
        </w:sectPr>
      </w:pPr>
    </w:p>
    <w:p>
      <w:pPr>
        <w:pStyle w:val="Normal"/>
        <w:suppressAutoHyphens w:val="true"/>
        <w:ind w:hanging="0" w:left="5103" w:right="96"/>
        <w:rPr>
          <w:sz w:val="22"/>
          <w:szCs w:val="22"/>
        </w:rPr>
      </w:pPr>
      <w:r>
        <w:rPr>
          <w:sz w:val="22"/>
          <w:szCs w:val="22"/>
        </w:rPr>
        <w:t>Приложение № 1</w:t>
      </w:r>
    </w:p>
    <w:p>
      <w:pPr>
        <w:pStyle w:val="Normal"/>
        <w:suppressAutoHyphens w:val="true"/>
        <w:ind w:hanging="0" w:left="5103" w:right="96"/>
        <w:rPr>
          <w:sz w:val="22"/>
          <w:szCs w:val="22"/>
        </w:rPr>
      </w:pPr>
      <w:r>
        <w:rPr>
          <w:sz w:val="22"/>
          <w:szCs w:val="22"/>
        </w:rPr>
        <w:t>к Договору поставки</w:t>
      </w:r>
    </w:p>
    <w:p>
      <w:pPr>
        <w:pStyle w:val="Normal"/>
        <w:suppressAutoHyphens w:val="true"/>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397"/>
        <w:gridCol w:w="633"/>
        <w:gridCol w:w="636"/>
        <w:gridCol w:w="638"/>
        <w:gridCol w:w="799"/>
        <w:gridCol w:w="766"/>
        <w:gridCol w:w="644"/>
        <w:gridCol w:w="762"/>
        <w:gridCol w:w="720"/>
        <w:gridCol w:w="378"/>
        <w:gridCol w:w="155"/>
        <w:gridCol w:w="667"/>
        <w:gridCol w:w="581"/>
        <w:gridCol w:w="531"/>
        <w:gridCol w:w="745"/>
        <w:gridCol w:w="585"/>
      </w:tblGrid>
      <w:tr>
        <w:trPr>
          <w:trHeight w:val="526"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20"/>
            </w:r>
          </w:p>
        </w:tc>
        <w:tc>
          <w:tcPr>
            <w:tcW w:w="7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21"/>
            </w:r>
          </w:p>
          <w:p>
            <w:pPr>
              <w:pStyle w:val="Normal"/>
              <w:widowControl w:val="false"/>
              <w:jc w:val="center"/>
              <w:rPr>
                <w:bCs/>
              </w:rPr>
            </w:pPr>
            <w:r>
              <w:rPr>
                <w:bCs/>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73"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lightGray"/>
              </w:rPr>
              <w:t>Итого стоимость всего Товара (с учетом доставки), руб. с НДС*:</w:t>
            </w:r>
          </w:p>
        </w:tc>
        <w:tc>
          <w:tcPr>
            <w:tcW w:w="3264"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suppressAutoHyphens w:val="true"/>
        <w:ind w:firstLine="5103" w:right="96"/>
        <w:rPr>
          <w:sz w:val="22"/>
          <w:szCs w:val="22"/>
        </w:rPr>
      </w:pPr>
      <w:r>
        <w:rPr>
          <w:sz w:val="22"/>
          <w:szCs w:val="22"/>
        </w:rPr>
        <w:t>Приложение № 2</w:t>
      </w:r>
    </w:p>
    <w:p>
      <w:pPr>
        <w:pStyle w:val="Normal"/>
        <w:suppressAutoHyphens w:val="true"/>
        <w:ind w:firstLine="5103" w:right="96"/>
        <w:rPr>
          <w:sz w:val="22"/>
          <w:szCs w:val="22"/>
        </w:rPr>
      </w:pPr>
      <w:r>
        <w:rPr>
          <w:sz w:val="22"/>
          <w:szCs w:val="22"/>
        </w:rPr>
        <w:t xml:space="preserve">к Договору поставки </w:t>
      </w:r>
    </w:p>
    <w:p>
      <w:pPr>
        <w:pStyle w:val="Normal"/>
        <w:suppressAutoHyphens w:val="true"/>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3</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t>Критерии отбора Банков – Гарантов</w:t>
      </w:r>
      <w:r>
        <w:rPr>
          <w:rStyle w:val="FootnoteReference"/>
          <w:b/>
          <w:bCs/>
          <w:sz w:val="24"/>
          <w:szCs w:val="24"/>
        </w:rPr>
        <w:footnoteReference w:id="22"/>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tabs>
          <w:tab w:val="clear" w:pos="709"/>
          <w:tab w:val="left" w:pos="1134" w:leader="none"/>
        </w:tabs>
        <w:ind w:firstLine="709"/>
        <w:jc w:val="both"/>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vertAlign w:val="superscript"/>
          <w:lang w:val="en-GB"/>
        </w:rPr>
        <w:footnoteReference w:id="23"/>
      </w:r>
      <w:r>
        <w:rPr>
          <w:sz w:val="24"/>
          <w:szCs w:val="24"/>
        </w:rPr>
        <w:t>, а также соответствовать следующим критериям:</w:t>
      </w:r>
    </w:p>
    <w:p>
      <w:pPr>
        <w:pStyle w:val="Normal"/>
        <w:widowControl/>
        <w:numPr>
          <w:ilvl w:val="1"/>
          <w:numId w:val="15"/>
        </w:numPr>
        <w:tabs>
          <w:tab w:val="clear" w:pos="709"/>
          <w:tab w:val="left" w:pos="1134" w:leader="none"/>
        </w:tabs>
        <w:ind w:firstLine="710" w:left="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widowControl/>
        <w:numPr>
          <w:ilvl w:val="1"/>
          <w:numId w:val="15"/>
        </w:numPr>
        <w:tabs>
          <w:tab w:val="clear" w:pos="709"/>
          <w:tab w:val="left" w:pos="1134" w:leader="none"/>
        </w:tabs>
        <w:ind w:firstLine="710" w:left="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 xml:space="preserve">213-ФЗ </w:t>
        <w:br/>
        <w: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w:t>
        <w:br/>
        <w:t>213-ФЗ).</w:t>
      </w:r>
    </w:p>
    <w:p>
      <w:pPr>
        <w:pStyle w:val="Normal"/>
        <w:widowControl/>
        <w:numPr>
          <w:ilvl w:val="1"/>
          <w:numId w:val="15"/>
        </w:numPr>
        <w:tabs>
          <w:tab w:val="clear" w:pos="709"/>
          <w:tab w:val="left" w:pos="1134" w:leader="none"/>
        </w:tabs>
        <w:ind w:firstLine="710" w:left="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w:t>
      </w:r>
      <w:r>
        <w:rPr>
          <w:rFonts w:eastAsia="Times New Roman" w:cs="Times New Roman"/>
          <w:color w:val="auto"/>
          <w:kern w:val="0"/>
          <w:sz w:val="24"/>
          <w:szCs w:val="24"/>
          <w:lang w:val="ru-RU" w:eastAsia="ru-RU" w:bidi="ar-SA"/>
        </w:rPr>
        <w:t xml:space="preserve">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w:t>
      </w:r>
      <w:r>
        <w:rPr>
          <w:sz w:val="24"/>
          <w:szCs w:val="24"/>
        </w:rPr>
        <w:t>, опубликованной в информационно-телекоммуникационной сети «Интернет» (</w:t>
      </w:r>
      <w:hyperlink r:id="rId8">
        <w:r>
          <w:rPr>
            <w:rStyle w:val="Hyperlink"/>
            <w:rFonts w:eastAsia="Times New Roman" w:cs="Times New Roman"/>
            <w:color w:val="auto"/>
            <w:sz w:val="24"/>
            <w:szCs w:val="24"/>
            <w:lang w:val="ru-RU" w:eastAsia="ru-RU" w:bidi="ar-SA"/>
          </w:rPr>
          <w:t>www.cbr.ru</w:t>
        </w:r>
      </w:hyperlink>
      <w:r>
        <w:rPr>
          <w:sz w:val="24"/>
          <w:szCs w:val="24"/>
        </w:rPr>
        <w:t xml:space="preserve">) на официальных сайтах ЦБ РФ и/ или кредитной организации либо представленной кредитной </w:t>
      </w:r>
      <w:r>
        <w:rPr>
          <w:rFonts w:eastAsia="Times New Roman" w:cs="Times New Roman"/>
          <w:color w:val="auto"/>
          <w:kern w:val="0"/>
          <w:sz w:val="24"/>
          <w:szCs w:val="24"/>
          <w:lang w:val="ru-RU" w:eastAsia="ru-RU" w:bidi="ar-SA"/>
        </w:rPr>
        <w:t>организации</w:t>
      </w:r>
      <w:r>
        <w:rPr>
          <w:sz w:val="24"/>
          <w:szCs w:val="24"/>
        </w:rPr>
        <w:t xml:space="preserve"> Покупателю. </w:t>
      </w:r>
    </w:p>
    <w:p>
      <w:pPr>
        <w:pStyle w:val="Normal"/>
        <w:widowControl/>
        <w:numPr>
          <w:ilvl w:val="1"/>
          <w:numId w:val="15"/>
        </w:numPr>
        <w:tabs>
          <w:tab w:val="clear" w:pos="709"/>
          <w:tab w:val="left" w:pos="1134" w:leader="none"/>
        </w:tabs>
        <w:ind w:firstLine="710" w:left="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r>
        <w:rPr>
          <w:sz w:val="24"/>
          <w:szCs w:val="24"/>
          <w:lang w:val="en-GB"/>
        </w:rPr>
        <w:t>ruBBB</w:t>
      </w:r>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FootnoteReference"/>
          <w:sz w:val="24"/>
          <w:szCs w:val="24"/>
          <w:vertAlign w:val="superscript"/>
          <w:lang w:val="en-GB"/>
        </w:rPr>
        <w:footnoteReference w:id="24"/>
      </w:r>
      <w:r>
        <w:rPr>
          <w:sz w:val="24"/>
          <w:szCs w:val="24"/>
        </w:rPr>
        <w:t xml:space="preserve">. </w:t>
      </w:r>
    </w:p>
    <w:p>
      <w:pPr>
        <w:pStyle w:val="Normal"/>
        <w:widowControl/>
        <w:numPr>
          <w:ilvl w:val="1"/>
          <w:numId w:val="15"/>
        </w:numPr>
        <w:tabs>
          <w:tab w:val="clear" w:pos="709"/>
          <w:tab w:val="left" w:pos="1134" w:leader="none"/>
        </w:tabs>
        <w:ind w:firstLine="710" w:left="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r>
        <w:rPr>
          <w:rStyle w:val="FootnoteReference"/>
          <w:sz w:val="24"/>
          <w:szCs w:val="24"/>
          <w:vertAlign w:val="superscript"/>
          <w:lang w:val="en-GB"/>
        </w:rPr>
        <w:footnoteReference w:id="25"/>
      </w:r>
      <w:r>
        <w:rPr>
          <w:sz w:val="24"/>
          <w:szCs w:val="24"/>
        </w:rPr>
        <w:t>.</w:t>
      </w:r>
    </w:p>
    <w:p>
      <w:pPr>
        <w:pStyle w:val="Normal"/>
        <w:widowControl/>
        <w:numPr>
          <w:ilvl w:val="1"/>
          <w:numId w:val="15"/>
        </w:numPr>
        <w:tabs>
          <w:tab w:val="clear" w:pos="709"/>
          <w:tab w:val="left" w:pos="1134" w:leader="none"/>
        </w:tabs>
        <w:ind w:firstLine="710" w:left="0"/>
        <w:jc w:val="both"/>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r>
        <w:rPr>
          <w:sz w:val="24"/>
          <w:szCs w:val="24"/>
          <w:lang w:val="en-GB"/>
        </w:rPr>
        <w:t>asv</w:t>
      </w:r>
      <w:r>
        <w:rPr>
          <w:sz w:val="24"/>
          <w:szCs w:val="24"/>
        </w:rPr>
        <w:t>.</w:t>
      </w:r>
      <w:r>
        <w:rPr>
          <w:sz w:val="24"/>
          <w:szCs w:val="24"/>
          <w:lang w:val="en-GB"/>
        </w:rPr>
        <w:t>org</w:t>
      </w:r>
      <w:r>
        <w:rPr>
          <w:sz w:val="24"/>
          <w:szCs w:val="24"/>
        </w:rPr>
        <w:t>.</w:t>
      </w:r>
      <w:r>
        <w:rPr>
          <w:sz w:val="24"/>
          <w:szCs w:val="24"/>
          <w:lang w:val="en-GB"/>
        </w:rPr>
        <w:t>ru</w:t>
      </w:r>
      <w:r>
        <w:rPr>
          <w:sz w:val="24"/>
          <w:szCs w:val="24"/>
        </w:rPr>
        <w:t>))».</w:t>
      </w:r>
    </w:p>
    <w:p>
      <w:pPr>
        <w:pStyle w:val="Normal"/>
        <w:widowControl/>
        <w:numPr>
          <w:ilvl w:val="1"/>
          <w:numId w:val="15"/>
        </w:numPr>
        <w:tabs>
          <w:tab w:val="clear" w:pos="709"/>
          <w:tab w:val="left" w:pos="1134" w:leader="none"/>
        </w:tabs>
        <w:ind w:firstLine="710" w:left="0"/>
        <w:jc w:val="both"/>
        <w:rPr>
          <w:sz w:val="24"/>
          <w:szCs w:val="24"/>
        </w:rPr>
      </w:pPr>
      <w:r>
        <w:rPr>
          <w:sz w:val="24"/>
          <w:szCs w:val="24"/>
        </w:rPr>
        <w:t>Не иметь просроченную задолженность перед Покупателем и компаниями Группы РусГидро.</w:t>
      </w:r>
    </w:p>
    <w:p>
      <w:pPr>
        <w:pStyle w:val="Normal"/>
        <w:widowControl/>
        <w:numPr>
          <w:ilvl w:val="1"/>
          <w:numId w:val="15"/>
        </w:numPr>
        <w:tabs>
          <w:tab w:val="clear" w:pos="709"/>
          <w:tab w:val="left" w:pos="1134" w:leader="none"/>
        </w:tabs>
        <w:ind w:firstLine="710" w:left="0"/>
        <w:jc w:val="both"/>
        <w:rPr>
          <w:sz w:val="24"/>
          <w:szCs w:val="24"/>
        </w:rPr>
      </w:pPr>
      <w:r>
        <w:rPr>
          <w:sz w:val="24"/>
          <w:szCs w:val="24"/>
        </w:rPr>
        <w:t>Присутствовать (иметь отделение, филиал) по месту нахождения Покупателя, его обособленного подразделения или Филиала, для нужд которого заключается Договор</w:t>
      </w:r>
      <w:r>
        <w:rPr>
          <w:rStyle w:val="FootnoteReference"/>
          <w:sz w:val="24"/>
          <w:szCs w:val="24"/>
          <w:vertAlign w:val="superscript"/>
          <w:lang w:val="en-GB"/>
        </w:rPr>
        <w:footnoteReference w:id="26"/>
      </w:r>
      <w:r>
        <w:rPr>
          <w:sz w:val="24"/>
          <w:szCs w:val="24"/>
        </w:rPr>
        <w:t>.</w:t>
      </w:r>
    </w:p>
    <w:p>
      <w:pPr>
        <w:pStyle w:val="Normal"/>
        <w:widowControl/>
        <w:numPr>
          <w:ilvl w:val="1"/>
          <w:numId w:val="15"/>
        </w:numPr>
        <w:tabs>
          <w:tab w:val="clear" w:pos="709"/>
          <w:tab w:val="left" w:pos="1134" w:leader="none"/>
        </w:tabs>
        <w:ind w:firstLine="710" w:left="0"/>
        <w:jc w:val="both"/>
        <w:rPr>
          <w:sz w:val="24"/>
          <w:szCs w:val="24"/>
        </w:rPr>
      </w:pPr>
      <w:r>
        <w:rPr>
          <w:sz w:val="24"/>
          <w:szCs w:val="24"/>
        </w:rPr>
        <w:t xml:space="preserve">Требования, установленные пунктами 2 – 4 настоящих Критериев, </w:t>
        <w:br/>
        <w:t>не распространяются на кредитные организации:</w:t>
      </w:r>
    </w:p>
    <w:p>
      <w:pPr>
        <w:pStyle w:val="Normal"/>
        <w:widowControl/>
        <w:numPr>
          <w:ilvl w:val="1"/>
          <w:numId w:val="16"/>
        </w:numPr>
        <w:tabs>
          <w:tab w:val="clear" w:pos="709"/>
          <w:tab w:val="left" w:pos="1134" w:leader="none"/>
        </w:tabs>
        <w:ind w:firstLine="709" w:left="0"/>
        <w:jc w:val="both"/>
        <w:rPr>
          <w:sz w:val="24"/>
          <w:szCs w:val="24"/>
        </w:rPr>
      </w:pPr>
      <w:r>
        <w:rPr>
          <w:sz w:val="24"/>
          <w:szCs w:val="24"/>
        </w:rPr>
        <w:t xml:space="preserve"> </w:t>
      </w:r>
      <w:r>
        <w:rPr>
          <w:sz w:val="24"/>
          <w:szCs w:val="24"/>
        </w:rPr>
        <w:t xml:space="preserve">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w:t>
        <w:br/>
        <w:t xml:space="preserve">в которой могут размещаться средства федерального бюджета на банковских депозитах </w:t>
        <w:br/>
        <w:t>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widowControl/>
        <w:numPr>
          <w:ilvl w:val="1"/>
          <w:numId w:val="16"/>
        </w:numPr>
        <w:tabs>
          <w:tab w:val="clear" w:pos="709"/>
          <w:tab w:val="left" w:pos="1134" w:leader="none"/>
        </w:tabs>
        <w:ind w:firstLine="709" w:left="0"/>
        <w:jc w:val="both"/>
        <w:rPr>
          <w:sz w:val="24"/>
          <w:szCs w:val="24"/>
        </w:rPr>
      </w:pPr>
      <w:r>
        <w:rPr>
          <w:sz w:val="24"/>
          <w:szCs w:val="24"/>
        </w:rPr>
        <w:t xml:space="preserve"> </w:t>
      </w:r>
      <w:r>
        <w:rPr>
          <w:sz w:val="24"/>
          <w:szCs w:val="24"/>
        </w:rPr>
        <w:t xml:space="preserve">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w:t>
        <w:br/>
        <w:t>и Указом Президента Российской Федерации от 05.06.2015 № 287 «О мерах по дальнейшему развитию малого и среднего предпринимательства».</w:t>
      </w:r>
    </w:p>
    <w:p>
      <w:pPr>
        <w:pStyle w:val="Normal"/>
        <w:widowControl/>
        <w:numPr>
          <w:ilvl w:val="1"/>
          <w:numId w:val="16"/>
        </w:numPr>
        <w:tabs>
          <w:tab w:val="clear" w:pos="709"/>
          <w:tab w:val="left" w:pos="1134" w:leader="none"/>
        </w:tabs>
        <w:ind w:firstLine="709" w:left="0"/>
        <w:jc w:val="both"/>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widowControl/>
        <w:numPr>
          <w:ilvl w:val="1"/>
          <w:numId w:val="16"/>
        </w:numPr>
        <w:tabs>
          <w:tab w:val="clear" w:pos="709"/>
          <w:tab w:val="left" w:pos="1134" w:leader="none"/>
        </w:tabs>
        <w:ind w:firstLine="709" w:left="0"/>
        <w:jc w:val="both"/>
        <w:rPr>
          <w:sz w:val="24"/>
          <w:szCs w:val="24"/>
          <w:lang w:val="en-GB"/>
        </w:rPr>
      </w:pPr>
      <w:r>
        <w:rPr>
          <w:sz w:val="24"/>
          <w:szCs w:val="24"/>
        </w:rPr>
        <w:t xml:space="preserve"> </w:t>
      </w:r>
      <w:r>
        <w:rPr>
          <w:sz w:val="24"/>
          <w:szCs w:val="24"/>
          <w:lang w:val="en-GB"/>
        </w:rPr>
        <w:t>ВЭБ.РФ.</w:t>
      </w:r>
    </w:p>
    <w:p>
      <w:pPr>
        <w:pStyle w:val="Normal"/>
        <w:numPr>
          <w:ilvl w:val="1"/>
          <w:numId w:val="16"/>
        </w:numPr>
        <w:tabs>
          <w:tab w:val="clear" w:pos="709"/>
          <w:tab w:val="left" w:pos="1134" w:leader="none"/>
        </w:tabs>
        <w:spacing w:lineRule="auto" w:line="240"/>
        <w:ind w:firstLine="709" w:left="0"/>
        <w:rPr>
          <w:sz w:val="24"/>
          <w:szCs w:val="24"/>
        </w:rPr>
      </w:pPr>
      <w:r>
        <w:rPr>
          <w:sz w:val="24"/>
          <w:szCs w:val="24"/>
          <w:lang w:val="en-GB"/>
        </w:rPr>
        <w:t>Нерезидентов Российской Федерации.</w:t>
      </w:r>
    </w:p>
    <w:p>
      <w:pPr>
        <w:pStyle w:val="Normal"/>
        <w:widowControl/>
        <w:numPr>
          <w:ilvl w:val="1"/>
          <w:numId w:val="15"/>
        </w:numPr>
        <w:tabs>
          <w:tab w:val="clear" w:pos="709"/>
          <w:tab w:val="left" w:pos="1134" w:leader="none"/>
        </w:tabs>
        <w:ind w:firstLine="710" w:left="0"/>
        <w:jc w:val="both"/>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b/>
          <w:i/>
          <w:sz w:val="24"/>
          <w:szCs w:val="24"/>
          <w:lang w:val="en-GB"/>
        </w:rPr>
        <w:t>Lim</w:t>
      </w:r>
      <w:r>
        <w:rPr>
          <w:b/>
          <w:i/>
          <w:sz w:val="24"/>
          <w:szCs w:val="24"/>
          <w:vertAlign w:val="subscript"/>
          <w:lang w:val="en-GB"/>
        </w:rPr>
        <w:t>Ai</w:t>
      </w:r>
      <w:r>
        <w:rPr>
          <w:b/>
          <w:i/>
          <w:sz w:val="24"/>
          <w:szCs w:val="24"/>
          <w:lang w:val="en-GB"/>
        </w:rPr>
        <w:t xml:space="preserve">  = r</w:t>
      </w:r>
      <w:r>
        <w:rPr>
          <w:b/>
          <w:i/>
          <w:sz w:val="24"/>
          <w:szCs w:val="24"/>
          <w:vertAlign w:val="subscript"/>
          <w:lang w:val="en-GB"/>
        </w:rPr>
        <w:t>i</w:t>
      </w:r>
      <w:r>
        <w:rPr>
          <w:b/>
          <w:i/>
          <w:sz w:val="24"/>
          <w:szCs w:val="24"/>
          <w:lang w:val="en-GB"/>
        </w:rPr>
        <w:t xml:space="preserve"> × СK</w:t>
      </w:r>
      <w:r>
        <w:rPr>
          <w:b/>
          <w:i/>
          <w:sz w:val="24"/>
          <w:szCs w:val="24"/>
          <w:vertAlign w:val="subscript"/>
          <w:lang w:val="en-GB"/>
        </w:rPr>
        <w:t>i</w:t>
      </w:r>
      <w:r>
        <w:rPr>
          <w:sz w:val="24"/>
          <w:szCs w:val="24"/>
          <w:lang w:val="en-GB"/>
        </w:rPr>
        <w:t>, где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hanging="0" w:left="0" w:right="-108"/>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spacing w:lineRule="auto" w:line="240"/>
              <w:ind w:hanging="317" w:left="317" w:right="-108"/>
              <w:rPr>
                <w:color w:val="000000"/>
                <w:sz w:val="24"/>
                <w:szCs w:val="24"/>
              </w:rPr>
            </w:pPr>
            <w:r>
              <w:rPr>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Лимит риска для i-ой кредитной организации</w:t>
            </w:r>
            <w:r>
              <w:rPr>
                <w:rStyle w:val="FootnoteReference"/>
                <w:rFonts w:eastAsia="Times New Roman" w:cs="Times New Roman"/>
                <w:sz w:val="24"/>
                <w:szCs w:val="24"/>
                <w:lang w:eastAsia="ru-RU"/>
              </w:rPr>
              <w:footnoteReference w:id="27"/>
            </w:r>
            <w:r>
              <w:rPr>
                <w:rFonts w:eastAsia="Times New Roman" w:cs="Times New Roman"/>
                <w:sz w:val="24"/>
                <w:szCs w:val="24"/>
                <w:lang w:eastAsia="ru-RU"/>
              </w:rPr>
              <w:t>.</w:t>
            </w:r>
          </w:p>
        </w:tc>
      </w:tr>
      <w:tr>
        <w:trPr>
          <w:trHeight w:val="280" w:hRule="atLeast"/>
        </w:trPr>
        <w:tc>
          <w:tcPr>
            <w:tcW w:w="817" w:type="dxa"/>
            <w:tcBorders/>
            <w:shd w:color="auto" w:fill="auto" w:val="clear"/>
          </w:tcPr>
          <w:p>
            <w:pPr>
              <w:pStyle w:val="Normal"/>
              <w:widowControl w:val="false"/>
              <w:spacing w:lineRule="auto" w:line="240"/>
              <w:ind w:hanging="0" w:left="0" w:right="-108"/>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firstLine="567" w:left="0" w:right="-108"/>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hanging="0" w:left="0" w:right="-108"/>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9">
              <w:r>
                <w:rPr>
                  <w:rStyle w:val="Hyperlink"/>
                  <w:rFonts w:eastAsia="Times New Roman" w:cs="Times New Roman"/>
                  <w:sz w:val="24"/>
                  <w:szCs w:val="24"/>
                  <w:lang w:eastAsia="ru-RU"/>
                </w:rPr>
                <w:t>www.cbr.ru</w:t>
              </w:r>
            </w:hyperlink>
            <w:r>
              <w:rPr>
                <w:rFonts w:eastAsia="Times New Roman" w:cs="Times New Roman"/>
                <w:sz w:val="24"/>
                <w:szCs w:val="24"/>
                <w:lang w:eastAsia="ru-RU"/>
              </w:rPr>
              <w:t>) на официальных сайтах ЦБ РФ и / или кредитной организации либо представленной кредитной организацией Обществу;</w:t>
            </w:r>
          </w:p>
        </w:tc>
      </w:tr>
      <w:tr>
        <w:trPr>
          <w:trHeight w:val="3894" w:hRule="atLeast"/>
        </w:trPr>
        <w:tc>
          <w:tcPr>
            <w:tcW w:w="817" w:type="dxa"/>
            <w:tcBorders/>
          </w:tcPr>
          <w:p>
            <w:pPr>
              <w:pStyle w:val="Normal"/>
              <w:widowControl w:val="false"/>
              <w:spacing w:lineRule="auto" w:line="240"/>
              <w:ind w:hanging="0" w:left="0" w:right="-108"/>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hanging="0" w:left="0" w:right="-108"/>
              <w:rPr>
                <w:sz w:val="24"/>
                <w:szCs w:val="24"/>
              </w:rPr>
            </w:pPr>
            <w:r>
              <w:rPr>
                <w:sz w:val="24"/>
                <w:szCs w:val="24"/>
              </w:rPr>
              <w:t>-</w:t>
            </w:r>
          </w:p>
        </w:tc>
        <w:tc>
          <w:tcPr>
            <w:tcW w:w="8509" w:type="dxa"/>
            <w:tcBorders/>
          </w:tcPr>
          <w:p>
            <w:pPr>
              <w:pStyle w:val="Normal"/>
              <w:widowControl w:val="false"/>
              <w:tabs>
                <w:tab w:val="left" w:pos="709" w:leader="none"/>
                <w:tab w:val="left" w:pos="851" w:leader="none"/>
              </w:tabs>
              <w:suppressAutoHyphens w:val="true"/>
              <w:overflowPunct w:val="true"/>
              <w:bidi w:val="0"/>
              <w:spacing w:lineRule="auto" w:line="240" w:before="0" w:after="0"/>
              <w:ind w:hanging="0" w:left="680" w:right="0"/>
              <w:jc w:val="both"/>
              <w:rPr/>
            </w:pPr>
            <w:r>
              <w:rPr>
                <w:rFonts w:eastAsia="Times New Roman" w:cs="Times New Roman"/>
                <w:sz w:val="24"/>
                <w:szCs w:val="24"/>
                <w:lang w:eastAsia="ru-RU"/>
              </w:rPr>
              <w:t>рейтинговый коэффициент</w:t>
            </w:r>
            <w:r>
              <w:rPr>
                <w:rStyle w:val="FootnoteReference"/>
                <w:rFonts w:eastAsia="Times New Roman" w:cs="Times New Roman"/>
                <w:sz w:val="24"/>
                <w:szCs w:val="24"/>
                <w:lang w:eastAsia="ru-RU"/>
              </w:rPr>
              <w:footnoteReference w:id="28"/>
            </w:r>
            <w:r>
              <w:rPr>
                <w:rFonts w:eastAsia="Times New Roman" w:cs="Times New Roman"/>
                <w:sz w:val="24"/>
                <w:szCs w:val="24"/>
                <w:lang w:eastAsia="ru-RU"/>
              </w:rPr>
              <w:t xml:space="preserve"> для i-ой кредитной организации, равный:</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0,075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«АА-»</w:t>
            </w:r>
            <w:r>
              <w:rPr>
                <w:rFonts w:eastAsia="Times New Roman" w:cs="Times New Roman"/>
                <w:sz w:val="24"/>
                <w:szCs w:val="24"/>
                <w:lang w:eastAsia="ru-RU"/>
              </w:rPr>
              <w:t xml:space="preserve">по классификации рейтингового агентства АКРА или не ниже уровня </w:t>
            </w:r>
            <w:r>
              <w:rPr>
                <w:rFonts w:eastAsia="Times New Roman" w:cs="Times New Roman"/>
                <w:b/>
                <w:sz w:val="24"/>
                <w:szCs w:val="24"/>
                <w:lang w:eastAsia="ru-RU"/>
              </w:rPr>
              <w:t>«</w:t>
            </w:r>
            <w:r>
              <w:rPr>
                <w:rFonts w:eastAsia="Times New Roman" w:cs="Times New Roman"/>
                <w:b/>
                <w:sz w:val="24"/>
                <w:szCs w:val="24"/>
                <w:lang w:val="en-US" w:eastAsia="ru-RU"/>
              </w:rPr>
              <w:t>ru</w:t>
            </w:r>
            <w:r>
              <w:rPr>
                <w:rFonts w:eastAsia="Times New Roman" w:cs="Times New Roman"/>
                <w:b/>
                <w:sz w:val="24"/>
                <w:szCs w:val="24"/>
                <w:lang w:eastAsia="ru-RU"/>
              </w:rPr>
              <w:t>А</w:t>
            </w:r>
            <w:r>
              <w:rPr>
                <w:rFonts w:eastAsia="Times New Roman" w:cs="Times New Roman"/>
                <w:b/>
                <w:sz w:val="24"/>
                <w:szCs w:val="24"/>
                <w:lang w:val="en-US" w:eastAsia="ru-RU"/>
              </w:rPr>
              <w:t>A</w:t>
            </w:r>
            <w:r>
              <w:rPr>
                <w:rFonts w:eastAsia="Times New Roman" w:cs="Times New Roman"/>
                <w:b/>
                <w:sz w:val="24"/>
                <w:szCs w:val="24"/>
                <w:lang w:eastAsia="ru-RU"/>
              </w:rPr>
              <w:t>-»</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b/>
                <w:sz w:val="24"/>
                <w:szCs w:val="24"/>
                <w:lang w:eastAsia="ru-RU"/>
              </w:rPr>
              <w:t>«ruA-»</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firstLine="567" w:left="0" w:right="-108"/>
              <w:rPr>
                <w:sz w:val="24"/>
                <w:szCs w:val="24"/>
              </w:rPr>
            </w:pPr>
            <w:r>
              <w:rPr>
                <w:rFonts w:eastAsia="Times New Roman" w:cs="Times New Roman"/>
                <w:b/>
                <w:sz w:val="24"/>
                <w:szCs w:val="24"/>
                <w:lang w:eastAsia="ru-RU"/>
              </w:rPr>
              <w:t>0,025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w:t>
            </w:r>
            <w:r>
              <w:rPr>
                <w:rFonts w:eastAsia="Times New Roman" w:cs="Times New Roman"/>
                <w:b/>
                <w:sz w:val="24"/>
                <w:szCs w:val="24"/>
                <w:lang w:val="en-US" w:eastAsia="ru-RU"/>
              </w:rPr>
              <w:t>BB</w:t>
            </w:r>
            <w:r>
              <w:rPr>
                <w:rFonts w:eastAsia="Times New Roman" w:cs="Times New Roman"/>
                <w:b/>
                <w:sz w:val="24"/>
                <w:szCs w:val="24"/>
                <w:lang w:eastAsia="ru-RU"/>
              </w:rPr>
              <w:t>В»</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sz w:val="24"/>
                <w:szCs w:val="24"/>
                <w:lang w:val="en-US" w:eastAsia="ru-RU"/>
              </w:rPr>
              <w:t>ruBB</w:t>
            </w:r>
            <w:r>
              <w:rPr>
                <w:rFonts w:eastAsia="Times New Roman" w:cs="Times New Roman"/>
                <w:sz w:val="24"/>
                <w:szCs w:val="24"/>
                <w:lang w:eastAsia="ru-RU"/>
              </w:rPr>
              <w:t>В» по классификации рейтингового агентства Эксперт РА, а также находится в процессе финансового оздоровления (санации).</w:t>
            </w:r>
          </w:p>
        </w:tc>
      </w:tr>
    </w:tbl>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425" w:leader="none"/>
        </w:tabs>
        <w:rPr>
          <w:sz w:val="24"/>
          <w:szCs w:val="24"/>
        </w:rPr>
      </w:pPr>
      <w:r>
        <w:rPr>
          <w:sz w:val="24"/>
          <w:szCs w:val="24"/>
        </w:rPr>
      </w:r>
    </w:p>
    <w:tbl>
      <w:tblPr>
        <w:tblW w:w="1375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rPr>
                <w:b/>
                <w:sz w:val="24"/>
                <w:szCs w:val="24"/>
                <w:lang w:val="en-GB"/>
              </w:rPr>
            </w:pPr>
            <w:r>
              <w:rPr>
                <w:b/>
                <w:sz w:val="24"/>
                <w:szCs w:val="24"/>
              </w:rPr>
              <w:t>Покупатель</w:t>
            </w:r>
            <w:r>
              <w:rPr>
                <w:b/>
                <w:sz w:val="24"/>
                <w:szCs w:val="24"/>
                <w:lang w:val="en-GB"/>
              </w:rPr>
              <w:t>:</w:t>
            </w:r>
          </w:p>
        </w:tc>
        <w:tc>
          <w:tcPr>
            <w:tcW w:w="8789" w:type="dxa"/>
            <w:tcBorders/>
          </w:tcPr>
          <w:p>
            <w:pPr>
              <w:pStyle w:val="Normal"/>
              <w:widowControl w:val="false"/>
              <w:rPr>
                <w:b/>
                <w:sz w:val="24"/>
                <w:szCs w:val="24"/>
                <w:lang w:val="en-GB"/>
              </w:rPr>
            </w:pPr>
            <w:r>
              <w:rPr>
                <w:b/>
                <w:sz w:val="24"/>
                <w:szCs w:val="24"/>
              </w:rPr>
              <w:t>Поставщик</w:t>
            </w:r>
            <w:r>
              <w:rPr>
                <w:b/>
                <w:sz w:val="24"/>
                <w:szCs w:val="24"/>
                <w:lang w:val="en-GB"/>
              </w:rPr>
              <w:t>:</w:t>
            </w:r>
          </w:p>
        </w:tc>
      </w:tr>
      <w:tr>
        <w:trPr/>
        <w:tc>
          <w:tcPr>
            <w:tcW w:w="4961"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tc>
        <w:tc>
          <w:tcPr>
            <w:tcW w:w="8789"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4</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4"/>
          <w:szCs w:val="24"/>
        </w:rPr>
      </w:pPr>
      <w:r>
        <w:rPr>
          <w:sz w:val="22"/>
          <w:szCs w:val="22"/>
        </w:rPr>
        <w:t>от «____» __________ 20 _ г.</w:t>
      </w:r>
      <w:r>
        <w:rPr>
          <w:sz w:val="24"/>
          <w:szCs w:val="24"/>
        </w:rPr>
        <w:t xml:space="preserve">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uppressAutoHyphens w:val="true"/>
        <w:spacing w:lineRule="auto" w:line="25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1.1. Нарушение ППБ без возникновения пожара</w:t>
            </w:r>
          </w:p>
          <w:p>
            <w:pPr>
              <w:pStyle w:val="Normal"/>
              <w:widowControl w:val="false"/>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bl>
    <w:p>
      <w:pPr>
        <w:pStyle w:val="Normal"/>
        <w:ind w:hanging="0" w:left="5103"/>
        <w:rPr>
          <w:sz w:val="24"/>
          <w:szCs w:val="24"/>
        </w:rPr>
      </w:pPr>
      <w:r>
        <w:rPr>
          <w:sz w:val="24"/>
          <w:szCs w:val="24"/>
        </w:rPr>
      </w:r>
    </w:p>
    <w:p>
      <w:pPr>
        <w:pStyle w:val="Normal"/>
        <w:ind w:hanging="0" w:left="5103"/>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hanging="0" w:left="5103"/>
        <w:rPr>
          <w:b/>
          <w:bCs/>
          <w:sz w:val="24"/>
          <w:szCs w:val="24"/>
        </w:rPr>
      </w:pPr>
      <w:r>
        <w:rPr>
          <w:b/>
          <w:bCs/>
          <w:sz w:val="24"/>
          <w:szCs w:val="24"/>
        </w:rPr>
      </w:r>
    </w:p>
    <w:p>
      <w:pPr>
        <w:pStyle w:val="Normal"/>
        <w:widowControl/>
        <w:rPr>
          <w:b/>
          <w:bCs/>
          <w:sz w:val="24"/>
          <w:szCs w:val="24"/>
        </w:rPr>
      </w:pPr>
      <w:r>
        <w:rPr>
          <w:b/>
          <w:bCs/>
          <w:sz w:val="24"/>
          <w:szCs w:val="24"/>
        </w:rPr>
      </w:r>
      <w:r>
        <w:br w:type="page"/>
      </w:r>
    </w:p>
    <w:p>
      <w:pPr>
        <w:pStyle w:val="Normal"/>
        <w:snapToGrid w:val="false"/>
        <w:ind w:firstLine="5103"/>
        <w:rPr>
          <w:sz w:val="22"/>
          <w:szCs w:val="22"/>
          <w:highlight w:val="lightGray"/>
        </w:rPr>
      </w:pPr>
      <w:r>
        <w:rPr>
          <w:sz w:val="22"/>
          <w:szCs w:val="22"/>
          <w:highlight w:val="lightGray"/>
        </w:rPr>
        <w:t>Приложение № 5</w:t>
      </w:r>
    </w:p>
    <w:p>
      <w:pPr>
        <w:pStyle w:val="Normal"/>
        <w:snapToGrid w:val="false"/>
        <w:ind w:firstLine="5103"/>
        <w:rPr>
          <w:sz w:val="22"/>
          <w:szCs w:val="22"/>
          <w:highlight w:val="lightGray"/>
        </w:rPr>
      </w:pPr>
      <w:r>
        <w:rPr>
          <w:sz w:val="22"/>
          <w:szCs w:val="22"/>
          <w:highlight w:val="lightGray"/>
        </w:rPr>
        <w:t>к Договору поставки</w:t>
      </w:r>
    </w:p>
    <w:p>
      <w:pPr>
        <w:pStyle w:val="Normal"/>
        <w:snapToGrid w:val="false"/>
        <w:ind w:firstLine="5103"/>
        <w:rPr>
          <w:sz w:val="22"/>
          <w:szCs w:val="22"/>
        </w:rPr>
      </w:pPr>
      <w:r>
        <w:rPr>
          <w:sz w:val="22"/>
          <w:szCs w:val="22"/>
          <w:highlight w:val="lightGray"/>
        </w:rPr>
        <w:t>от «____» __________ 20 _ г. № ____</w:t>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center"/>
        <w:rPr>
          <w:bCs/>
          <w:sz w:val="28"/>
          <w:szCs w:val="28"/>
        </w:rPr>
      </w:pPr>
      <w:r>
        <w:rPr>
          <w:bCs/>
          <w:sz w:val="28"/>
          <w:szCs w:val="28"/>
        </w:rPr>
        <w:t>Регламент взаимодействия в ходе исполнения процессов управления проектом</w:t>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ListParagraph"/>
        <w:shd w:val="clear" w:color="auto" w:fill="FFFFFF"/>
        <w:ind w:hanging="0" w:left="0"/>
        <w:jc w:val="center"/>
        <w:rPr>
          <w:bCs/>
        </w:rPr>
      </w:pPr>
      <w:r>
        <w:rPr>
          <w:bCs/>
        </w:rPr>
      </w:r>
    </w:p>
    <w:p>
      <w:pPr>
        <w:pStyle w:val="ListParagraph"/>
        <w:shd w:val="clear" w:color="auto" w:fill="FFFFFF"/>
        <w:ind w:hanging="0" w:left="0"/>
        <w:jc w:val="both"/>
        <w:rPr>
          <w:bCs/>
        </w:rPr>
      </w:pPr>
      <w:r>
        <w:rPr>
          <w:bCs/>
        </w:rPr>
      </w:r>
    </w:p>
    <w:p>
      <w:pPr>
        <w:pStyle w:val="Normal"/>
        <w:ind w:hanging="0" w:left="5103"/>
        <w:jc w:val="center"/>
        <w:rPr>
          <w:b/>
          <w:bCs/>
          <w:sz w:val="24"/>
          <w:szCs w:val="24"/>
        </w:rPr>
      </w:pPr>
      <w:r>
        <w:rPr>
          <w:b/>
          <w:bCs/>
          <w:sz w:val="24"/>
          <w:szCs w:val="24"/>
        </w:rPr>
      </w:r>
    </w:p>
    <w:p>
      <w:pPr>
        <w:pStyle w:val="Normal"/>
        <w:widowControl/>
        <w:rPr>
          <w:b/>
          <w:bCs/>
          <w:sz w:val="24"/>
          <w:szCs w:val="24"/>
        </w:rPr>
      </w:pPr>
      <w:r>
        <w:rPr>
          <w:b/>
          <w:bCs/>
          <w:sz w:val="24"/>
          <w:szCs w:val="24"/>
        </w:rPr>
      </w:r>
      <w:r>
        <w:br w:type="page"/>
      </w:r>
    </w:p>
    <w:p>
      <w:pPr>
        <w:pStyle w:val="Normal"/>
        <w:widowControl/>
        <w:tabs>
          <w:tab w:val="clear" w:pos="709"/>
          <w:tab w:val="left" w:pos="5387" w:leader="none"/>
        </w:tabs>
        <w:ind w:hanging="0" w:left="5812"/>
        <w:rPr>
          <w:sz w:val="22"/>
          <w:szCs w:val="22"/>
        </w:rPr>
      </w:pPr>
      <w:r>
        <w:rPr>
          <w:sz w:val="22"/>
          <w:szCs w:val="22"/>
        </w:rPr>
        <w:t>Приложение № 6</w:t>
      </w:r>
    </w:p>
    <w:p>
      <w:pPr>
        <w:pStyle w:val="Normal"/>
        <w:widowControl/>
        <w:tabs>
          <w:tab w:val="clear" w:pos="709"/>
          <w:tab w:val="left" w:pos="5387" w:leader="none"/>
        </w:tabs>
        <w:ind w:hanging="0" w:left="5812"/>
        <w:rPr>
          <w:sz w:val="22"/>
          <w:szCs w:val="22"/>
        </w:rPr>
      </w:pPr>
      <w:r>
        <w:rPr>
          <w:sz w:val="22"/>
          <w:szCs w:val="22"/>
        </w:rPr>
        <w:t>к Договору поставки</w:t>
      </w:r>
    </w:p>
    <w:p>
      <w:pPr>
        <w:pStyle w:val="Normal"/>
        <w:widowControl/>
        <w:tabs>
          <w:tab w:val="clear" w:pos="709"/>
          <w:tab w:val="left" w:pos="5387" w:leader="none"/>
        </w:tabs>
        <w:ind w:hanging="0" w:left="5812"/>
        <w:rPr>
          <w:sz w:val="24"/>
          <w:szCs w:val="24"/>
        </w:rPr>
      </w:pPr>
      <w:r>
        <w:rPr>
          <w:sz w:val="22"/>
          <w:szCs w:val="22"/>
        </w:rPr>
        <w:t>от «____» ________ 20 _ г. №_______</w:t>
      </w:r>
    </w:p>
    <w:p>
      <w:pPr>
        <w:pStyle w:val="Normal"/>
        <w:widowControl/>
        <w:ind w:firstLine="709"/>
        <w:jc w:val="center"/>
        <w:rPr>
          <w:szCs w:val="24"/>
        </w:rPr>
      </w:pPr>
      <w:r>
        <w:rPr>
          <w:szCs w:val="24"/>
        </w:rPr>
      </w:r>
    </w:p>
    <w:p>
      <w:pPr>
        <w:pStyle w:val="Normal"/>
        <w:spacing w:lineRule="auto" w:line="240" w:before="20" w:after="20"/>
        <w:ind w:firstLine="709"/>
        <w:jc w:val="center"/>
        <w:rPr>
          <w:b/>
          <w:sz w:val="24"/>
          <w:szCs w:val="24"/>
        </w:rPr>
      </w:pPr>
      <w:bookmarkStart w:id="11" w:name="_Toc122678954_Копия_5"/>
      <w:r>
        <w:rPr>
          <w:b/>
          <w:sz w:val="24"/>
          <w:szCs w:val="24"/>
        </w:rPr>
        <w:t>Методика расчета упущенной выгоды (выручки)</w:t>
      </w:r>
      <w:bookmarkEnd w:id="11"/>
      <w:r>
        <w:rPr>
          <w:b/>
          <w:sz w:val="24"/>
          <w:szCs w:val="24"/>
        </w:rPr>
        <w:t xml:space="preserve"> </w:t>
      </w:r>
    </w:p>
    <w:p>
      <w:pPr>
        <w:pStyle w:val="Normal"/>
        <w:widowControl/>
        <w:spacing w:before="20" w:after="20"/>
        <w:ind w:firstLine="709"/>
        <w:jc w:val="center"/>
        <w:rPr>
          <w:sz w:val="24"/>
          <w:szCs w:val="24"/>
        </w:rPr>
      </w:pPr>
      <w:r>
        <w:rPr>
          <w:b/>
          <w:sz w:val="24"/>
          <w:szCs w:val="24"/>
        </w:rPr>
        <w:t>и дополнительных обязательств участника ОРЭМ от недопоставки электрической энергии и мощности на ОРЭМ в</w:t>
      </w:r>
      <w:r>
        <w:rPr>
          <w:rFonts w:eastAsia="Times New Roman" w:cs="Times New Roman"/>
          <w:b/>
          <w:color w:val="auto"/>
          <w:kern w:val="0"/>
          <w:sz w:val="24"/>
          <w:szCs w:val="24"/>
          <w:lang w:val="ru-RU" w:eastAsia="ru-RU" w:bidi="ar-SA"/>
        </w:rPr>
        <w:t xml:space="preserve"> отдельной территории ценовой зоны оптового рынка, ранее относившейся к</w:t>
      </w:r>
      <w:r>
        <w:rPr>
          <w:b/>
          <w:sz w:val="24"/>
          <w:szCs w:val="24"/>
        </w:rPr>
        <w:t> неценовой зоне оптового рынка Дальнего Востока</w:t>
      </w:r>
    </w:p>
    <w:p>
      <w:pPr>
        <w:pStyle w:val="Normal"/>
        <w:widowControl/>
        <w:spacing w:before="20" w:after="20"/>
        <w:ind w:firstLine="709"/>
        <w:jc w:val="center"/>
        <w:rPr>
          <w:sz w:val="24"/>
          <w:szCs w:val="24"/>
        </w:rPr>
      </w:pPr>
      <w:r>
        <w:rPr>
          <w:sz w:val="24"/>
          <w:szCs w:val="24"/>
        </w:rPr>
      </w:r>
    </w:p>
    <w:p>
      <w:pPr>
        <w:pStyle w:val="Normal"/>
        <w:widowControl/>
        <w:ind w:firstLine="709"/>
        <w:jc w:val="both"/>
        <w:rPr>
          <w:sz w:val="24"/>
          <w:szCs w:val="24"/>
        </w:rPr>
      </w:pPr>
      <w:r>
        <w:rPr>
          <w:sz w:val="24"/>
          <w:szCs w:val="24"/>
        </w:rPr>
        <w:t>Для определения снижения оплаты мощности в результате аварийных, неотложных, неплановых ремонтов, продления ремонтов, вынужденных простоев, снижения максимальной мощности используются следующие документы:</w:t>
      </w:r>
    </w:p>
    <w:p>
      <w:pPr>
        <w:pStyle w:val="ListParagraph"/>
        <w:widowControl/>
        <w:numPr>
          <w:ilvl w:val="0"/>
          <w:numId w:val="19"/>
        </w:numPr>
        <w:tabs>
          <w:tab w:val="clear" w:pos="709"/>
          <w:tab w:val="left" w:pos="1276" w:leader="none"/>
          <w:tab w:val="left" w:pos="1418" w:leader="none"/>
        </w:tabs>
        <w:ind w:firstLine="709" w:left="0"/>
        <w:jc w:val="both"/>
        <w:rPr>
          <w:sz w:val="24"/>
          <w:szCs w:val="24"/>
        </w:rPr>
      </w:pPr>
      <w:r>
        <w:rPr>
          <w:sz w:val="24"/>
          <w:szCs w:val="24"/>
        </w:rPr>
        <w:t xml:space="preserve">Заявки на изменения эксплуатационного состояния или технологического режима работы энергетического оборудования, находящегося в диспетчерском ведении ОДУ Востока подаваемые посредством использования единого программного комплекса (ПК «Заявки») </w:t>
        <w:br/>
        <w:t xml:space="preserve">в соответствии с п. 4 «Положения о порядке оформления, подачи, рассмотрения </w:t>
        <w:br/>
        <w:t>и согласования диспетчерских заявок на изменение технологического режима работы или эксплуатационного состояния объектов диспетчеризации ОДУ Востока».</w:t>
      </w:r>
    </w:p>
    <w:p>
      <w:pPr>
        <w:pStyle w:val="Normal"/>
        <w:widowControl/>
        <w:spacing w:before="20" w:after="20"/>
        <w:ind w:firstLine="709"/>
        <w:jc w:val="both"/>
        <w:rPr>
          <w:sz w:val="24"/>
          <w:szCs w:val="24"/>
        </w:rPr>
      </w:pPr>
      <w:r>
        <w:rPr>
          <w:sz w:val="24"/>
          <w:szCs w:val="24"/>
        </w:rPr>
        <w:t xml:space="preserve">В заявках должны быть указаны: </w:t>
      </w:r>
    </w:p>
    <w:p>
      <w:pPr>
        <w:pStyle w:val="Normal"/>
        <w:widowControl/>
        <w:numPr>
          <w:ilvl w:val="0"/>
          <w:numId w:val="17"/>
        </w:numPr>
        <w:ind w:firstLine="709" w:left="0"/>
        <w:jc w:val="both"/>
        <w:rPr>
          <w:bCs/>
          <w:sz w:val="24"/>
          <w:szCs w:val="24"/>
          <w:lang w:val="en-GB"/>
        </w:rPr>
      </w:pPr>
      <w:r>
        <w:rPr>
          <w:bCs/>
          <w:sz w:val="24"/>
          <w:szCs w:val="24"/>
          <w:lang w:val="en-GB"/>
        </w:rPr>
        <w:t>номер заявки;</w:t>
      </w:r>
    </w:p>
    <w:p>
      <w:pPr>
        <w:pStyle w:val="Normal"/>
        <w:widowControl/>
        <w:numPr>
          <w:ilvl w:val="0"/>
          <w:numId w:val="17"/>
        </w:numPr>
        <w:ind w:firstLine="709" w:left="0"/>
        <w:jc w:val="both"/>
        <w:rPr>
          <w:bCs/>
          <w:sz w:val="24"/>
          <w:szCs w:val="24"/>
          <w:lang w:val="en-GB"/>
        </w:rPr>
      </w:pPr>
      <w:r>
        <w:rPr>
          <w:bCs/>
          <w:sz w:val="24"/>
          <w:szCs w:val="24"/>
          <w:lang w:val="en-GB"/>
        </w:rPr>
        <w:t>подающее предприятие;</w:t>
      </w:r>
    </w:p>
    <w:p>
      <w:pPr>
        <w:pStyle w:val="Normal"/>
        <w:widowControl/>
        <w:numPr>
          <w:ilvl w:val="0"/>
          <w:numId w:val="17"/>
        </w:numPr>
        <w:ind w:firstLine="709" w:left="0"/>
        <w:jc w:val="both"/>
        <w:rPr>
          <w:bCs/>
          <w:sz w:val="24"/>
          <w:szCs w:val="24"/>
        </w:rPr>
      </w:pPr>
      <w:r>
        <w:rPr>
          <w:bCs/>
          <w:sz w:val="24"/>
          <w:szCs w:val="24"/>
        </w:rPr>
        <w:t>оборудование, по которому фиксируется изменение эксплуатационного состояния или технологического режима работы;</w:t>
      </w:r>
    </w:p>
    <w:p>
      <w:pPr>
        <w:pStyle w:val="Normal"/>
        <w:widowControl/>
        <w:numPr>
          <w:ilvl w:val="0"/>
          <w:numId w:val="17"/>
        </w:numPr>
        <w:ind w:firstLine="709" w:left="0"/>
        <w:jc w:val="both"/>
        <w:rPr>
          <w:bCs/>
          <w:sz w:val="24"/>
          <w:szCs w:val="24"/>
          <w:lang w:val="en-GB"/>
        </w:rPr>
      </w:pPr>
      <w:r>
        <w:rPr>
          <w:bCs/>
          <w:sz w:val="24"/>
          <w:szCs w:val="24"/>
          <w:lang w:val="en-GB"/>
        </w:rPr>
        <w:t>величина снижения максимальной мощности;</w:t>
      </w:r>
    </w:p>
    <w:p>
      <w:pPr>
        <w:pStyle w:val="Normal"/>
        <w:widowControl/>
        <w:numPr>
          <w:ilvl w:val="0"/>
          <w:numId w:val="17"/>
        </w:numPr>
        <w:ind w:firstLine="709" w:left="0"/>
        <w:jc w:val="both"/>
        <w:rPr>
          <w:bCs/>
          <w:sz w:val="24"/>
          <w:szCs w:val="24"/>
          <w:lang w:val="en-GB"/>
        </w:rPr>
      </w:pPr>
      <w:r>
        <w:rPr>
          <w:bCs/>
          <w:sz w:val="24"/>
          <w:szCs w:val="24"/>
          <w:lang w:val="en-GB"/>
        </w:rPr>
        <w:t>содержание работ;</w:t>
      </w:r>
    </w:p>
    <w:p>
      <w:pPr>
        <w:pStyle w:val="Normal"/>
        <w:widowControl/>
        <w:numPr>
          <w:ilvl w:val="0"/>
          <w:numId w:val="17"/>
        </w:numPr>
        <w:ind w:firstLine="709" w:left="0"/>
        <w:jc w:val="both"/>
        <w:rPr>
          <w:bCs/>
          <w:sz w:val="24"/>
          <w:szCs w:val="24"/>
          <w:lang w:val="en-GB"/>
        </w:rPr>
      </w:pPr>
      <w:r>
        <w:rPr>
          <w:bCs/>
          <w:sz w:val="24"/>
          <w:szCs w:val="24"/>
          <w:lang w:val="en-GB"/>
        </w:rPr>
        <w:t>время подачи заявки;</w:t>
      </w:r>
    </w:p>
    <w:p>
      <w:pPr>
        <w:pStyle w:val="Normal"/>
        <w:widowControl/>
        <w:numPr>
          <w:ilvl w:val="0"/>
          <w:numId w:val="17"/>
        </w:numPr>
        <w:ind w:firstLine="709" w:left="0"/>
        <w:jc w:val="both"/>
        <w:rPr>
          <w:bCs/>
          <w:sz w:val="24"/>
          <w:szCs w:val="24"/>
        </w:rPr>
      </w:pPr>
      <w:r>
        <w:rPr>
          <w:bCs/>
          <w:sz w:val="24"/>
          <w:szCs w:val="24"/>
        </w:rPr>
        <w:t>время начала и конца действия заявки и др.</w:t>
      </w:r>
    </w:p>
    <w:p>
      <w:pPr>
        <w:pStyle w:val="Normal"/>
        <w:widowControl/>
        <w:spacing w:before="120" w:after="20"/>
        <w:ind w:firstLine="709"/>
        <w:jc w:val="both"/>
        <w:rPr>
          <w:sz w:val="24"/>
          <w:szCs w:val="24"/>
        </w:rPr>
      </w:pPr>
      <w:r>
        <w:rPr>
          <w:sz w:val="24"/>
          <w:szCs w:val="24"/>
        </w:rPr>
        <w:t>2.</w:t>
        <w:tab/>
      </w:r>
      <w:r>
        <w:rPr/>
      </w:r>
      <m:oMath xmlns:m="http://schemas.openxmlformats.org/officeDocument/2006/math">
        <m:sSubSup>
          <m:e>
            <m:r>
              <w:rPr>
                <w:rFonts w:ascii="Cambria Math" w:hAnsi="Cambria Math"/>
              </w:rPr>
              <m:t xml:space="preserve">Δ</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r>
              <w:rPr>
                <w:rFonts w:ascii="Cambria Math" w:hAnsi="Cambria Math"/>
              </w:rPr>
              <m:t xml:space="preserve">,</m:t>
            </m:r>
            <m:r>
              <w:rPr>
                <w:rFonts w:ascii="Cambria Math" w:hAnsi="Cambria Math"/>
              </w:rPr>
              <m:t xml:space="preserve">h</m:t>
            </m:r>
          </m:sub>
          <m:sup>
            <m:r>
              <w:rPr>
                <w:rFonts w:ascii="Cambria Math" w:hAnsi="Cambria Math"/>
              </w:rPr>
              <m:t xml:space="preserve">j</m:t>
            </m:r>
          </m:sup>
        </m:sSubSup>
      </m:oMath>
      <w:r>
        <w:rPr/>
      </w:r>
      <m:oMath xmlns:m="http://schemas.openxmlformats.org/officeDocument/2006/math">
        <m:sSubSup>
          <m:e>
            <m:r>
              <w:rPr>
                <w:rFonts w:ascii="Cambria Math" w:hAnsi="Cambria Math"/>
              </w:rPr>
              <m:t xml:space="preserve">Δ</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2</m:t>
            </m:r>
            <m:r>
              <w:rPr>
                <w:rFonts w:ascii="Cambria Math" w:hAnsi="Cambria Math"/>
              </w:rPr>
              <m:t xml:space="preserve">,</m:t>
            </m:r>
            <m:r>
              <w:rPr>
                <w:rFonts w:ascii="Cambria Math" w:hAnsi="Cambria Math"/>
              </w:rPr>
              <m:t xml:space="preserve">h</m:t>
            </m:r>
          </m:sub>
          <m:sup>
            <m:r>
              <w:rPr>
                <w:rFonts w:ascii="Cambria Math" w:hAnsi="Cambria Math"/>
              </w:rPr>
              <m:t xml:space="preserve">j</m:t>
            </m:r>
          </m:sup>
        </m:sSubSup>
      </m:oMath>
      <w:r>
        <w:rPr/>
      </w:r>
      <m:oMath xmlns:m="http://schemas.openxmlformats.org/officeDocument/2006/math"/>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w:rPr>
                    <w:rFonts w:ascii="Cambria Math" w:hAnsi="Cambria Math"/>
                  </w:rPr>
                  <m:t xml:space="preserve">2</m:t>
                </m:r>
                <m:r>
                  <m:rPr>
                    <m:lit/>
                    <m:nor/>
                  </m:rPr>
                  <w:rPr>
                    <w:rFonts w:ascii="Cambria Math" w:hAnsi="Cambria Math"/>
                  </w:rPr>
                  <m:t xml:space="preserve">_max,</m:t>
                </m:r>
                <m:r>
                  <w:rPr>
                    <w:rFonts w:ascii="Cambria Math" w:hAnsi="Cambria Math"/>
                  </w:rPr>
                  <m:t xml:space="preserve">h</m:t>
                </m:r>
              </m:sub>
              <m:sup>
                <m:r>
                  <w:rPr>
                    <w:rFonts w:ascii="Cambria Math" w:hAnsi="Cambria Math"/>
                  </w:rPr>
                  <m:t xml:space="preserve">1</m:t>
                </m:r>
                <m:d>
                  <m:dPr>
                    <m:begChr m:val="("/>
                    <m:endChr m:val=")"/>
                  </m:dPr>
                  <m:e>
                    <m:r>
                      <m:rPr>
                        <m:lit/>
                        <m:nor/>
                      </m:rPr>
                      <w:rPr>
                        <w:rFonts w:ascii="Cambria Math" w:hAnsi="Cambria Math"/>
                      </w:rPr>
                      <m:t xml:space="preserve">120</m:t>
                    </m:r>
                  </m:e>
                </m:d>
              </m:sup>
            </m:sSubSup>
          </m:sup>
        </m:sSup>
      </m:oMath>
      <w:r>
        <w:rPr/>
      </w:r>
      <m:oMath xmlns:m="http://schemas.openxmlformats.org/officeDocument/2006/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2</m:t>
            </m:r>
          </m:sub>
        </m:sSub>
      </m:o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Б2</m:t>
            </m:r>
          </m:sub>
        </m:sSub>
      </m:oMath>
      <w:r>
        <w:rPr/>
      </w:r>
      <m:oMath xmlns:m="http://schemas.openxmlformats.org/officeDocument/2006/math"/>
      <w:r>
        <w:rPr/>
      </w:r>
      <m:oMath xmlns:m="http://schemas.openxmlformats.org/officeDocument/2006/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Г3</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Д</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Е</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Ж</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З</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И</m:t>
            </m:r>
          </m:sub>
        </m:sSub>
      </m:oMath>
      <w:r>
        <w:rPr>
          <w:sz w:val="24"/>
          <w:szCs w:val="24"/>
        </w:rPr>
        <w:t xml:space="preserve">Данные о параметрах готовности генерирующего оборудования (ГРМ), а также информация о фактической нагрузке по данным СОТИАССО на конец каждого часа отчетного месяца по ГТП, сформированные Системным Оператором  соответствии с п. 6.  «Технических требований к генерирующему оборудованию участников оптового рынка», п. 5. </w:t>
      </w:r>
      <w:r>
        <w:rPr>
          <w:rFonts w:eastAsia="Times New Roman" w:cs="Times New Roman"/>
          <w:color w:val="auto"/>
          <w:kern w:val="0"/>
          <w:sz w:val="24"/>
          <w:szCs w:val="24"/>
          <w:lang w:val="ru-RU" w:eastAsia="ru-RU" w:bidi="ar-SA"/>
        </w:rPr>
        <w:t>«</w:t>
      </w:r>
      <w:r>
        <w:rPr>
          <w:sz w:val="24"/>
          <w:szCs w:val="24"/>
        </w:rPr>
        <w:t>Порядка установления соответствия генерирующего оборудования участников оптового рынка техническим требованиям</w:t>
      </w:r>
      <w:r>
        <w:rPr>
          <w:rFonts w:eastAsia="Times New Roman" w:cs="Times New Roman"/>
          <w:color w:val="auto"/>
          <w:kern w:val="0"/>
          <w:sz w:val="24"/>
          <w:szCs w:val="24"/>
          <w:lang w:val="ru-RU" w:eastAsia="ru-RU" w:bidi="ar-SA"/>
        </w:rPr>
        <w:t>»</w:t>
      </w:r>
      <w:r>
        <w:rPr>
          <w:sz w:val="24"/>
          <w:szCs w:val="24"/>
        </w:rPr>
        <w:t xml:space="preserve"> и пп. 3.4. Регламента определения объемов фактически поставленной на оптовый рынок мощности (приложение № 13 к Договору о присоединении к торговой системе оптового рынка)» регистрируется значения снижения мощности:</w:t>
      </w:r>
      <w:r>
        <w:rPr/>
      </w:r>
      <m:oMath xmlns:m="http://schemas.openxmlformats.org/officeDocument/2006/math"/>
      <w:r>
        <w:rPr>
          <w:rFonts w:eastAsia="Times New Roman" w:cs="Times New Roman"/>
          <w:sz w:val="24"/>
          <w:szCs w:val="24"/>
        </w:rPr>
        <w:t xml:space="preserve"> </w:t>
      </w:r>
    </w:p>
    <w:p>
      <w:pPr>
        <w:pStyle w:val="Normal"/>
        <w:spacing w:lineRule="auto" w:line="240" w:before="20" w:after="20"/>
        <w:ind w:firstLine="709"/>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w:rPr>
                    <w:rFonts w:ascii="Cambria Math" w:hAnsi="Cambria Math"/>
                  </w:rPr>
                  <m:t xml:space="preserve">0</m:t>
                </m:r>
                <m:r>
                  <m:rPr>
                    <m:lit/>
                    <m:nor/>
                  </m:rPr>
                  <w:rPr>
                    <w:rFonts w:ascii="Cambria Math" w:hAnsi="Cambria Math"/>
                  </w:rPr>
                  <m:t xml:space="preserve">,m</m:t>
                </m:r>
              </m:sub>
              <m:sup>
                <m:r>
                  <w:rPr>
                    <w:rFonts w:ascii="Cambria Math" w:hAnsi="Cambria Math"/>
                  </w:rPr>
                  <m:t xml:space="preserve">1</m:t>
                </m:r>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 xml:space="preserve">величина согласованных ограничений установленной мощности в пределах, заявленных по процедуре конкурентного отбора мощности (КОМ); </w:t>
      </w:r>
    </w:p>
    <w:p>
      <w:pPr>
        <w:pStyle w:val="Normal"/>
        <w:spacing w:lineRule="auto" w:line="276" w:before="120" w:after="20"/>
        <w:ind w:firstLine="709"/>
        <w:jc w:val="both"/>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w:rPr>
                    <w:rFonts w:ascii="Cambria Math" w:hAnsi="Cambria Math"/>
                  </w:rPr>
                  <m:t xml:space="preserve">0</m:t>
                </m:r>
                <m:r>
                  <m:rPr>
                    <m:lit/>
                    <m:nor/>
                  </m:rPr>
                  <w:rPr>
                    <w:rFonts w:ascii="Cambria Math" w:hAnsi="Cambria Math"/>
                  </w:rPr>
                  <m:t xml:space="preserve">,m</m:t>
                </m:r>
              </m:sub>
              <m:sup>
                <m:r>
                  <w:rPr>
                    <w:rFonts w:ascii="Cambria Math" w:hAnsi="Cambria Math"/>
                  </w:rPr>
                  <m:t xml:space="preserve">2</m:t>
                </m:r>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согласованных ограничений установленной мощности сверх, заявленных в КОМ;</w:t>
      </w:r>
    </w:p>
    <w:p>
      <w:pPr>
        <w:pStyle w:val="Normal"/>
        <w:spacing w:lineRule="auto" w:line="276" w:before="20" w:after="20"/>
        <w:ind w:firstLine="709"/>
        <w:jc w:val="both"/>
        <w:rPr>
          <w:sz w:val="24"/>
          <w:szCs w:val="24"/>
        </w:rPr>
      </w:pPr>
      <w:r>
        <w:rPr/>
        <w:drawing>
          <wp:inline distT="0" distB="0" distL="0" distR="0">
            <wp:extent cx="323850" cy="219075"/>
            <wp:effectExtent l="0" t="0" r="0" b="0"/>
            <wp:docPr id="1"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descr=""/>
                    <pic:cNvPicPr>
                      <a:picLocks noChangeAspect="1" noChangeArrowheads="1"/>
                    </pic:cNvPicPr>
                  </pic:nvPicPr>
                  <pic:blipFill>
                    <a:blip r:embed="rId10"/>
                    <a:srcRect l="-222" t="-329" r="-222" b="-329"/>
                    <a:stretch>
                      <a:fillRect/>
                    </a:stretch>
                  </pic:blipFill>
                  <pic:spPr bwMode="auto">
                    <a:xfrm>
                      <a:off x="0" y="0"/>
                      <a:ext cx="323850" cy="21907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согласованного планового ремонтного снижения мощности;</w:t>
      </w:r>
    </w:p>
    <w:p>
      <w:pPr>
        <w:pStyle w:val="Normal"/>
        <w:spacing w:lineRule="auto" w:line="276" w:before="20" w:after="20"/>
        <w:ind w:firstLine="709"/>
        <w:jc w:val="both"/>
        <w:rPr>
          <w:sz w:val="24"/>
          <w:szCs w:val="24"/>
        </w:rPr>
      </w:pPr>
      <w:r>
        <w:rPr/>
      </w:r>
      <m:oMath xmlns:m="http://schemas.openxmlformats.org/officeDocument/2006/math">
        <m:sSubSup>
          <m:e>
            <m:r>
              <w:rPr>
                <w:rFonts w:ascii="Cambria Math" w:hAnsi="Cambria Math"/>
              </w:rPr>
              <m:t xml:space="preserve">Δ</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,h</m:t>
            </m:r>
          </m:sub>
          <m:sup>
            <m:r>
              <w:rPr>
                <w:rFonts w:ascii="Cambria Math" w:hAnsi="Cambria Math"/>
              </w:rPr>
              <m:t xml:space="preserve">j</m:t>
            </m:r>
          </m:sup>
        </m:sSub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плановое ремонтное снижение мощности, обусловленное проведением ремонта длительностью более 180 (сто восьмидесяти) суток для ТЭС в год;</w:t>
      </w:r>
    </w:p>
    <w:p>
      <w:pPr>
        <w:pStyle w:val="Normal"/>
        <w:spacing w:lineRule="auto" w:line="276" w:before="20" w:after="20"/>
        <w:ind w:firstLine="709"/>
        <w:jc w:val="both"/>
        <w:rPr>
          <w:sz w:val="24"/>
          <w:szCs w:val="24"/>
        </w:rPr>
      </w:pPr>
      <w:r>
        <w:rPr/>
      </w:r>
      <m:oMath xmlns:m="http://schemas.openxmlformats.org/officeDocument/2006/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итоговое значение согласованного планового ремонтного снижения располагаемой мощности;</w:t>
      </w:r>
    </w:p>
    <w:p>
      <w:pPr>
        <w:pStyle w:val="Normal"/>
        <w:spacing w:lineRule="auto" w:line="276" w:before="20" w:after="20"/>
        <w:ind w:firstLine="709"/>
        <w:jc w:val="both"/>
        <w:rPr>
          <w:sz w:val="24"/>
          <w:szCs w:val="24"/>
        </w:rPr>
      </w:pPr>
      <w:r>
        <w:rPr>
          <w:rFonts w:eastAsia="Times New Roman" w:cs="Times New Roman"/>
          <w:sz w:val="24"/>
          <w:szCs w:val="24"/>
        </w:rPr>
        <w:t xml:space="preserve"> </w:t>
      </w:r>
      <w:r>
        <w:rPr/>
      </w:r>
      <m:oMath xmlns:m="http://schemas.openxmlformats.org/officeDocument/2006/math">
        <m:sSubSup>
          <m:e>
            <m:r>
              <w:rPr>
                <w:rFonts w:ascii="Cambria Math" w:hAnsi="Cambria Math"/>
              </w:rPr>
              <m:t xml:space="preserve">∆</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r>
              <m:rPr>
                <m:lit/>
                <m:nor/>
              </m:rPr>
              <w:rPr>
                <w:rFonts w:ascii="Cambria Math" w:hAnsi="Cambria Math"/>
              </w:rPr>
              <m:t xml:space="preserve">,h</m:t>
            </m:r>
          </m:sub>
          <m:sup>
            <m:r>
              <w:rPr>
                <w:rFonts w:ascii="Cambria Math" w:hAnsi="Cambria Math"/>
              </w:rPr>
              <m:t xml:space="preserve">j</m:t>
            </m:r>
          </m:sup>
        </m:sSub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плановое ремонтное снижение мощности по модернизируемым генерирующим объектом вне установленных сроков;</w:t>
      </w:r>
    </w:p>
    <w:p>
      <w:pPr>
        <w:pStyle w:val="Normal"/>
        <w:spacing w:lineRule="auto" w:line="276" w:before="20" w:after="20"/>
        <w:ind w:firstLine="709"/>
        <w:jc w:val="both"/>
        <w:rPr>
          <w:sz w:val="24"/>
          <w:szCs w:val="24"/>
        </w:rPr>
      </w:pPr>
      <w:r>
        <w:rPr/>
        <w:drawing>
          <wp:inline distT="0" distB="0" distL="0" distR="0">
            <wp:extent cx="545465" cy="273050"/>
            <wp:effectExtent l="0" t="0" r="0" b="0"/>
            <wp:docPr id="2"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3" descr=""/>
                    <pic:cNvPicPr>
                      <a:picLocks noChangeAspect="1" noChangeArrowheads="1"/>
                    </pic:cNvPicPr>
                  </pic:nvPicPr>
                  <pic:blipFill>
                    <a:blip r:embed="rId11"/>
                    <a:stretch>
                      <a:fillRect/>
                    </a:stretch>
                  </pic:blipFill>
                  <pic:spPr bwMode="auto">
                    <a:xfrm>
                      <a:off x="0" y="0"/>
                      <a:ext cx="545465" cy="27305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связанное с ремонтом основного или вспомогательного оборудования,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для часов с порядковыми номерами от 120;</w:t>
      </w:r>
    </w:p>
    <w:p>
      <w:pPr>
        <w:pStyle w:val="Normal"/>
        <w:spacing w:lineRule="auto" w:line="276" w:before="20" w:after="20"/>
        <w:ind w:firstLine="709"/>
        <w:jc w:val="both"/>
        <w:rPr>
          <w:sz w:val="24"/>
          <w:szCs w:val="24"/>
        </w:rPr>
      </w:pPr>
      <w:r>
        <w:rPr/>
        <w:drawing>
          <wp:inline distT="0" distB="0" distL="0" distR="0">
            <wp:extent cx="524510" cy="266065"/>
            <wp:effectExtent l="0" t="0" r="0" b="0"/>
            <wp:docPr id="3"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4" descr=""/>
                    <pic:cNvPicPr>
                      <a:picLocks noChangeAspect="1" noChangeArrowheads="1"/>
                    </pic:cNvPicPr>
                  </pic:nvPicPr>
                  <pic:blipFill>
                    <a:blip r:embed="rId12"/>
                    <a:stretch>
                      <a:fillRect/>
                    </a:stretch>
                  </pic:blipFill>
                  <pic:spPr bwMode="auto">
                    <a:xfrm>
                      <a:off x="0" y="0"/>
                      <a:ext cx="524510" cy="26606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заявленное в уведомлении о составе и параметрах оборудования, поданного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приращение минимальной мощности включенного блочного генерирующего оборудования, связанное с ремонтом основного или вспомогательного оборудования, рассчитанное на основании заявленного участником оптового рынка минимума;</w:t>
      </w:r>
    </w:p>
    <w:p>
      <w:pPr>
        <w:pStyle w:val="Normal"/>
        <w:spacing w:lineRule="auto" w:line="276" w:before="20" w:after="20"/>
        <w:ind w:firstLine="709"/>
        <w:jc w:val="both"/>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m:rPr>
                    <m:lit/>
                    <m:nor/>
                  </m:rPr>
                  <w:rPr>
                    <w:rFonts w:ascii="Cambria Math" w:hAnsi="Cambria Math"/>
                  </w:rPr>
                  <m:t xml:space="preserve">2_max,</m:t>
                </m:r>
                <m:r>
                  <w:rPr>
                    <w:rFonts w:ascii="Cambria Math" w:hAnsi="Cambria Math"/>
                  </w:rPr>
                  <m:t xml:space="preserve">h</m:t>
                </m:r>
              </m:sub>
              <m:sup>
                <m:r>
                  <w:rPr>
                    <w:rFonts w:ascii="Cambria Math" w:hAnsi="Cambria Math"/>
                  </w:rPr>
                  <m:t xml:space="preserve">1</m:t>
                </m:r>
                <m:d>
                  <m:dPr>
                    <m:begChr m:val="("/>
                    <m:endChr m:val=")"/>
                  </m:dPr>
                  <m:e>
                    <m:r>
                      <m:rPr>
                        <m:lit/>
                        <m:nor/>
                      </m:rPr>
                      <w:rPr>
                        <w:rFonts w:ascii="Cambria Math" w:hAnsi="Cambria Math"/>
                      </w:rPr>
                      <m:t xml:space="preserve">120</m:t>
                    </m:r>
                  </m:e>
                </m:d>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итоговое значение снижения максимальной мощности ГТП генерации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в уведомлении о составе и параметрах оборудования, поданном в отношении суток Х+2 (уведомление ВСВГО), для часов с порядковыми номерами от 1 до 120;</w:t>
      </w:r>
    </w:p>
    <w:p>
      <w:pPr>
        <w:pStyle w:val="Normal"/>
        <w:spacing w:lineRule="auto" w:line="276" w:before="20" w:after="20"/>
        <w:ind w:firstLine="709"/>
        <w:jc w:val="both"/>
        <w:rPr>
          <w:sz w:val="24"/>
          <w:szCs w:val="24"/>
        </w:rPr>
      </w:pPr>
      <w:r>
        <w:rPr/>
        <w:drawing>
          <wp:inline distT="0" distB="0" distL="0" distR="0">
            <wp:extent cx="532130" cy="272415"/>
            <wp:effectExtent l="0" t="0" r="0" b="0"/>
            <wp:docPr id="4"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5" descr=""/>
                    <pic:cNvPicPr>
                      <a:picLocks noChangeAspect="1" noChangeArrowheads="1"/>
                    </pic:cNvPicPr>
                  </pic:nvPicPr>
                  <pic:blipFill>
                    <a:blip r:embed="rId13"/>
                    <a:stretch>
                      <a:fillRect/>
                    </a:stretch>
                  </pic:blipFill>
                  <pic:spPr bwMode="auto">
                    <a:xfrm>
                      <a:off x="0" y="0"/>
                      <a:ext cx="532130" cy="27241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 xml:space="preserve">снижение мощности ГТП генерации фиксируемое на основании данных, заявляемых участником ОРЭ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(уведомлениях РСВ) в уведомлении о составе и параметрах оборудования и разрешенных внеплановых заявках на снижение максимальной мощности; </w:t>
      </w:r>
    </w:p>
    <w:p>
      <w:pPr>
        <w:pStyle w:val="Normal"/>
        <w:spacing w:lineRule="auto" w:line="276" w:before="20" w:after="20"/>
        <w:ind w:firstLine="709"/>
        <w:jc w:val="both"/>
        <w:rPr>
          <w:sz w:val="24"/>
          <w:szCs w:val="24"/>
        </w:rPr>
      </w:pPr>
      <w:r>
        <w:rPr/>
        <w:drawing>
          <wp:inline distT="0" distB="0" distL="0" distR="0">
            <wp:extent cx="526415" cy="262890"/>
            <wp:effectExtent l="0" t="0" r="0" b="0"/>
            <wp:docPr id="5"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6" descr=""/>
                    <pic:cNvPicPr>
                      <a:picLocks noChangeAspect="1" noChangeArrowheads="1"/>
                    </pic:cNvPicPr>
                  </pic:nvPicPr>
                  <pic:blipFill>
                    <a:blip r:embed="rId14"/>
                    <a:stretch>
                      <a:fillRect/>
                    </a:stretch>
                  </pic:blipFill>
                  <pic:spPr bwMode="auto">
                    <a:xfrm>
                      <a:off x="0" y="0"/>
                      <a:ext cx="526415" cy="2628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приращение минимальной мощности включенного блочного генерирующего оборудования по разрешенной неплановой или неотложной диспетчерской заявке, определенное как увеличение технологического минимума, заявленного участником оптового рынка в период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относительно планового технологического минимума, согласованного СО в отношении включенного блочного генерирующего оборудования, заявленного участником оптового рынка в работу в уведомлении о составе и параметрах генерирующего оборудования;</w:t>
      </w:r>
    </w:p>
    <w:p>
      <w:pPr>
        <w:pStyle w:val="Normal"/>
        <w:spacing w:lineRule="auto" w:line="276" w:before="20" w:after="20"/>
        <w:ind w:firstLine="709"/>
        <w:jc w:val="both"/>
        <w:rPr>
          <w:sz w:val="24"/>
          <w:szCs w:val="24"/>
        </w:rPr>
      </w:pPr>
      <w:r>
        <w:rPr/>
        <w:drawing>
          <wp:inline distT="0" distB="0" distL="0" distR="0">
            <wp:extent cx="620395" cy="320040"/>
            <wp:effectExtent l="0" t="0" r="0" b="0"/>
            <wp:docPr id="6" name="Изображение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7" descr=""/>
                    <pic:cNvPicPr>
                      <a:picLocks noChangeAspect="1" noChangeArrowheads="1"/>
                    </pic:cNvPicPr>
                  </pic:nvPicPr>
                  <pic:blipFill>
                    <a:blip r:embed="rId15"/>
                    <a:stretch>
                      <a:fillRect/>
                    </a:stretch>
                  </pic:blipFill>
                  <pic:spPr bwMode="auto">
                    <a:xfrm>
                      <a:off x="0" y="0"/>
                      <a:ext cx="620395" cy="32004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ГТПГ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t>
      </w:r>
    </w:p>
    <w:p>
      <w:pPr>
        <w:pStyle w:val="Normal"/>
        <w:spacing w:lineRule="auto" w:line="276" w:before="20" w:after="20"/>
        <w:ind w:firstLine="709"/>
        <w:jc w:val="both"/>
        <w:rPr>
          <w:sz w:val="24"/>
          <w:szCs w:val="24"/>
        </w:rPr>
      </w:pPr>
      <w:r>
        <w:rPr/>
        <w:drawing>
          <wp:inline distT="0" distB="0" distL="0" distR="0">
            <wp:extent cx="526415" cy="262890"/>
            <wp:effectExtent l="0" t="0" r="0" b="0"/>
            <wp:docPr id="7" name="Изображение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8" descr=""/>
                    <pic:cNvPicPr>
                      <a:picLocks noChangeAspect="1" noChangeArrowheads="1"/>
                    </pic:cNvPicPr>
                  </pic:nvPicPr>
                  <pic:blipFill>
                    <a:blip r:embed="rId16"/>
                    <a:stretch>
                      <a:fillRect/>
                    </a:stretch>
                  </pic:blipFill>
                  <pic:spPr bwMode="auto">
                    <a:xfrm>
                      <a:off x="0" y="0"/>
                      <a:ext cx="526415" cy="2628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приращения минимальной мощности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t>
      </w:r>
    </w:p>
    <w:p>
      <w:pPr>
        <w:pStyle w:val="Normal"/>
        <w:spacing w:lineRule="auto" w:line="276" w:before="20" w:after="20"/>
        <w:ind w:firstLine="709"/>
        <w:jc w:val="both"/>
        <w:rPr>
          <w:sz w:val="24"/>
          <w:szCs w:val="24"/>
        </w:rPr>
      </w:pPr>
      <w:r>
        <w:rPr/>
        <w:drawing>
          <wp:inline distT="0" distB="0" distL="0" distR="0">
            <wp:extent cx="511810" cy="241300"/>
            <wp:effectExtent l="0" t="0" r="0" b="0"/>
            <wp:docPr id="8" name="Изображение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9" descr=""/>
                    <pic:cNvPicPr>
                      <a:picLocks noChangeAspect="1" noChangeArrowheads="1"/>
                    </pic:cNvPicPr>
                  </pic:nvPicPr>
                  <pic:blipFill>
                    <a:blip r:embed="rId17"/>
                    <a:stretch>
                      <a:fillRect/>
                    </a:stretch>
                  </pic:blipFill>
                  <pic:spPr bwMode="auto">
                    <a:xfrm>
                      <a:off x="0" y="0"/>
                      <a:ext cx="511810" cy="24130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не связанное с отключением генерирующего оборудования, в соответствии с неотложной (аварийной) заявкой или оперативным уведомлением, поданным участником оптового рынка позже, чем за 4 (четырех) часа часов до часа фактической поставки;</w:t>
      </w:r>
    </w:p>
    <w:p>
      <w:pPr>
        <w:pStyle w:val="Normal"/>
        <w:spacing w:lineRule="auto" w:line="276" w:before="20" w:after="20"/>
        <w:ind w:firstLine="709"/>
        <w:jc w:val="both"/>
        <w:rPr>
          <w:sz w:val="24"/>
          <w:szCs w:val="24"/>
        </w:rPr>
      </w:pPr>
      <w:r>
        <w:rPr/>
        <w:drawing>
          <wp:inline distT="0" distB="0" distL="0" distR="0">
            <wp:extent cx="497205" cy="240665"/>
            <wp:effectExtent l="0" t="0" r="0" b="0"/>
            <wp:docPr id="9" name="Изображение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10" descr=""/>
                    <pic:cNvPicPr>
                      <a:picLocks noChangeAspect="1" noChangeArrowheads="1"/>
                    </pic:cNvPicPr>
                  </pic:nvPicPr>
                  <pic:blipFill>
                    <a:blip r:embed="rId18"/>
                    <a:stretch>
                      <a:fillRect/>
                    </a:stretch>
                  </pic:blipFill>
                  <pic:spPr bwMode="auto">
                    <a:xfrm>
                      <a:off x="0" y="0"/>
                      <a:ext cx="497205" cy="24066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увеличении минимальной мощности включенного оборудования, заявленном участником оптового рынка позже 4 (четырех) часов до часа фактической поставки, либо при фактическом увеличении минимальной мощности включенного оборудования;</w:t>
      </w:r>
    </w:p>
    <w:p>
      <w:pPr>
        <w:pStyle w:val="Normal"/>
        <w:spacing w:lineRule="auto" w:line="276" w:before="20" w:after="20"/>
        <w:ind w:firstLine="709"/>
        <w:jc w:val="both"/>
        <w:rPr>
          <w:sz w:val="24"/>
          <w:szCs w:val="24"/>
        </w:rPr>
      </w:pPr>
      <w:r>
        <w:rPr/>
        <w:drawing>
          <wp:inline distT="0" distB="0" distL="0" distR="0">
            <wp:extent cx="914400" cy="285115"/>
            <wp:effectExtent l="0" t="0" r="0" b="0"/>
            <wp:docPr id="10" name="Изображение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1" descr=""/>
                    <pic:cNvPicPr>
                      <a:picLocks noChangeAspect="1" noChangeArrowheads="1"/>
                    </pic:cNvPicPr>
                  </pic:nvPicPr>
                  <pic:blipFill>
                    <a:blip r:embed="rId19"/>
                    <a:stretch>
                      <a:fillRect/>
                    </a:stretch>
                  </pic:blipFill>
                  <pic:spPr bwMode="auto">
                    <a:xfrm>
                      <a:off x="0" y="0"/>
                      <a:ext cx="914400" cy="28511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снижении мощности вследствие вывода в ремонт оборудования по неотложной (аварийной) диспетчерской заявке или оперативному уведомлению, поданному участником оптового рынка позже 4 (четырех) часов до часа фактической поставки (между часом фактического отключения оборудования и часом регистрации заявки участника оптового рынка менее 4 (четырех), вне зависимости от выходных и нерабочих праздничных дней;</w:t>
      </w:r>
    </w:p>
    <w:p>
      <w:pPr>
        <w:pStyle w:val="Normal"/>
        <w:spacing w:lineRule="auto" w:line="276" w:before="20" w:after="20"/>
        <w:ind w:firstLine="709"/>
        <w:jc w:val="both"/>
        <w:rPr>
          <w:sz w:val="24"/>
          <w:szCs w:val="24"/>
        </w:rPr>
      </w:pPr>
      <w:r>
        <w:rPr/>
        <w:drawing>
          <wp:inline distT="0" distB="0" distL="0" distR="0">
            <wp:extent cx="1052830" cy="357505"/>
            <wp:effectExtent l="0" t="0" r="0" b="0"/>
            <wp:docPr id="11" name="Изображение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2" descr=""/>
                    <pic:cNvPicPr>
                      <a:picLocks noChangeAspect="1" noChangeArrowheads="1"/>
                    </pic:cNvPicPr>
                  </pic:nvPicPr>
                  <pic:blipFill>
                    <a:blip r:embed="rId20"/>
                    <a:stretch>
                      <a:fillRect/>
                    </a:stretch>
                  </pic:blipFill>
                  <pic:spPr bwMode="auto">
                    <a:xfrm>
                      <a:off x="0" y="0"/>
                      <a:ext cx="1052830" cy="35750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согласованном увеличении времени включения в сеть;</w:t>
      </w:r>
    </w:p>
    <w:p>
      <w:pPr>
        <w:pStyle w:val="Normal"/>
        <w:spacing w:lineRule="auto" w:line="276" w:before="20" w:after="20"/>
        <w:ind w:firstLine="709"/>
        <w:jc w:val="both"/>
        <w:rPr>
          <w:sz w:val="24"/>
          <w:szCs w:val="24"/>
        </w:rPr>
      </w:pPr>
      <w:r>
        <w:rPr/>
        <w:drawing>
          <wp:inline distT="0" distB="0" distL="0" distR="0">
            <wp:extent cx="958215" cy="313690"/>
            <wp:effectExtent l="0" t="0" r="0" b="0"/>
            <wp:docPr id="12" name="Изображение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13" descr=""/>
                    <pic:cNvPicPr>
                      <a:picLocks noChangeAspect="1" noChangeArrowheads="1"/>
                    </pic:cNvPicPr>
                  </pic:nvPicPr>
                  <pic:blipFill>
                    <a:blip r:embed="rId21"/>
                    <a:stretch>
                      <a:fillRect/>
                    </a:stretch>
                  </pic:blipFill>
                  <pic:spPr bwMode="auto">
                    <a:xfrm>
                      <a:off x="0" y="0"/>
                      <a:ext cx="958215" cy="3136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фактическом включении в сеть генерирующего оборудования со временем, превышающим время нормативного включения в сеть;</w:t>
      </w:r>
    </w:p>
    <w:p>
      <w:pPr>
        <w:pStyle w:val="Normal"/>
        <w:spacing w:lineRule="auto" w:line="240" w:before="20" w:after="20"/>
        <w:ind w:firstLine="709"/>
        <w:rPr>
          <w:sz w:val="24"/>
          <w:szCs w:val="24"/>
        </w:rPr>
      </w:pPr>
      <w:r>
        <w:rPr/>
        <w:drawing>
          <wp:inline distT="0" distB="0" distL="0" distR="0">
            <wp:extent cx="368300" cy="285750"/>
            <wp:effectExtent l="0" t="0" r="0" b="0"/>
            <wp:docPr id="13" name="Изображение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14" descr=""/>
                    <pic:cNvPicPr>
                      <a:picLocks noChangeAspect="1" noChangeArrowheads="1"/>
                    </pic:cNvPicPr>
                  </pic:nvPicPr>
                  <pic:blipFill>
                    <a:blip r:embed="rId22"/>
                    <a:stretch>
                      <a:fillRect/>
                    </a:stretch>
                  </pic:blipFill>
                  <pic:spPr bwMode="auto">
                    <a:xfrm>
                      <a:off x="0" y="0"/>
                      <a:ext cx="368300" cy="28575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приведенная величина отклонения скорости изменения нагрузки генерирующего оборудования при неоднократном участии в суточном регулировании от номинальных значений.</w:t>
      </w:r>
    </w:p>
    <w:p>
      <w:pPr>
        <w:pStyle w:val="Normal"/>
        <w:spacing w:lineRule="auto" w:line="240" w:before="120" w:after="20"/>
        <w:ind w:firstLine="709"/>
        <w:rPr>
          <w:sz w:val="24"/>
          <w:szCs w:val="24"/>
        </w:rPr>
      </w:pPr>
      <w:r>
        <w:rPr>
          <w:sz w:val="24"/>
          <w:szCs w:val="24"/>
        </w:rPr>
        <w:t xml:space="preserve">Согласно п. 3.4.15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значения мощности </w:t>
      </w:r>
      <w:r>
        <w:rPr/>
        <w:drawing>
          <wp:inline distT="0" distB="0" distL="0" distR="0">
            <wp:extent cx="336550" cy="267335"/>
            <wp:effectExtent l="0" t="0" r="0" b="0"/>
            <wp:docPr id="14" name="Рисунок 1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Копия 1" descr=""/>
                    <pic:cNvPicPr>
                      <a:picLocks noChangeAspect="1" noChangeArrowheads="1"/>
                    </pic:cNvPicPr>
                  </pic:nvPicPr>
                  <pic:blipFill>
                    <a:blip r:embed="rId23"/>
                    <a:stretch>
                      <a:fillRect/>
                    </a:stretch>
                  </pic:blipFill>
                  <pic:spPr bwMode="auto">
                    <a:xfrm>
                      <a:off x="0" y="0"/>
                      <a:ext cx="336550" cy="267335"/>
                    </a:xfrm>
                    <a:prstGeom prst="rect">
                      <a:avLst/>
                    </a:prstGeom>
                  </pic:spPr>
                </pic:pic>
              </a:graphicData>
            </a:graphic>
          </wp:inline>
        </w:drawing>
      </w:r>
      <w:r>
        <w:rPr>
          <w:sz w:val="24"/>
          <w:szCs w:val="24"/>
        </w:rPr>
        <w:t>, соответствующие объемам невыполнения требований в месяце, определяется по формуле:</w:t>
      </w:r>
    </w:p>
    <w:p>
      <w:pPr>
        <w:pStyle w:val="Normal"/>
        <w:spacing w:lineRule="auto" w:line="240" w:before="20" w:after="20"/>
        <w:jc w:val="center"/>
        <w:rPr>
          <w:sz w:val="24"/>
          <w:szCs w:val="24"/>
        </w:rPr>
      </w:pPr>
      <w:r>
        <w:rPr/>
        <w:drawing>
          <wp:inline distT="0" distB="0" distL="0" distR="0">
            <wp:extent cx="1371600" cy="673100"/>
            <wp:effectExtent l="0" t="0" r="0" b="0"/>
            <wp:docPr id="15" name="Рисунок 12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2 Копия 1" descr=""/>
                    <pic:cNvPicPr>
                      <a:picLocks noChangeAspect="1" noChangeArrowheads="1"/>
                    </pic:cNvPicPr>
                  </pic:nvPicPr>
                  <pic:blipFill>
                    <a:blip r:embed="rId24"/>
                    <a:stretch>
                      <a:fillRect/>
                    </a:stretch>
                  </pic:blipFill>
                  <pic:spPr bwMode="auto">
                    <a:xfrm>
                      <a:off x="0" y="0"/>
                      <a:ext cx="1371600" cy="673100"/>
                    </a:xfrm>
                    <a:prstGeom prst="rect">
                      <a:avLst/>
                    </a:prstGeom>
                  </pic:spPr>
                </pic:pic>
              </a:graphicData>
            </a:graphic>
          </wp:inline>
        </w:drawing>
      </w:r>
    </w:p>
    <w:p>
      <w:pPr>
        <w:pStyle w:val="Normal"/>
        <w:spacing w:lineRule="auto" w:line="240" w:before="20" w:after="20"/>
        <w:ind w:firstLine="709"/>
        <w:rPr>
          <w:sz w:val="24"/>
          <w:szCs w:val="24"/>
        </w:rPr>
      </w:pPr>
      <w:r>
        <w:rPr>
          <w:sz w:val="24"/>
          <w:szCs w:val="24"/>
        </w:rPr>
        <w:t>где:</w:t>
      </w:r>
    </w:p>
    <w:p>
      <w:pPr>
        <w:pStyle w:val="Normal"/>
        <w:spacing w:lineRule="auto" w:line="240" w:before="20" w:after="20"/>
        <w:ind w:firstLine="709"/>
        <w:rPr>
          <w:sz w:val="24"/>
          <w:szCs w:val="24"/>
        </w:rPr>
      </w:pPr>
      <w:r>
        <w:rPr/>
        <w:drawing>
          <wp:inline distT="0" distB="0" distL="0" distR="0">
            <wp:extent cx="293370" cy="267335"/>
            <wp:effectExtent l="0" t="0" r="0" b="0"/>
            <wp:docPr id="16" name="Рисунок 1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1 Копия 1" descr=""/>
                    <pic:cNvPicPr>
                      <a:picLocks noChangeAspect="1" noChangeArrowheads="1"/>
                    </pic:cNvPicPr>
                  </pic:nvPicPr>
                  <pic:blipFill>
                    <a:blip r:embed="rId25"/>
                    <a:stretch>
                      <a:fillRect/>
                    </a:stretch>
                  </pic:blipFill>
                  <pic:spPr bwMode="auto">
                    <a:xfrm>
                      <a:off x="0" y="0"/>
                      <a:ext cx="293370" cy="267335"/>
                    </a:xfrm>
                    <a:prstGeom prst="rect">
                      <a:avLst/>
                    </a:prstGeom>
                  </pic:spPr>
                </pic:pic>
              </a:graphicData>
            </a:graphic>
          </wp:inline>
        </w:drawing>
      </w:r>
      <w:r>
        <w:rPr>
          <w:sz w:val="24"/>
          <w:szCs w:val="24"/>
        </w:rPr>
        <w:t xml:space="preserve"> – </w:t>
      </w:r>
      <w:r>
        <w:rPr>
          <w:sz w:val="24"/>
          <w:szCs w:val="24"/>
        </w:rPr>
        <w:t>значения снижения мощности ГТПГ, установленные СО в ГРМ;</w:t>
      </w:r>
    </w:p>
    <w:p>
      <w:pPr>
        <w:pStyle w:val="Normal"/>
        <w:spacing w:lineRule="auto" w:line="240" w:before="20" w:after="20"/>
        <w:ind w:firstLine="709"/>
        <w:rPr>
          <w:sz w:val="24"/>
          <w:szCs w:val="24"/>
        </w:rPr>
      </w:pPr>
      <w:r>
        <w:rPr>
          <w:sz w:val="24"/>
          <w:szCs w:val="24"/>
        </w:rPr>
        <w:t xml:space="preserve">Н – количество часов, соответствующее расчетному месяцу m. </w:t>
      </w:r>
    </w:p>
    <w:p>
      <w:pPr>
        <w:pStyle w:val="Normal"/>
        <w:spacing w:lineRule="auto" w:line="240" w:before="20" w:after="20"/>
        <w:ind w:firstLine="709"/>
        <w:rPr>
          <w:sz w:val="24"/>
          <w:szCs w:val="24"/>
        </w:rPr>
      </w:pPr>
      <w:r>
        <w:rPr>
          <w:sz w:val="24"/>
          <w:szCs w:val="24"/>
        </w:rPr>
      </w:r>
    </w:p>
    <w:p>
      <w:pPr>
        <w:pStyle w:val="Normal"/>
        <w:spacing w:lineRule="auto" w:line="240" w:before="20" w:after="20"/>
        <w:ind w:firstLine="709"/>
        <w:rPr>
          <w:sz w:val="24"/>
          <w:szCs w:val="24"/>
        </w:rPr>
      </w:pPr>
      <w:r>
        <w:rPr>
          <w:sz w:val="24"/>
          <w:szCs w:val="24"/>
        </w:rPr>
        <w:t>В соответствии с Приложением 1 к «Регламенту определения объемов фактически поставленной на оптовый рынок мощности» (приложение 13 к Договору о присоединении к торговой системе оптового рынка) округление объема невыполнения требований в месяц в МВт (среднемесячного снижения) производится с точностью до трех знаков после запятой.</w:t>
      </w:r>
    </w:p>
    <w:p>
      <w:pPr>
        <w:pStyle w:val="Normal"/>
        <w:spacing w:lineRule="auto" w:line="240" w:before="120" w:after="20"/>
        <w:ind w:firstLine="709"/>
        <w:rPr>
          <w:sz w:val="24"/>
          <w:szCs w:val="24"/>
        </w:rPr>
      </w:pPr>
      <w:r>
        <w:rPr>
          <w:sz w:val="24"/>
          <w:szCs w:val="24"/>
        </w:rPr>
        <w:t>Согласно п. 5.4.2.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 объем недопоставки мощности, определяемый способностью к выработке электроэнергии генерирующего оборудования участника ОРЭ в расчетном месяц m, рассчитывается для каждой ГТП (единицы оборудования) по формуле:</w:t>
      </w:r>
    </w:p>
    <w:p>
      <w:pPr>
        <w:pStyle w:val="Normal"/>
        <w:spacing w:lineRule="auto" w:line="240" w:before="20" w:after="20"/>
        <w:ind w:firstLine="709"/>
        <w:rPr>
          <w:sz w:val="24"/>
          <w:szCs w:val="24"/>
        </w:rPr>
      </w:pPr>
      <w:r>
        <w:rPr>
          <w:sz w:val="24"/>
          <w:szCs w:val="24"/>
        </w:rPr>
      </w:r>
    </w:p>
    <w:p>
      <w:pPr>
        <w:pStyle w:val="Normal"/>
        <w:spacing w:lineRule="auto" w:line="240" w:before="20" w:after="20"/>
        <w:ind w:firstLine="709"/>
        <w:rPr>
          <w:sz w:val="24"/>
          <w:szCs w:val="24"/>
        </w:rPr>
      </w:pPr>
      <w:r>
        <w:rPr/>
      </w:r>
      <m:oMath xmlns:m="http://schemas.openxmlformats.org/officeDocument/2006/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2</m:t>
            </m:r>
          </m:sub>
        </m:sSub>
      </m:o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Б2</m:t>
            </m:r>
          </m:sub>
        </m:sSub>
      </m:oMath>
      <w:r>
        <w:rPr/>
      </w:r>
      <m:oMath xmlns:m="http://schemas.openxmlformats.org/officeDocument/2006/math"/>
      <w:r>
        <w:rPr/>
      </w:r>
      <m:oMath xmlns:m="http://schemas.openxmlformats.org/officeDocument/2006/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Г3</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Д</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Е</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Ж</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З</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И</m:t>
            </m:r>
          </m:sub>
        </m:sSub>
      </m:oMath>
      <w:r>
        <w:rPr/>
      </w:r>
      <m:oMath xmlns:m="http://schemas.openxmlformats.org/officeDocument/2006/math">
        <m:sSub>
          <m:e>
            <m:r>
              <m:rPr>
                <m:lit/>
                <m:nor/>
              </m:rPr>
              <w:rPr>
                <w:rFonts w:ascii="Cambria Math" w:hAnsi="Cambria Math"/>
              </w:rPr>
              <m:t xml:space="preserve">ΔN</m:t>
            </m:r>
          </m:e>
          <m:sub>
            <m:sSubSup>
              <m:e>
                <m:r>
                  <m:rPr>
                    <m:lit/>
                    <m:nor/>
                  </m:rPr>
                  <w:rPr>
                    <w:rFonts w:ascii="Cambria Math" w:hAnsi="Cambria Math"/>
                  </w:rPr>
                  <m:t xml:space="preserve">СП</m:t>
                </m:r>
              </m:e>
              <m:sub>
                <m:r>
                  <w:rPr>
                    <w:rFonts w:ascii="Cambria Math" w:hAnsi="Cambria Math"/>
                  </w:rPr>
                  <m:t xml:space="preserve">m</m:t>
                </m:r>
              </m:sub>
              <m:sup>
                <m:r>
                  <m:rPr>
                    <m:lit/>
                    <m:nor/>
                  </m:rPr>
                  <w:rPr>
                    <w:rFonts w:ascii="Cambria Math" w:hAnsi="Cambria Math"/>
                  </w:rPr>
                  <m:t xml:space="preserve">гот,j</m:t>
                </m:r>
              </m:sup>
            </m:sSubSup>
          </m:sub>
        </m:sSub>
        <m:r>
          <w:rPr>
            <w:rFonts w:ascii="Cambria Math" w:hAnsi="Cambria Math"/>
          </w:rPr>
          <m:t xml:space="preserve">=</m:t>
        </m:r>
        <m:nary>
          <m:naryPr>
            <m:chr m:val="∑"/>
            <m:supHide m:val="1"/>
          </m:naryPr>
          <m:sub>
            <m:r>
              <w:rPr>
                <w:rFonts w:ascii="Cambria Math" w:hAnsi="Cambria Math"/>
              </w:rPr>
              <m:t xml:space="preserve">n</m:t>
            </m:r>
          </m:sub>
          <m:sup/>
          <m:e>
            <m:d>
              <m:dPr>
                <m:begChr m:val="("/>
                <m:endChr m:val=")"/>
              </m:dPr>
              <m:e>
                <m:sSub>
                  <m:e>
                    <m:r>
                      <w:rPr>
                        <w:rFonts w:ascii="Cambria Math" w:hAnsi="Cambria Math"/>
                      </w:rPr>
                      <m:t xml:space="preserve">k</m:t>
                    </m:r>
                  </m:e>
                  <m:sub>
                    <m:r>
                      <w:rPr>
                        <w:rFonts w:ascii="Cambria Math" w:hAnsi="Cambria Math"/>
                      </w:rPr>
                      <m:t xml:space="preserve">n</m:t>
                    </m:r>
                  </m:sub>
                </m:sSub>
                <m:r>
                  <w:rPr>
                    <w:rFonts w:ascii="Cambria Math" w:hAnsi="Cambria Math"/>
                  </w:rPr>
                  <m:t xml:space="preserve">⋅</m:t>
                </m:r>
                <m:sSup>
                  <m:e>
                    <m:r>
                      <w:rPr>
                        <w:rFonts w:ascii="Cambria Math" w:hAnsi="Cambria Math"/>
                      </w:rPr>
                      <m:t xml:space="preserve">N</m:t>
                    </m:r>
                  </m:e>
                  <m:sup>
                    <m:sSub>
                      <m:e>
                        <m:r>
                          <w:rPr>
                            <w:rFonts w:ascii="Cambria Math" w:hAnsi="Cambria Math"/>
                          </w:rPr>
                          <m:t xml:space="preserve">j</m:t>
                        </m:r>
                      </m:e>
                      <m:sub>
                        <m:r>
                          <m:rPr>
                            <m:lit/>
                            <m:nor/>
                          </m:rPr>
                          <w:rPr>
                            <w:rFonts w:ascii="Cambria Math" w:hAnsi="Cambria Math"/>
                          </w:rPr>
                          <m:t xml:space="preserve">нв,</m:t>
                        </m:r>
                        <m:r>
                          <w:rPr>
                            <w:rFonts w:ascii="Cambria Math" w:hAnsi="Cambria Math"/>
                          </w:rPr>
                          <m:t xml:space="preserve">n</m:t>
                        </m:r>
                      </m:sub>
                    </m:sSub>
                  </m:sup>
                </m:sSup>
              </m:e>
            </m:d>
            <m:r>
              <w:rPr>
                <w:rFonts w:ascii="Cambria Math" w:hAnsi="Cambria Math"/>
              </w:rPr>
              <m:t xml:space="preserve">+</m:t>
            </m:r>
            <m:nary>
              <m:naryPr>
                <m:chr m:val="∑"/>
                <m:supHide m:val="1"/>
              </m:naryPr>
              <m:sub>
                <m:r>
                  <w:rPr>
                    <w:rFonts w:ascii="Cambria Math" w:hAnsi="Cambria Math"/>
                  </w:rPr>
                  <m:t xml:space="preserve">l</m:t>
                </m:r>
              </m:sub>
              <m:sup/>
              <m:e>
                <m:d>
                  <m:dPr>
                    <m:begChr m:val="("/>
                    <m:endChr m:val=")"/>
                  </m:dPr>
                  <m:e>
                    <m:sSub>
                      <m:e>
                        <m:r>
                          <w:rPr>
                            <w:rFonts w:ascii="Cambria Math" w:hAnsi="Cambria Math"/>
                          </w:rPr>
                          <m:t xml:space="preserve">k</m:t>
                        </m:r>
                      </m:e>
                      <m:sub>
                        <m:r>
                          <w:rPr>
                            <w:rFonts w:ascii="Cambria Math" w:hAnsi="Cambria Math"/>
                          </w:rPr>
                          <m:t xml:space="preserve">l</m:t>
                        </m:r>
                      </m:sub>
                    </m:sSub>
                    <m:r>
                      <w:rPr>
                        <w:rFonts w:ascii="Cambria Math" w:hAnsi="Cambria Math"/>
                      </w:rPr>
                      <m:t xml:space="preserve">⋅</m:t>
                    </m:r>
                    <m:sSubSup>
                      <m:e>
                        <m:r>
                          <w:rPr>
                            <w:rFonts w:ascii="Cambria Math" w:hAnsi="Cambria Math"/>
                          </w:rPr>
                          <m:t xml:space="preserve">k</m:t>
                        </m:r>
                      </m:e>
                      <m:sub>
                        <m:r>
                          <m:rPr>
                            <m:lit/>
                            <m:nor/>
                          </m:rPr>
                          <w:rPr>
                            <w:rFonts w:ascii="Cambria Math" w:hAnsi="Cambria Math"/>
                          </w:rPr>
                          <m:t xml:space="preserve">диф,m</m:t>
                        </m:r>
                      </m:sub>
                      <m:sup>
                        <m:r>
                          <w:rPr>
                            <w:rFonts w:ascii="Cambria Math" w:hAnsi="Cambria Math"/>
                          </w:rPr>
                          <m:t xml:space="preserve">j</m:t>
                        </m:r>
                      </m:sup>
                    </m:sSubSup>
                    <m:r>
                      <w:rPr>
                        <w:rFonts w:ascii="Cambria Math" w:hAnsi="Cambria Math"/>
                      </w:rPr>
                      <m:t xml:space="preserve">⋅</m:t>
                    </m:r>
                    <m:sSup>
                      <m:e>
                        <m:r>
                          <w:rPr>
                            <w:rFonts w:ascii="Cambria Math" w:hAnsi="Cambria Math"/>
                          </w:rPr>
                          <m:t xml:space="preserve">N</m:t>
                        </m:r>
                      </m:e>
                      <m:sup>
                        <m:sSub>
                          <m:e>
                            <m:r>
                              <w:rPr>
                                <w:rFonts w:ascii="Cambria Math" w:hAnsi="Cambria Math"/>
                              </w:rPr>
                              <m:t xml:space="preserve">j</m:t>
                            </m:r>
                          </m:e>
                          <m:sub>
                            <m:r>
                              <m:rPr>
                                <m:lit/>
                                <m:nor/>
                              </m:rPr>
                              <w:rPr>
                                <w:rFonts w:ascii="Cambria Math" w:hAnsi="Cambria Math"/>
                              </w:rPr>
                              <m:t xml:space="preserve">нв,</m:t>
                            </m:r>
                            <m:r>
                              <w:rPr>
                                <w:rFonts w:ascii="Cambria Math" w:hAnsi="Cambria Math"/>
                              </w:rPr>
                              <m:t xml:space="preserve">l</m:t>
                            </m:r>
                          </m:sub>
                        </m:sSub>
                      </m:sup>
                    </m:sSup>
                  </m:e>
                </m:d>
              </m:e>
            </m:nary>
          </m:e>
        </m:nary>
      </m:oMath>
    </w:p>
    <w:p>
      <w:pPr>
        <w:pStyle w:val="Normal"/>
        <w:spacing w:lineRule="auto" w:line="276" w:before="0" w:after="200"/>
        <w:ind w:firstLine="709"/>
        <w:rPr>
          <w:rFonts w:ascii="Times New Roman" w:hAnsi="Times New Roman" w:eastAsia="Arial" w:cs="Times New Roman"/>
          <w:sz w:val="24"/>
          <w:szCs w:val="24"/>
        </w:rPr>
      </w:pPr>
      <w:r>
        <w:rPr>
          <w:rFonts w:eastAsia="Arial" w:cs="Times New Roman"/>
          <w:sz w:val="24"/>
          <w:szCs w:val="24"/>
        </w:rPr>
        <w:t>где:</w:t>
        <w:tab/>
      </w:r>
    </w:p>
    <w:p>
      <w:pPr>
        <w:pStyle w:val="Normal"/>
        <w:numPr>
          <w:ilvl w:val="0"/>
          <w:numId w:val="0"/>
        </w:numPr>
        <w:spacing w:lineRule="auto" w:line="276" w:before="120" w:after="120"/>
        <w:ind w:firstLine="567" w:left="0"/>
        <w:jc w:val="both"/>
        <w:outlineLvl w:val="3"/>
        <w:rPr>
          <w:sz w:val="24"/>
          <w:szCs w:val="24"/>
        </w:rPr>
      </w:pPr>
      <w:r>
        <w:rPr/>
        <w:drawing>
          <wp:inline distT="0" distB="0" distL="0" distR="0">
            <wp:extent cx="185420" cy="228600"/>
            <wp:effectExtent l="0" t="0" r="0" b="0"/>
            <wp:docPr id="17" name="Изображение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8" descr=""/>
                    <pic:cNvPicPr>
                      <a:picLocks noChangeAspect="1" noChangeArrowheads="1"/>
                    </pic:cNvPicPr>
                  </pic:nvPicPr>
                  <pic:blipFill>
                    <a:blip r:embed="rId26"/>
                    <a:stretch>
                      <a:fillRect/>
                    </a:stretch>
                  </pic:blipFill>
                  <pic:spPr bwMode="auto">
                    <a:xfrm>
                      <a:off x="0" y="0"/>
                      <a:ext cx="185420" cy="228600"/>
                    </a:xfrm>
                    <a:prstGeom prst="rect">
                      <a:avLst/>
                    </a:prstGeom>
                  </pic:spPr>
                </pic:pic>
              </a:graphicData>
            </a:graphic>
          </wp:inline>
        </w:drawing>
      </w:r>
      <w:r>
        <w:rPr>
          <w:rFonts w:eastAsia="Times New Roman" w:cs="Times New Roman"/>
          <w:sz w:val="24"/>
          <w:szCs w:val="24"/>
        </w:rPr>
        <w:t xml:space="preserve"> </w:t>
      </w:r>
      <w:r>
        <w:rPr>
          <w:rFonts w:eastAsia="Arial" w:cs="Times New Roman"/>
          <w:sz w:val="24"/>
          <w:szCs w:val="24"/>
        </w:rPr>
        <w:t>―</w:t>
      </w:r>
      <w:r>
        <w:rPr>
          <w:rFonts w:eastAsia="Times New Roman" w:cs="Times New Roman"/>
          <w:sz w:val="24"/>
          <w:szCs w:val="24"/>
        </w:rPr>
        <w:t xml:space="preserve"> </w:t>
      </w:r>
      <w:r>
        <w:rPr>
          <w:rFonts w:eastAsia="Arial" w:cs="Times New Roman"/>
          <w:sz w:val="24"/>
          <w:szCs w:val="24"/>
        </w:rPr>
        <w:t xml:space="preserve">коэффициенты </w:t>
      </w:r>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1</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2</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r>
        <w:rPr>
          <w:rFonts w:cs="Times New Roman"/>
          <w:sz w:val="24"/>
          <w:szCs w:val="24"/>
        </w:rPr>
        <w:t>)</w:t>
      </w:r>
    </w:p>
    <w:p>
      <w:pPr>
        <w:pStyle w:val="Normal"/>
        <w:numPr>
          <w:ilvl w:val="0"/>
          <w:numId w:val="0"/>
        </w:numPr>
        <w:spacing w:lineRule="auto" w:line="276" w:before="120" w:after="120"/>
        <w:ind w:firstLine="567" w:left="0"/>
        <w:jc w:val="both"/>
        <w:outlineLvl w:val="3"/>
        <w:rPr>
          <w:sz w:val="24"/>
          <w:szCs w:val="24"/>
        </w:rPr>
      </w:pPr>
      <w:r>
        <w:rPr/>
        <w:drawing>
          <wp:inline distT="0" distB="0" distL="0" distR="0">
            <wp:extent cx="184785" cy="277495"/>
            <wp:effectExtent l="0" t="0" r="0" b="0"/>
            <wp:docPr id="18" name="Изображение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19" descr=""/>
                    <pic:cNvPicPr>
                      <a:picLocks noChangeAspect="1" noChangeArrowheads="1"/>
                    </pic:cNvPicPr>
                  </pic:nvPicPr>
                  <pic:blipFill>
                    <a:blip r:embed="rId27"/>
                    <a:stretch>
                      <a:fillRect/>
                    </a:stretch>
                  </pic:blipFill>
                  <pic:spPr bwMode="auto">
                    <a:xfrm>
                      <a:off x="0" y="0"/>
                      <a:ext cx="184785" cy="277495"/>
                    </a:xfrm>
                    <a:prstGeom prst="rect">
                      <a:avLst/>
                    </a:prstGeom>
                  </pic:spPr>
                </pic:pic>
              </a:graphicData>
            </a:graphic>
          </wp:inline>
        </w:drawing>
      </w:r>
      <w:r>
        <w:rPr>
          <w:rFonts w:eastAsia="Times New Roman" w:cs="Times New Roman"/>
          <w:sz w:val="24"/>
          <w:szCs w:val="24"/>
        </w:rPr>
        <w:t xml:space="preserve"> </w:t>
      </w:r>
      <w:r>
        <w:rPr>
          <w:rFonts w:eastAsia="Arial" w:cs="Times New Roman"/>
          <w:sz w:val="24"/>
          <w:szCs w:val="24"/>
        </w:rPr>
        <w:t>―</w:t>
      </w:r>
      <w:r>
        <w:rPr>
          <w:rFonts w:eastAsia="Times New Roman" w:cs="Times New Roman"/>
          <w:sz w:val="24"/>
          <w:szCs w:val="24"/>
        </w:rPr>
        <w:t xml:space="preserve"> </w:t>
      </w:r>
      <w:r>
        <w:rPr>
          <w:rFonts w:eastAsia="Arial" w:cs="Times New Roman"/>
          <w:sz w:val="24"/>
          <w:szCs w:val="24"/>
        </w:rPr>
        <w:t>коэффициенты (</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4</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5</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6</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7</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1</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9</m:t>
            </m:r>
          </m:sub>
        </m:sSub>
      </m:oMath>
      <w:r>
        <w:rPr>
          <w:rFonts w:eastAsia="Arial" w:cs="Times New Roman"/>
          <w:sz w:val="24"/>
          <w:szCs w:val="24"/>
        </w:rPr>
        <w:t xml:space="preserve">), </w:t>
      </w:r>
    </w:p>
    <w:p>
      <w:pPr>
        <w:pStyle w:val="Normal"/>
        <w:numPr>
          <w:ilvl w:val="0"/>
          <w:numId w:val="0"/>
        </w:numPr>
        <w:spacing w:lineRule="auto" w:line="276" w:before="120" w:after="120"/>
        <w:ind w:firstLine="567" w:left="0"/>
        <w:jc w:val="both"/>
        <w:outlineLvl w:val="3"/>
        <w:rPr>
          <w:sz w:val="24"/>
          <w:szCs w:val="24"/>
        </w:rPr>
      </w:pPr>
      <w:r>
        <w:rPr>
          <w:rFonts w:eastAsia="Arial" w:cs="Times New Roman"/>
          <w:sz w:val="24"/>
          <w:szCs w:val="24"/>
        </w:rPr>
        <w:t xml:space="preserve">определяемые для каждого из соответствующих им объемов невыполнения требований по готовности </w:t>
      </w:r>
      <w:r>
        <w:rPr/>
        <w:drawing>
          <wp:inline distT="0" distB="0" distL="0" distR="0">
            <wp:extent cx="277495" cy="277495"/>
            <wp:effectExtent l="0" t="0" r="0" b="0"/>
            <wp:docPr id="19" name="Изображение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20" descr=""/>
                    <pic:cNvPicPr>
                      <a:picLocks noChangeAspect="1" noChangeArrowheads="1"/>
                    </pic:cNvPicPr>
                  </pic:nvPicPr>
                  <pic:blipFill>
                    <a:blip r:embed="rId28"/>
                    <a:stretch>
                      <a:fillRect/>
                    </a:stretch>
                  </pic:blipFill>
                  <pic:spPr bwMode="auto">
                    <a:xfrm>
                      <a:off x="0" y="0"/>
                      <a:ext cx="277495" cy="277495"/>
                    </a:xfrm>
                    <a:prstGeom prst="rect">
                      <a:avLst/>
                    </a:prstGeom>
                  </pic:spPr>
                </pic:pic>
              </a:graphicData>
            </a:graphic>
          </wp:inline>
        </w:drawing>
      </w:r>
      <w:r>
        <w:rPr>
          <w:rFonts w:eastAsia="Arial" w:cs="Times New Roman"/>
          <w:sz w:val="24"/>
          <w:szCs w:val="24"/>
        </w:rPr>
        <w:t xml:space="preserve"> Правилами ОРЭМ (согласно Приложению 2 к Регламенту определения объемов фактически поставленной на оптовый рынок мощности, Приказ ФСТ  России от 03.03.2009 № 32-э/1).</w:t>
      </w:r>
    </w:p>
    <w:p>
      <w:pPr>
        <w:pStyle w:val="Normal"/>
        <w:numPr>
          <w:ilvl w:val="0"/>
          <w:numId w:val="0"/>
        </w:numPr>
        <w:spacing w:lineRule="auto" w:line="276" w:before="120" w:after="120"/>
        <w:ind w:firstLine="567" w:left="0"/>
        <w:jc w:val="both"/>
        <w:outlineLvl w:val="2"/>
        <w:rPr>
          <w:sz w:val="24"/>
          <w:szCs w:val="24"/>
        </w:rPr>
      </w:pPr>
      <w:r>
        <w:rPr>
          <w:rFonts w:eastAsia="Arial" w:cs="Times New Roman"/>
          <w:sz w:val="24"/>
          <w:szCs w:val="24"/>
        </w:rPr>
        <w:t xml:space="preserve">Для входящей в состав Дальневосточного федерального округа отдельной территории, ранее относившейся к неценовым зонам, </w:t>
      </w:r>
      <w:r>
        <w:rPr/>
        <w:drawing>
          <wp:inline distT="0" distB="0" distL="0" distR="0">
            <wp:extent cx="636270" cy="278130"/>
            <wp:effectExtent l="0" t="0" r="0" b="0"/>
            <wp:docPr id="20" name="Изображение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21" descr=""/>
                    <pic:cNvPicPr>
                      <a:picLocks noChangeAspect="1" noChangeArrowheads="1"/>
                    </pic:cNvPicPr>
                  </pic:nvPicPr>
                  <pic:blipFill>
                    <a:blip r:embed="rId29"/>
                    <a:stretch>
                      <a:fillRect/>
                    </a:stretch>
                  </pic:blipFill>
                  <pic:spPr bwMode="auto">
                    <a:xfrm>
                      <a:off x="0" y="0"/>
                      <a:ext cx="636270" cy="278130"/>
                    </a:xfrm>
                    <a:prstGeom prst="rect">
                      <a:avLst/>
                    </a:prstGeom>
                  </pic:spPr>
                </pic:pic>
              </a:graphicData>
            </a:graphic>
          </wp:inline>
        </w:drawing>
      </w:r>
      <w:r>
        <w:rPr>
          <w:rFonts w:eastAsia="Arial" w:cs="Times New Roman"/>
          <w:sz w:val="24"/>
          <w:szCs w:val="24"/>
        </w:rPr>
        <w:t>.</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xml:space="preserve">В соответствии с Постановлением Правительства РФ от 27.12.2010 N 1172 (ред. от 04.02.2025)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стоимость мощности, продаваемой по итогам конкурентного отбора мощности, определяется исходя из цены, определенной в соответствии с договором о присоединении к торговой системе оптового рынка организацией коммерческой инфраструктуры по результатам конкурентного отбора мощности по соответствующей группе точек поставки с учетом индексации этой цены, на условиях и в порядке, которые установлены Правилами индексации цены на мощность, умноженной на сезонный коэффициент.</w:t>
      </w:r>
    </w:p>
    <w:p>
      <w:pPr>
        <w:pStyle w:val="Normal"/>
        <w:spacing w:lineRule="auto" w:line="276" w:before="0" w:after="200"/>
        <w:ind w:firstLine="567"/>
        <w:jc w:val="both"/>
        <w:rPr>
          <w:sz w:val="24"/>
          <w:szCs w:val="24"/>
        </w:rPr>
      </w:pPr>
      <w:r>
        <w:rPr>
          <w:rFonts w:eastAsia="Times New Roman" w:cs="Times New Roman"/>
          <w:sz w:val="24"/>
          <w:szCs w:val="24"/>
        </w:rPr>
        <w:t xml:space="preserve">  </w:t>
      </w:r>
      <w:r>
        <w:rPr>
          <w:rFonts w:eastAsia="Arial" w:cs="Times New Roman"/>
          <w:sz w:val="24"/>
          <w:szCs w:val="24"/>
        </w:rPr>
        <w:t xml:space="preserve">- </w:t>
      </w:r>
      <w:r>
        <w:rPr/>
        <w:drawing>
          <wp:inline distT="0" distB="0" distL="0" distR="0">
            <wp:extent cx="474980" cy="302260"/>
            <wp:effectExtent l="0" t="0" r="0" b="0"/>
            <wp:docPr id="21" name="Изображение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22" descr=""/>
                    <pic:cNvPicPr>
                      <a:picLocks noChangeAspect="1" noChangeArrowheads="1"/>
                    </pic:cNvPicPr>
                  </pic:nvPicPr>
                  <pic:blipFill>
                    <a:blip r:embed="rId30"/>
                    <a:stretch>
                      <a:fillRect/>
                    </a:stretch>
                  </pic:blipFill>
                  <pic:spPr bwMode="auto">
                    <a:xfrm>
                      <a:off x="0" y="0"/>
                      <a:ext cx="474980" cy="302260"/>
                    </a:xfrm>
                    <a:prstGeom prst="rect">
                      <a:avLst/>
                    </a:prstGeom>
                  </pic:spPr>
                </pic:pic>
              </a:graphicData>
            </a:graphic>
          </wp:inline>
        </w:drawing>
      </w:r>
      <w:r>
        <w:rPr>
          <w:rFonts w:eastAsia="Arial" w:cs="Times New Roman"/>
          <w:sz w:val="24"/>
          <w:szCs w:val="24"/>
        </w:rPr>
        <w:t xml:space="preserve"> - цена на мощность в месяце (m), определяемая согласно Правилам ОРЭМ для генерирующего объекта (g) тепловой электростанции на входящей в состав Дальневосточного федерального округа отдельной территории, ранее относившейся к неценовым зонам, включенного в перечень генерирующих объектов на отдельных территориях, ранее относившихся к неценовым зонам, частичная компенсация стоимости мощности которого осуществляется за счет надбавки к цене на мощность, поставляемой субъектом оптового рынка - производителем электрической энергии (мощности) (pr), в отношении которого Правительством Российской Федерации принято соответствующее решение (рублей/МВт в месяц);</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сезонный коэффициент определяется в соответствии с договором о присоединении к торговой системе оптового рынка как отношение среднего за 3 предшествующих года значения объема максимального потребления электрической энергии в определенные системным оператором плановые часы пиковой нагрузки в ценовой зоне в соответствующем месяце к среднему за 3 предшествующих года значению объема среднегодового максимального потребления электрической энергии в определенные системным оператором плановые часы пиковой нагрузки в этой же ценовой зоне. При этом для второй ценовой зоны до 31 декабря 2028 г. включительно сезонный коэффициент определяется без учета потребления электрической энергии на входящей в состав Дальневосточного федерального округа отдельной территории, ранее относившейся к неценовым зонам.</w:t>
      </w:r>
    </w:p>
    <w:p>
      <w:pPr>
        <w:pStyle w:val="Normal"/>
        <w:widowControl w:val="false"/>
        <w:spacing w:lineRule="auto" w:line="276" w:before="240" w:after="200"/>
        <w:jc w:val="both"/>
        <w:rPr>
          <w:sz w:val="24"/>
          <w:szCs w:val="24"/>
        </w:rPr>
      </w:pPr>
      <w:r>
        <w:rPr>
          <w:rFonts w:eastAsia="Arial" w:cs="Times New Roman"/>
          <w:sz w:val="24"/>
          <w:szCs w:val="24"/>
        </w:rPr>
        <w:t xml:space="preserve">- </w:t>
      </w:r>
      <w:r>
        <w:rPr/>
        <w:drawing>
          <wp:inline distT="0" distB="0" distL="0" distR="0">
            <wp:extent cx="457200" cy="302895"/>
            <wp:effectExtent l="0" t="0" r="0" b="0"/>
            <wp:docPr id="22" name="Изображение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23" descr=""/>
                    <pic:cNvPicPr>
                      <a:picLocks noChangeAspect="1" noChangeArrowheads="1"/>
                    </pic:cNvPicPr>
                  </pic:nvPicPr>
                  <pic:blipFill>
                    <a:blip r:embed="rId31"/>
                    <a:stretch>
                      <a:fillRect/>
                    </a:stretch>
                  </pic:blipFill>
                  <pic:spPr bwMode="auto">
                    <a:xfrm>
                      <a:off x="0" y="0"/>
                      <a:ext cx="457200" cy="302895"/>
                    </a:xfrm>
                    <a:prstGeom prst="rect">
                      <a:avLst/>
                    </a:prstGeom>
                  </pic:spPr>
                </pic:pic>
              </a:graphicData>
            </a:graphic>
          </wp:inline>
        </w:drawing>
      </w:r>
      <w:r>
        <w:rPr>
          <w:rFonts w:eastAsia="Arial" w:cs="Times New Roman"/>
          <w:sz w:val="24"/>
          <w:szCs w:val="24"/>
        </w:rPr>
        <w:t xml:space="preserve"> - сезонный коэффициент, рассчитанный для ценовой зоны оптового рынка (z) месяца (m); </w:t>
      </w:r>
    </w:p>
    <w:p>
      <w:pPr>
        <w:pStyle w:val="Normal"/>
        <w:widowControl/>
        <w:spacing w:before="120" w:after="20"/>
        <w:ind w:firstLine="709"/>
        <w:jc w:val="both"/>
        <w:rPr>
          <w:sz w:val="24"/>
          <w:szCs w:val="24"/>
        </w:rPr>
      </w:pPr>
      <w:r>
        <w:rPr>
          <w:rFonts w:eastAsia="Arial" w:cs="Times New Roman"/>
          <w:sz w:val="24"/>
          <w:szCs w:val="24"/>
        </w:rPr>
        <w:t xml:space="preserve">Стоимость недопоставки мощности (снижение оплаты мощности) рассчитывается как произведение объема недопоставки мощности </w:t>
      </w:r>
      <w:r>
        <w:rPr/>
      </w:r>
      <m:oMath xmlns:m="http://schemas.openxmlformats.org/officeDocument/2006/math">
        <m:sSub>
          <m:e>
            <m:r>
              <m:rPr>
                <m:lit/>
                <m:nor/>
              </m:rPr>
              <w:rPr>
                <w:rFonts w:ascii="Cambria Math" w:hAnsi="Cambria Math"/>
              </w:rPr>
              <m:t xml:space="preserve">ΔN</m:t>
            </m:r>
          </m:e>
          <m:sub>
            <m:sSubSup>
              <m:e>
                <m:r>
                  <m:rPr>
                    <m:lit/>
                    <m:nor/>
                  </m:rPr>
                  <w:rPr>
                    <w:rFonts w:ascii="Cambria Math" w:hAnsi="Cambria Math"/>
                  </w:rPr>
                  <m:t xml:space="preserve">СП</m:t>
                </m:r>
              </m:e>
              <m:sub>
                <m:r>
                  <w:rPr>
                    <w:rFonts w:ascii="Cambria Math" w:hAnsi="Cambria Math"/>
                  </w:rPr>
                  <m:t xml:space="preserve">m</m:t>
                </m:r>
              </m:sub>
              <m:sup>
                <m:r>
                  <m:rPr>
                    <m:lit/>
                    <m:nor/>
                  </m:rPr>
                  <w:rPr>
                    <w:rFonts w:ascii="Cambria Math" w:hAnsi="Cambria Math"/>
                  </w:rPr>
                  <m:t xml:space="preserve">гот,j</m:t>
                </m:r>
              </m:sup>
            </m:sSubSup>
          </m:sub>
        </m:sSub>
      </m:oMath>
      <w:r>
        <w:rPr>
          <w:rFonts w:eastAsia="Arial" w:cs="Times New Roman"/>
          <w:sz w:val="24"/>
          <w:szCs w:val="24"/>
        </w:rPr>
        <w:t xml:space="preserve"> на цену </w:t>
      </w:r>
      <w:r>
        <w:rPr/>
        <w:drawing>
          <wp:inline distT="0" distB="0" distL="0" distR="0">
            <wp:extent cx="474980" cy="302260"/>
            <wp:effectExtent l="0" t="0" r="0" b="0"/>
            <wp:docPr id="23" name="Изображение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24" descr=""/>
                    <pic:cNvPicPr>
                      <a:picLocks noChangeAspect="1" noChangeArrowheads="1"/>
                    </pic:cNvPicPr>
                  </pic:nvPicPr>
                  <pic:blipFill>
                    <a:blip r:embed="rId32"/>
                    <a:srcRect l="-42" t="-65" r="-42" b="-65"/>
                    <a:stretch>
                      <a:fillRect/>
                    </a:stretch>
                  </pic:blipFill>
                  <pic:spPr bwMode="auto">
                    <a:xfrm>
                      <a:off x="0" y="0"/>
                      <a:ext cx="474980" cy="302260"/>
                    </a:xfrm>
                    <a:prstGeom prst="rect">
                      <a:avLst/>
                    </a:prstGeom>
                  </pic:spPr>
                </pic:pic>
              </a:graphicData>
            </a:graphic>
          </wp:inline>
        </w:drawing>
      </w:r>
      <w:r>
        <w:rPr>
          <w:rFonts w:eastAsia="Arial" w:cs="Times New Roman"/>
          <w:sz w:val="24"/>
          <w:szCs w:val="24"/>
        </w:rPr>
        <w:t xml:space="preserve"> и на коэффициент сезонности</w:t>
      </w:r>
      <w:r>
        <w:rPr/>
        <w:drawing>
          <wp:inline distT="0" distB="0" distL="0" distR="0">
            <wp:extent cx="457200" cy="302895"/>
            <wp:effectExtent l="0" t="0" r="0" b="0"/>
            <wp:docPr id="24" name="Изображение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25" descr=""/>
                    <pic:cNvPicPr>
                      <a:picLocks noChangeAspect="1" noChangeArrowheads="1"/>
                    </pic:cNvPicPr>
                  </pic:nvPicPr>
                  <pic:blipFill>
                    <a:blip r:embed="rId33"/>
                    <a:srcRect l="-43" t="-65" r="-43" b="-65"/>
                    <a:stretch>
                      <a:fillRect/>
                    </a:stretch>
                  </pic:blipFill>
                  <pic:spPr bwMode="auto">
                    <a:xfrm>
                      <a:off x="0" y="0"/>
                      <a:ext cx="457200" cy="302895"/>
                    </a:xfrm>
                    <a:prstGeom prst="rect">
                      <a:avLst/>
                    </a:prstGeom>
                  </pic:spPr>
                </pic:pic>
              </a:graphicData>
            </a:graphic>
          </wp:inline>
        </w:drawing>
      </w:r>
      <w:r>
        <w:rPr>
          <w:rFonts w:eastAsia="Arial" w:cs="Times New Roman"/>
          <w:sz w:val="24"/>
          <w:szCs w:val="24"/>
        </w:rPr>
        <w:t xml:space="preserve">. </w:t>
      </w:r>
    </w:p>
    <w:p>
      <w:pPr>
        <w:pStyle w:val="Normal"/>
        <w:widowControl/>
        <w:spacing w:before="120" w:after="20"/>
        <w:ind w:firstLine="709"/>
        <w:jc w:val="both"/>
        <w:rPr>
          <w:sz w:val="24"/>
          <w:szCs w:val="24"/>
        </w:rPr>
      </w:pPr>
      <w:r>
        <w:rPr>
          <w:sz w:val="24"/>
          <w:szCs w:val="24"/>
        </w:rPr>
      </w:r>
    </w:p>
    <w:tbl>
      <w:tblPr>
        <w:tblW w:w="10120"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5240"/>
        <w:gridCol w:w="4879"/>
      </w:tblGrid>
      <w:tr>
        <w:trPr>
          <w:trHeight w:val="282" w:hRule="atLeast"/>
        </w:trPr>
        <w:tc>
          <w:tcPr>
            <w:tcW w:w="5240" w:type="dxa"/>
            <w:tcBorders/>
          </w:tcPr>
          <w:p>
            <w:pPr>
              <w:pStyle w:val="Normal"/>
              <w:widowControl w:val="false"/>
              <w:rPr>
                <w:b/>
                <w:sz w:val="24"/>
                <w:szCs w:val="24"/>
              </w:rPr>
            </w:pPr>
            <w:r>
              <w:rPr>
                <w:b/>
                <w:sz w:val="24"/>
                <w:szCs w:val="24"/>
              </w:rPr>
            </w:r>
          </w:p>
          <w:p>
            <w:pPr>
              <w:pStyle w:val="Normal"/>
              <w:widowControl w:val="false"/>
              <w:rPr>
                <w:b/>
                <w:sz w:val="24"/>
                <w:szCs w:val="24"/>
                <w:lang w:val="en-GB"/>
              </w:rPr>
            </w:pPr>
            <w:r>
              <w:rPr>
                <w:b/>
                <w:sz w:val="24"/>
                <w:szCs w:val="24"/>
                <w:lang w:val="en-GB"/>
              </w:rPr>
              <w:t>Покупатель:</w:t>
            </w:r>
          </w:p>
        </w:tc>
        <w:tc>
          <w:tcPr>
            <w:tcW w:w="4879" w:type="dxa"/>
            <w:tcBorders/>
          </w:tcPr>
          <w:p>
            <w:pPr>
              <w:pStyle w:val="Normal"/>
              <w:widowControl w:val="false"/>
              <w:rPr>
                <w:b/>
                <w:sz w:val="24"/>
                <w:szCs w:val="24"/>
              </w:rPr>
            </w:pPr>
            <w:r>
              <w:rPr>
                <w:b/>
                <w:sz w:val="24"/>
                <w:szCs w:val="24"/>
              </w:rPr>
            </w:r>
          </w:p>
          <w:p>
            <w:pPr>
              <w:pStyle w:val="Normal"/>
              <w:widowControl w:val="false"/>
              <w:rPr>
                <w:b/>
                <w:sz w:val="24"/>
                <w:szCs w:val="24"/>
                <w:lang w:val="en-GB"/>
              </w:rPr>
            </w:pPr>
            <w:r>
              <w:rPr>
                <w:b/>
                <w:sz w:val="24"/>
                <w:szCs w:val="24"/>
              </w:rPr>
              <w:t>Поставщик</w:t>
            </w:r>
            <w:r>
              <w:rPr>
                <w:b/>
                <w:sz w:val="24"/>
                <w:szCs w:val="24"/>
                <w:lang w:val="en-GB"/>
              </w:rPr>
              <w:t>:</w:t>
            </w:r>
          </w:p>
        </w:tc>
      </w:tr>
      <w:tr>
        <w:trPr>
          <w:trHeight w:val="611" w:hRule="atLeast"/>
        </w:trPr>
        <w:tc>
          <w:tcPr>
            <w:tcW w:w="5240"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tc>
        <w:tc>
          <w:tcPr>
            <w:tcW w:w="4879"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_______________ / _______________</w:t>
            </w:r>
          </w:p>
        </w:tc>
      </w:tr>
    </w:tbl>
    <w:p>
      <w:pPr>
        <w:pStyle w:val="Normal"/>
        <w:widowControl/>
        <w:spacing w:before="120" w:after="20"/>
        <w:jc w:val="both"/>
        <w:rPr>
          <w:sz w:val="24"/>
          <w:szCs w:val="24"/>
        </w:rPr>
      </w:pPr>
      <w:r>
        <w:rPr>
          <w:sz w:val="24"/>
          <w:szCs w:val="24"/>
        </w:rPr>
      </w:r>
    </w:p>
    <w:sectPr>
      <w:headerReference w:type="default" r:id="rId34"/>
      <w:headerReference w:type="first" r:id="rId35"/>
      <w:footerReference w:type="default" r:id="rId36"/>
      <w:footerReference w:type="first" r:id="rId37"/>
      <w:footnotePr>
        <w:numFmt w:val="decimal"/>
      </w:footnotePr>
      <w:type w:val="nextPage"/>
      <w:pgSz w:w="11906" w:h="16838"/>
      <w:pgMar w:left="1418" w:right="851" w:gutter="0" w:header="567" w:top="1134" w:footer="314"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23</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34</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Предельная цена на Товар устанавливается в случае отсутствия утвержденной Рабочей документации (отсутствия точного перечня поставляемого Товара) на момент заключения Договора.</w:t>
      </w:r>
    </w:p>
  </w:footnote>
  <w:footnote w:id="3">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4">
    <w:p>
      <w:pPr>
        <w:pStyle w:val="FootnoteText"/>
        <w:jc w:val="both"/>
        <w:rPr/>
      </w:pPr>
      <w:r>
        <w:rPr>
          <w:rStyle w:val="Style14"/>
        </w:rPr>
        <w:footnoteRef/>
      </w:r>
      <w:r>
        <w:rPr/>
        <w:t xml:space="preserve"> </w:t>
      </w:r>
      <w:r>
        <w:rPr/>
        <w:t xml:space="preserve">Условие о размере авансового платежа в размере не менее 50 (пятидесяти) процентов от стоимости Товара предусматривается в  договорах, заключаемых в соответствии с Федеральным законом от 18.07.2011 № 223-ФЗ «О закупках товаров, работ, услуг отдельными видами юридических лиц» по результатам закупок кранового оборудования, включенного в реестр промышленной продукции, произведенной на территории Российской Федерации, в соответствии с постановлением Правительства Российской Федерации от 17.07.2015 № 719 </w:t>
        <w:br/>
        <w:t>«О подтверждении производства промышленной продукции на территории Российской Федерации». При этом необходимо изменить процент последующих платежей (пункт 2.5.3 Договора).</w:t>
      </w:r>
    </w:p>
  </w:footnote>
  <w:footnote w:id="5">
    <w:p>
      <w:pPr>
        <w:pStyle w:val="FootnoteText"/>
        <w:jc w:val="both"/>
        <w:rPr/>
      </w:pPr>
      <w:r>
        <w:rPr>
          <w:rStyle w:val="Style14"/>
        </w:rPr>
        <w:footnoteRef/>
      </w:r>
      <w:r>
        <w:rPr/>
        <w:t xml:space="preserve"> </w:t>
      </w:r>
      <w:r>
        <w:rPr/>
        <w:t>Указывается меньший размер платежей в случае применения ссылки к пункту 2.5.2 Договора о закупке кранового оборудования.</w:t>
      </w:r>
    </w:p>
  </w:footnote>
  <w:footnote w:id="6">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Заказчика.</w:t>
      </w:r>
    </w:p>
  </w:footnote>
  <w:footnote w:id="7">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Заказчика.</w:t>
      </w:r>
    </w:p>
  </w:footnote>
  <w:footnote w:id="8">
    <w:p>
      <w:pPr>
        <w:pStyle w:val="FootnoteText"/>
        <w:jc w:val="both"/>
        <w:rPr/>
      </w:pPr>
      <w:r>
        <w:rPr>
          <w:rStyle w:val="Style14"/>
        </w:rPr>
        <w:footnoteRef/>
      </w:r>
      <w:r>
        <w:rPr/>
        <w:t xml:space="preserve"> </w:t>
      </w:r>
      <w:r>
        <w:rPr/>
        <w:t>В случае если Контрагент – МСП, при этом Заказчик попадает под действие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9">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10">
    <w:p>
      <w:pPr>
        <w:pStyle w:val="FootnoteText"/>
        <w:jc w:val="both"/>
        <w:rPr/>
      </w:pPr>
      <w:r>
        <w:rPr>
          <w:rStyle w:val="Style14"/>
        </w:rPr>
        <w:footnoteRef/>
      </w:r>
      <w:r>
        <w:rPr/>
        <w:t xml:space="preserve"> </w:t>
      </w:r>
      <w:r>
        <w:rPr/>
        <w:t xml:space="preserve">Указанное условие включается в Договор, если Договором предусмотрена поставка оборудования, входящего в перечень, утвержденный приказом Минпромторга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br/>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11">
    <w:p>
      <w:pPr>
        <w:pStyle w:val="FootnoteText"/>
        <w:jc w:val="both"/>
        <w:rPr/>
      </w:pPr>
      <w:r>
        <w:rPr>
          <w:rStyle w:val="Style14"/>
        </w:rPr>
        <w:footnoteRef/>
      </w:r>
      <w:r>
        <w:rPr/>
        <w:t xml:space="preserve"> </w:t>
      </w:r>
      <w:r>
        <w:rPr/>
        <w:t>В случае непредоставления новой Банковской гарантии возврата авансового платежа.</w:t>
      </w:r>
    </w:p>
  </w:footnote>
  <w:footnote w:id="12">
    <w:p>
      <w:pPr>
        <w:pStyle w:val="FootnoteText"/>
        <w:jc w:val="both"/>
        <w:rPr/>
      </w:pPr>
      <w:r>
        <w:rPr>
          <w:rStyle w:val="Style14"/>
        </w:rPr>
        <w:footnoteRef/>
      </w:r>
      <w:r>
        <w:rPr/>
        <w:t xml:space="preserve"> </w:t>
      </w:r>
      <w:r>
        <w:rPr>
          <w:highlight w:val="lightGray"/>
        </w:rPr>
        <w:t>Данный пункт применяется только в случае, если в отношении Контрагента (победителя закупки) введены санкции / ограничительные меры. Форма Дополнительного соглашения является типовой (ТФД № 12.3)</w:t>
      </w:r>
      <w:r>
        <w:rPr/>
        <w:t>.</w:t>
      </w:r>
    </w:p>
  </w:footnote>
  <w:footnote w:id="13">
    <w:p>
      <w:pPr>
        <w:pStyle w:val="FootnoteText"/>
        <w:jc w:val="both"/>
        <w:rPr/>
      </w:pPr>
      <w:r>
        <w:rPr>
          <w:rStyle w:val="Style14"/>
        </w:rPr>
        <w:footnoteRef/>
      </w:r>
      <w:r>
        <w:rPr/>
        <w:t xml:space="preserve"> </w:t>
      </w:r>
      <w:r>
        <w:rPr>
          <w:szCs w:val="24"/>
          <w:highlight w:val="lightGray"/>
        </w:rPr>
        <w:t>Указанное условие применяется к договорам в отношении поставки Товара, обеспечивающего производство и/или передачу (транспортировку) электрической энергии и мощности.</w:t>
      </w:r>
    </w:p>
  </w:footnote>
  <w:footnote w:id="14">
    <w:p>
      <w:pPr>
        <w:pStyle w:val="FootnoteText"/>
        <w:jc w:val="both"/>
        <w:rPr>
          <w:szCs w:val="24"/>
          <w:highlight w:val="lightGray"/>
        </w:rPr>
      </w:pPr>
      <w:r>
        <w:rPr>
          <w:rStyle w:val="Style14"/>
        </w:rPr>
        <w:footnoteRef/>
      </w:r>
      <w:r>
        <w:rPr/>
        <w:t xml:space="preserve"> </w:t>
      </w:r>
      <w:r>
        <w:rPr>
          <w:highlight w:val="lightGray"/>
        </w:rPr>
        <w:t>Необходимость включения данного пункта определяется в соответствии с приказом ПАО «РусГидро</w:t>
      </w:r>
      <w:r>
        <w:rPr>
          <w:szCs w:val="24"/>
          <w:highlight w:val="lightGray"/>
        </w:rPr>
        <w:t xml:space="preserve">» </w:t>
        <w:br/>
        <w:t>от 12.01.2021 № 4.</w:t>
      </w:r>
    </w:p>
  </w:footnote>
  <w:footnote w:id="15">
    <w:p>
      <w:pPr>
        <w:pStyle w:val="FootnoteText"/>
        <w:jc w:val="both"/>
        <w:rPr/>
      </w:pPr>
      <w:r>
        <w:rPr>
          <w:rStyle w:val="Style14"/>
        </w:rPr>
        <w:footnoteRef/>
      </w:r>
      <w:r>
        <w:rPr/>
        <w:t xml:space="preserve"> </w:t>
      </w:r>
      <w:r>
        <w:rPr/>
        <w:t>Указанное условие включается в Договор, если в пункте 4.8 Договора установлена обязанность Поставщика предоставить Покупателю копию(-и) заключения(-ий) о подтверждении производства Товара на территории Российской Федерации, 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16">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7">
    <w:p>
      <w:pPr>
        <w:pStyle w:val="FootnoteText"/>
        <w:jc w:val="both"/>
        <w:rPr/>
      </w:pPr>
      <w:r>
        <w:rPr>
          <w:rStyle w:val="Style14"/>
        </w:rPr>
        <w:footnoteRef/>
      </w:r>
      <w:r>
        <w:rPr/>
        <w:t xml:space="preserve"> </w:t>
      </w:r>
      <w:r>
        <w:rPr>
          <w:shd w:fill="C0C0C0" w:val="clear"/>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18">
    <w:p>
      <w:pPr>
        <w:pStyle w:val="FootnoteText"/>
        <w:jc w:val="both"/>
        <w:rPr/>
      </w:pPr>
      <w:r>
        <w:rPr>
          <w:rStyle w:val="Style14"/>
        </w:rPr>
        <w:footnoteRef/>
      </w:r>
      <w:r>
        <w:rPr/>
        <w:t xml:space="preserve"> </w:t>
      </w:r>
      <w:r>
        <w:rPr/>
        <w:t>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9">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20">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21">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2" w:name="_GoBack_Копия_1_Копия_1_Копия_1_Копия_1_"/>
      <w:bookmarkEnd w:id="12"/>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 w:id="22">
    <w:p>
      <w:pPr>
        <w:pStyle w:val="FootnoteText"/>
        <w:jc w:val="both"/>
        <w:rPr/>
      </w:pPr>
      <w:r>
        <w:rPr>
          <w:rStyle w:val="Style14"/>
        </w:rPr>
        <w:footnoteRef/>
      </w:r>
      <w:r>
        <w:rPr/>
        <w:t xml:space="preserve"> </w:t>
      </w:r>
      <w:r>
        <w:rPr/>
        <w:t xml:space="preserve">Не распространяются на договоры, заключенные по результатам конкурентной закупки товаров, работ, услуг в электронной форме только среди субъектов малого и среднего предпринимательства, требования к гарантам </w:t>
        <w:br/>
        <w:t>по которым предусмотрены федеральным законом от 18.07.2011 № 223-ФЗ «О закупках товаров, работ, услуг отдельными видами юридических лиц».</w:t>
      </w:r>
    </w:p>
  </w:footnote>
  <w:footnote w:id="23">
    <w:p>
      <w:pPr>
        <w:pStyle w:val="FootnoteText"/>
        <w:jc w:val="both"/>
        <w:rPr/>
      </w:pPr>
      <w:r>
        <w:rPr>
          <w:rStyle w:val="Style14"/>
        </w:rPr>
        <w:footnoteRef/>
      </w:r>
      <w:r>
        <w:rPr>
          <w:lang w:eastAsia="x-none"/>
        </w:rPr>
        <w:t xml:space="preserve"> </w:t>
      </w:r>
      <w:r>
        <w:rPr>
          <w:lang w:eastAsia="x-none"/>
        </w:rPr>
        <w:t xml:space="preserve">Актуальный Перечень Банков-Гарантов Группы РусГидро размещен на официальном сайте Заказчика </w:t>
      </w:r>
      <w:r>
        <w:rPr/>
        <w:t>http</w:t>
      </w:r>
      <w:r>
        <w:rPr>
          <w:lang w:eastAsia="x-none"/>
        </w:rPr>
        <w:t>://</w:t>
      </w:r>
      <w:r>
        <w:rPr/>
        <w:t>zakupki</w:t>
      </w:r>
      <w:r>
        <w:rPr>
          <w:lang w:eastAsia="x-none"/>
        </w:rPr>
        <w:t>.</w:t>
      </w:r>
      <w:r>
        <w:rPr/>
        <w:t>rushydro</w:t>
      </w:r>
      <w:r>
        <w:rPr>
          <w:lang w:eastAsia="x-none"/>
        </w:rPr>
        <w:t>.</w:t>
      </w:r>
      <w:r>
        <w:rPr/>
        <w:t>ru</w:t>
      </w:r>
      <w:r>
        <w:rPr>
          <w:lang w:eastAsia="x-none"/>
        </w:rPr>
        <w:t>/</w:t>
      </w:r>
      <w:r>
        <w:rPr/>
        <w:t>PublicContent</w:t>
      </w:r>
      <w:r>
        <w:rPr>
          <w:lang w:eastAsia="x-none"/>
        </w:rPr>
        <w:t>/</w:t>
      </w:r>
      <w:r>
        <w:rPr/>
        <w:t>Section</w:t>
      </w:r>
      <w:r>
        <w:rPr>
          <w:lang w:eastAsia="x-none"/>
        </w:rPr>
        <w:t>/.</w:t>
      </w:r>
    </w:p>
  </w:footnote>
  <w:footnote w:id="24">
    <w:p>
      <w:pPr>
        <w:pStyle w:val="FootnoteText"/>
        <w:jc w:val="both"/>
        <w:rPr/>
      </w:pPr>
      <w:r>
        <w:rPr>
          <w:rStyle w:val="Style14"/>
        </w:rPr>
        <w:footnoteRef/>
      </w:r>
      <w:r>
        <w:rPr>
          <w:lang w:eastAsia="x-none"/>
        </w:rPr>
        <w:t xml:space="preserve"> </w:t>
      </w:r>
      <w:r>
        <w:rPr>
          <w:lang w:eastAsia="x-none"/>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eastAsia="x-none"/>
        </w:rPr>
        <w:t xml:space="preserve">, </w:t>
      </w:r>
      <w:r>
        <w:rPr/>
        <w:t>Bloomberg</w:t>
      </w:r>
      <w:r>
        <w:rPr>
          <w:lang w:eastAsia="x-none"/>
        </w:rPr>
        <w:t>, С</w:t>
      </w:r>
      <w:r>
        <w:rPr/>
        <w:t>bonds</w:t>
      </w:r>
      <w:r>
        <w:rPr>
          <w:lang w:eastAsia="x-none"/>
        </w:rPr>
        <w:t>).</w:t>
      </w:r>
    </w:p>
  </w:footnote>
  <w:footnote w:id="25">
    <w:p>
      <w:pPr>
        <w:pStyle w:val="FootnoteText"/>
        <w:jc w:val="both"/>
        <w:rPr/>
      </w:pPr>
      <w:r>
        <w:rPr>
          <w:rStyle w:val="Style14"/>
        </w:rPr>
        <w:footnoteRef/>
      </w:r>
      <w:r>
        <w:rPr>
          <w:lang w:eastAsia="x-none"/>
        </w:rPr>
        <w:t xml:space="preserve"> </w:t>
      </w:r>
      <w:r>
        <w:rPr>
          <w:lang w:eastAsia="x-none"/>
        </w:rPr>
        <w:t>Данное требование не применяется в отношении небанковских кредитных организаций.</w:t>
      </w:r>
    </w:p>
  </w:footnote>
  <w:footnote w:id="26">
    <w:p>
      <w:pPr>
        <w:pStyle w:val="FootnoteText"/>
        <w:jc w:val="both"/>
        <w:rPr/>
      </w:pPr>
      <w:r>
        <w:rPr>
          <w:rStyle w:val="Style14"/>
        </w:rPr>
        <w:footnoteRef/>
      </w:r>
      <w:r>
        <w:rPr>
          <w:lang w:eastAsia="x-none"/>
        </w:rPr>
        <w:t xml:space="preserve"> </w:t>
      </w:r>
      <w:r>
        <w:rPr>
          <w:lang w:eastAsia="x-none"/>
        </w:rPr>
        <w:t>При издании ПО организационно-распорядительного документа о ТФУ данный критерий может быть исключен.</w:t>
      </w:r>
    </w:p>
  </w:footnote>
  <w:footnote w:id="27">
    <w:p>
      <w:pPr>
        <w:pStyle w:val="FootnoteText"/>
        <w:jc w:val="both"/>
        <w:rPr/>
      </w:pPr>
      <w:r>
        <w:rPr>
          <w:rStyle w:val="Style14"/>
        </w:rPr>
        <w:footnoteRef/>
      </w:r>
      <w:r>
        <w:rPr/>
        <w:t xml:space="preserve"> </w:t>
      </w:r>
      <w:r>
        <w:rPr>
          <w:rFonts w:cs="Times New Roman"/>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28">
    <w:p>
      <w:pPr>
        <w:pStyle w:val="FootnoteText"/>
        <w:jc w:val="both"/>
        <w:rPr/>
      </w:pPr>
      <w:r>
        <w:rPr>
          <w:rStyle w:val="Style14"/>
        </w:rPr>
        <w:footnoteRef/>
      </w:r>
      <w:r>
        <w:rPr/>
        <w:t xml:space="preserve"> </w:t>
      </w:r>
      <w:r>
        <w:rPr>
          <w:rFonts w:cs="Times New Roman"/>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hanging="426" w:left="8364"/>
      <w:rPr>
        <w:i/>
        <w:i/>
      </w:rPr>
    </w:pPr>
    <w:r>
      <w:rPr/>
      <w:t xml:space="preserve">ТФД № </w:t>
    </w:r>
    <w:r>
      <w:rPr>
        <w:lang w:val="en-US"/>
      </w:rPr>
      <w:t>2</w:t>
    </w:r>
    <w:r>
      <w:rPr/>
      <w:t>.2.3.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3">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b w:val="false"/>
        <w:rFonts w:cs="Times New Roman"/>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16">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17">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lvl w:ilvl="0">
      <w:start w:val="6"/>
      <w:numFmt w:val="decimal"/>
      <w:lvlText w:val="%1."/>
      <w:lvlJc w:val="left"/>
      <w:pPr>
        <w:tabs>
          <w:tab w:val="num" w:pos="0"/>
        </w:tabs>
        <w:ind w:left="360" w:hanging="360"/>
      </w:pPr>
      <w:rPr/>
    </w:lvl>
    <w:lvl w:ilvl="1">
      <w:start w:val="5"/>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9">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1"/>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LineNumber">
    <w:name w:val="Line Number"/>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link w:val="Style7"/>
    <w:qFormat/>
    <w:rsid w:val="00a264b0"/>
    <w:pPr>
      <w:jc w:val="center"/>
    </w:pPr>
    <w:rPr>
      <w:b/>
      <w:b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yperlink" Target="http://www.cbr.ru/" TargetMode="External"/><Relationship Id="rId9" Type="http://schemas.openxmlformats.org/officeDocument/2006/relationships/hyperlink" Target="http://www.cbr.ru/" TargetMode="External"/><Relationship Id="rId10" Type="http://schemas.openxmlformats.org/officeDocument/2006/relationships/image" Target="media/image1.png"/><Relationship Id="rId11" Type="http://schemas.openxmlformats.org/officeDocument/2006/relationships/image" Target="media/image2.wmf"/><Relationship Id="rId12" Type="http://schemas.openxmlformats.org/officeDocument/2006/relationships/image" Target="media/image3.wmf"/><Relationship Id="rId13" Type="http://schemas.openxmlformats.org/officeDocument/2006/relationships/image" Target="media/image4.wmf"/><Relationship Id="rId14" Type="http://schemas.openxmlformats.org/officeDocument/2006/relationships/image" Target="media/image5.wmf"/><Relationship Id="rId15" Type="http://schemas.openxmlformats.org/officeDocument/2006/relationships/image" Target="media/image6.wmf"/><Relationship Id="rId16" Type="http://schemas.openxmlformats.org/officeDocument/2006/relationships/image" Target="media/image7.wmf"/><Relationship Id="rId17" Type="http://schemas.openxmlformats.org/officeDocument/2006/relationships/image" Target="media/image8.wmf"/><Relationship Id="rId18" Type="http://schemas.openxmlformats.org/officeDocument/2006/relationships/image" Target="media/image9.wmf"/><Relationship Id="rId19" Type="http://schemas.openxmlformats.org/officeDocument/2006/relationships/image" Target="media/image10.wmf"/><Relationship Id="rId20" Type="http://schemas.openxmlformats.org/officeDocument/2006/relationships/image" Target="media/image11.wmf"/><Relationship Id="rId21" Type="http://schemas.openxmlformats.org/officeDocument/2006/relationships/image" Target="media/image12.wmf"/><Relationship Id="rId22" Type="http://schemas.openxmlformats.org/officeDocument/2006/relationships/image" Target="media/image13.wmf"/><Relationship Id="rId23" Type="http://schemas.openxmlformats.org/officeDocument/2006/relationships/image" Target="media/image14.wmf"/><Relationship Id="rId24" Type="http://schemas.openxmlformats.org/officeDocument/2006/relationships/image" Target="media/image15.wmf"/><Relationship Id="rId25" Type="http://schemas.openxmlformats.org/officeDocument/2006/relationships/image" Target="media/image16.wmf"/><Relationship Id="rId26" Type="http://schemas.openxmlformats.org/officeDocument/2006/relationships/image" Target="media/image17.wmf"/><Relationship Id="rId27" Type="http://schemas.openxmlformats.org/officeDocument/2006/relationships/image" Target="media/image18.wmf"/><Relationship Id="rId28" Type="http://schemas.openxmlformats.org/officeDocument/2006/relationships/image" Target="media/image19.wmf"/><Relationship Id="rId29" Type="http://schemas.openxmlformats.org/officeDocument/2006/relationships/image" Target="media/image20.wmf"/><Relationship Id="rId30" Type="http://schemas.openxmlformats.org/officeDocument/2006/relationships/image" Target="media/image21.wmf"/><Relationship Id="rId31" Type="http://schemas.openxmlformats.org/officeDocument/2006/relationships/image" Target="media/image22.wmf"/><Relationship Id="rId32" Type="http://schemas.openxmlformats.org/officeDocument/2006/relationships/image" Target="media/image21.wmf"/><Relationship Id="rId33" Type="http://schemas.openxmlformats.org/officeDocument/2006/relationships/image" Target="media/image22.wmf"/><Relationship Id="rId34" Type="http://schemas.openxmlformats.org/officeDocument/2006/relationships/header" Target="header3.xml"/><Relationship Id="rId35" Type="http://schemas.openxmlformats.org/officeDocument/2006/relationships/header" Target="header4.xml"/><Relationship Id="rId36" Type="http://schemas.openxmlformats.org/officeDocument/2006/relationships/footer" Target="footer2.xml"/><Relationship Id="rId37" Type="http://schemas.openxmlformats.org/officeDocument/2006/relationships/footer" Target="footer3.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Relationship Id="rId43" Type="http://schemas.openxmlformats.org/officeDocument/2006/relationships/customXml" Target="../customXml/item1.xml"/><Relationship Id="rId44" Type="http://schemas.openxmlformats.org/officeDocument/2006/relationships/customXml" Target="../customXml/item2.xml"/><Relationship Id="rId45" Type="http://schemas.openxmlformats.org/officeDocument/2006/relationships/customXml" Target="../customXml/item3.xml"/><Relationship Id="rId46"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DC28637-82A2-4882-B880-456EC7FD591C}">
  <ds:schemaRefs>
    <ds:schemaRef ds:uri="http://schemas.openxmlformats.org/officeDocument/2006/bibliography"/>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401</TotalTime>
  <Application>AlterOffice/2026.2.0.0$Linux_X86_64 LibreOffice_project/bc4ef1adf80b36c7a6365f8ed6cbf29021361edd</Application>
  <AppVersion>15.0000</AppVersion>
  <Pages>35</Pages>
  <Words>12265</Words>
  <Characters>88162</Characters>
  <CharactersWithSpaces>92296</CharactersWithSpaces>
  <Paragraphs>538</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2024-04-03T13:12:00Z</dcterms:created>
  <dc:creator>tsypilev_ag</dc:creator>
  <dc:description/>
  <dc:language>ru-RU</dc:language>
  <cp:lastModifiedBy>kovalchukvv@corp.gidroogk.com</cp:lastModifiedBy>
  <cp:lastPrinted>2018-05-22T09:46:00Z</cp:lastPrinted>
  <dcterms:modified xsi:type="dcterms:W3CDTF">2026-10-30T12:14:08Z</dcterms:modified>
  <cp:revision>55</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