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25772" w:type="dxa"/>
        <w:jc w:val="left"/>
        <w:tblInd w:w="-9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0958"/>
        <w:gridCol w:w="10961"/>
        <w:gridCol w:w="3853"/>
      </w:tblGrid>
      <w:tr>
        <w:trPr/>
        <w:tc>
          <w:tcPr>
            <w:tcW w:w="10958" w:type="dxa"/>
            <w:tcBorders/>
          </w:tcPr>
          <w:p>
            <w:pPr>
              <w:pStyle w:val="Normal"/>
              <w:widowControl w:val="false"/>
              <w:spacing w:lineRule="auto" w:line="276"/>
              <w:ind w:left="6521" w:hanging="0"/>
              <w:rPr>
                <w:lang w:eastAsia="en-US"/>
              </w:rPr>
            </w:pPr>
            <w:r>
              <w:rPr>
                <w:lang w:eastAsia="en-US"/>
              </w:rPr>
              <w:t>Заместитель директора –</w:t>
            </w:r>
          </w:p>
          <w:p>
            <w:pPr>
              <w:pStyle w:val="Normal"/>
              <w:widowControl w:val="false"/>
              <w:spacing w:lineRule="auto" w:line="276"/>
              <w:ind w:left="6521" w:hanging="0"/>
              <w:rPr>
                <w:lang w:eastAsia="en-US"/>
              </w:rPr>
            </w:pPr>
            <w:r>
              <w:rPr>
                <w:lang w:eastAsia="en-US"/>
              </w:rPr>
              <w:t>Главный инженер Воткинского филиала</w:t>
            </w:r>
          </w:p>
          <w:p>
            <w:pPr>
              <w:pStyle w:val="Normal"/>
              <w:widowControl w:val="false"/>
              <w:spacing w:lineRule="auto" w:line="276"/>
              <w:ind w:left="6521" w:hanging="0"/>
              <w:rPr>
                <w:lang w:eastAsia="en-US"/>
              </w:rPr>
            </w:pPr>
            <w:r>
              <w:rPr>
                <w:lang w:eastAsia="en-US"/>
              </w:rPr>
              <w:t>АО «Гидроремонт-ВКК»</w:t>
            </w:r>
          </w:p>
        </w:tc>
        <w:tc>
          <w:tcPr>
            <w:tcW w:w="10961" w:type="dxa"/>
            <w:tcBorders/>
          </w:tcPr>
          <w:p>
            <w:pPr>
              <w:pStyle w:val="Normal"/>
              <w:widowControl w:val="false"/>
              <w:spacing w:lineRule="auto" w:line="276"/>
              <w:ind w:left="6521" w:hanging="0"/>
              <w:rPr>
                <w:lang w:eastAsia="en-US"/>
              </w:rPr>
            </w:pPr>
            <w:r>
              <w:rPr>
                <w:lang w:eastAsia="en-US"/>
              </w:rPr>
              <w:t>Зам. главного инженера Воткинского филиала АО «Гидроремонт-ВКК»</w:t>
            </w:r>
          </w:p>
        </w:tc>
        <w:tc>
          <w:tcPr>
            <w:tcW w:w="3853" w:type="dxa"/>
            <w:tcBorders/>
          </w:tcPr>
          <w:p>
            <w:pPr>
              <w:pStyle w:val="Normal"/>
              <w:widowControl w:val="false"/>
              <w:spacing w:lineRule="auto" w:line="276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</w:tr>
      <w:tr>
        <w:trPr/>
        <w:tc>
          <w:tcPr>
            <w:tcW w:w="10958" w:type="dxa"/>
            <w:tcBorders/>
          </w:tcPr>
          <w:p>
            <w:pPr>
              <w:pStyle w:val="Normal"/>
              <w:widowControl w:val="false"/>
              <w:spacing w:lineRule="auto" w:line="276"/>
              <w:ind w:left="6521" w:hanging="0"/>
              <w:rPr>
                <w:lang w:eastAsia="en-US"/>
              </w:rPr>
            </w:pPr>
            <w:r>
              <w:rPr>
                <w:lang w:eastAsia="en-US"/>
              </w:rPr>
              <w:t>__________________ Э.В. Сальников</w:t>
            </w:r>
          </w:p>
        </w:tc>
        <w:tc>
          <w:tcPr>
            <w:tcW w:w="10961" w:type="dxa"/>
            <w:tcBorders/>
          </w:tcPr>
          <w:p>
            <w:pPr>
              <w:pStyle w:val="Normal"/>
              <w:widowControl w:val="false"/>
              <w:spacing w:lineRule="auto" w:line="276"/>
              <w:ind w:left="6521" w:hanging="0"/>
              <w:rPr>
                <w:lang w:eastAsia="en-US"/>
              </w:rPr>
            </w:pPr>
            <w:r>
              <w:rPr>
                <w:lang w:eastAsia="en-US"/>
              </w:rPr>
              <w:t>__________________ Д.И. Новиков</w:t>
            </w:r>
          </w:p>
        </w:tc>
        <w:tc>
          <w:tcPr>
            <w:tcW w:w="3853" w:type="dxa"/>
            <w:tcBorders/>
          </w:tcPr>
          <w:p>
            <w:pPr>
              <w:pStyle w:val="Normal"/>
              <w:widowControl w:val="false"/>
              <w:spacing w:lineRule="auto" w:line="276"/>
              <w:jc w:val="right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/>
        <w:tc>
          <w:tcPr>
            <w:tcW w:w="10958" w:type="dxa"/>
            <w:tcBorders/>
          </w:tcPr>
          <w:p>
            <w:pPr>
              <w:pStyle w:val="Normal"/>
              <w:widowControl w:val="false"/>
              <w:spacing w:lineRule="auto" w:line="276"/>
              <w:ind w:left="6521" w:hanging="0"/>
              <w:rPr>
                <w:lang w:eastAsia="en-US"/>
              </w:rPr>
            </w:pPr>
            <w:r>
              <w:rPr>
                <w:lang w:eastAsia="en-US"/>
              </w:rPr>
              <w:t>«_____» ______________ 202</w:t>
            </w:r>
            <w:r>
              <w:rPr>
                <w:lang w:val="en-US" w:eastAsia="en-US"/>
              </w:rPr>
              <w:t>6</w:t>
            </w:r>
            <w:r>
              <w:rPr>
                <w:lang w:eastAsia="en-US"/>
              </w:rPr>
              <w:t xml:space="preserve">  г.</w:t>
            </w:r>
          </w:p>
        </w:tc>
        <w:tc>
          <w:tcPr>
            <w:tcW w:w="10961" w:type="dxa"/>
            <w:tcBorders/>
          </w:tcPr>
          <w:p>
            <w:pPr>
              <w:pStyle w:val="Normal"/>
              <w:widowControl w:val="false"/>
              <w:spacing w:lineRule="auto" w:line="276"/>
              <w:ind w:left="6521" w:hanging="0"/>
              <w:rPr>
                <w:lang w:eastAsia="en-US"/>
              </w:rPr>
            </w:pPr>
            <w:r>
              <w:rPr>
                <w:lang w:eastAsia="en-US"/>
              </w:rPr>
              <w:t>«_____» ______________ 2022  г.</w:t>
            </w:r>
          </w:p>
        </w:tc>
        <w:tc>
          <w:tcPr>
            <w:tcW w:w="3853" w:type="dxa"/>
            <w:tcBorders/>
          </w:tcPr>
          <w:p>
            <w:pPr>
              <w:pStyle w:val="Normal"/>
              <w:widowControl w:val="false"/>
              <w:spacing w:lineRule="auto" w:line="276"/>
              <w:jc w:val="right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</w:tbl>
    <w:p>
      <w:pPr>
        <w:pStyle w:val="Normal"/>
        <w:jc w:val="right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  <w:t xml:space="preserve"> 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ind w:left="360" w:hanging="360"/>
        <w:jc w:val="center"/>
        <w:rPr>
          <w:b/>
        </w:rPr>
      </w:pPr>
      <w:r>
        <w:rPr>
          <w:b/>
        </w:rPr>
        <w:t xml:space="preserve">Технические требования </w:t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eastAsia="Calibri"/>
        </w:rPr>
      </w:pPr>
      <w:r>
        <w:rPr>
          <w:rFonts w:eastAsia="Calibri"/>
        </w:rPr>
        <w:t>ОКПД</w:t>
      </w:r>
      <w:r>
        <w:rPr>
          <w:rFonts w:eastAsia="Calibri"/>
          <w:lang w:val="en-US"/>
        </w:rPr>
        <w:t xml:space="preserve"> </w:t>
      </w:r>
      <w:r>
        <w:rPr>
          <w:rFonts w:eastAsia="Calibri"/>
        </w:rPr>
        <w:t>2</w:t>
      </w:r>
      <w:r>
        <w:rPr>
          <w:rFonts w:eastAsia="Calibri"/>
          <w:color w:val="000000"/>
        </w:rPr>
        <w:t> </w:t>
      </w:r>
      <w:r>
        <w:rPr>
          <w:rStyle w:val="Strong"/>
          <w:rFonts w:eastAsia="Calibri"/>
          <w:b w:val="false"/>
          <w:color w:val="000000"/>
        </w:rPr>
        <w:t>28.13.14.190</w:t>
      </w:r>
      <w:r>
        <w:rPr>
          <w:rFonts w:eastAsia="Calibri"/>
          <w:color w:val="000000"/>
        </w:rPr>
        <w:t xml:space="preserve">. </w:t>
      </w:r>
      <w:r>
        <w:rPr>
          <w:rFonts w:eastAsia="Calibri"/>
        </w:rPr>
        <w:t xml:space="preserve">Поставка насоса </w:t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eastAsia="Calibri"/>
        </w:rPr>
      </w:pPr>
      <w:r>
        <w:rPr>
          <w:rFonts w:eastAsia="Calibri"/>
        </w:rPr>
        <w:t>для нужд Воткинского филиала</w:t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eastAsia="Calibri"/>
          <w:lang w:val="en-US"/>
        </w:rPr>
      </w:pPr>
      <w:r>
        <w:rPr>
          <w:rFonts w:eastAsia="Calibri"/>
          <w:lang w:val="en-US"/>
        </w:rPr>
        <w:t>ЛОТ №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3"/>
        </w:numPr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 сведения.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ListParagraph"/>
        <w:numPr>
          <w:ilvl w:val="1"/>
          <w:numId w:val="3"/>
        </w:numPr>
        <w:ind w:left="0" w:hanging="0"/>
        <w:jc w:val="left"/>
        <w:rPr>
          <w:rFonts w:ascii="Times New Roman" w:hAnsi="Times New Roman"/>
          <w:b/>
          <w:bCs/>
          <w:sz w:val="24"/>
          <w:szCs w:val="24"/>
          <w:lang w:val="x-none"/>
        </w:rPr>
      </w:pPr>
      <w:bookmarkStart w:id="0" w:name="_Toc46743505"/>
      <w:bookmarkStart w:id="1" w:name="_Toc75446567"/>
      <w:r>
        <w:rPr>
          <w:rFonts w:ascii="Times New Roman" w:hAnsi="Times New Roman"/>
          <w:b/>
          <w:bCs/>
          <w:sz w:val="24"/>
          <w:szCs w:val="24"/>
          <w:lang w:val="x-none"/>
        </w:rPr>
        <w:t>Обозначения и сокращения</w:t>
      </w:r>
      <w:bookmarkEnd w:id="0"/>
      <w:bookmarkEnd w:id="1"/>
      <w:r>
        <w:rPr>
          <w:rFonts w:ascii="Times New Roman" w:hAnsi="Times New Roman"/>
          <w:b/>
          <w:bCs/>
          <w:sz w:val="24"/>
          <w:szCs w:val="24"/>
        </w:rPr>
        <w:t>.</w:t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720" w:hanging="0"/>
              <w:jc w:val="center"/>
              <w:rPr>
                <w:bCs/>
                <w:iCs/>
                <w:lang w:eastAsia="en-US"/>
              </w:rPr>
            </w:pPr>
            <w:r>
              <w:rPr/>
              <w:t>шт.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left="720" w:hanging="0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штук (штука, штуки)</w:t>
            </w:r>
          </w:p>
        </w:tc>
      </w:tr>
    </w:tbl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ListParagraph"/>
        <w:numPr>
          <w:ilvl w:val="1"/>
          <w:numId w:val="3"/>
        </w:numPr>
        <w:ind w:left="0" w:hanging="0"/>
        <w:rPr>
          <w:b/>
        </w:rPr>
      </w:pPr>
      <w:r>
        <w:rPr>
          <w:rFonts w:ascii="Times New Roman" w:hAnsi="Times New Roman"/>
          <w:b/>
          <w:sz w:val="24"/>
          <w:szCs w:val="24"/>
        </w:rPr>
        <w:t>Наименование закупаемой продукции.</w:t>
      </w:r>
    </w:p>
    <w:p>
      <w:pPr>
        <w:pStyle w:val="Normal"/>
        <w:widowControl w:val="false"/>
        <w:spacing w:lineRule="auto" w:line="264"/>
        <w:rPr>
          <w:rFonts w:eastAsia="Calibri"/>
        </w:rPr>
      </w:pPr>
      <w:r>
        <w:rPr>
          <w:rFonts w:eastAsia="Calibri"/>
        </w:rPr>
        <w:t xml:space="preserve">ОКПД 2 </w:t>
      </w:r>
      <w:r>
        <w:rPr>
          <w:rStyle w:val="Strong"/>
          <w:rFonts w:eastAsia="Calibri"/>
          <w:b w:val="false"/>
          <w:color w:val="000000"/>
        </w:rPr>
        <w:t>28.13.14.190</w:t>
      </w:r>
      <w:r>
        <w:rPr>
          <w:rFonts w:eastAsia="Calibri"/>
          <w:color w:val="000000"/>
        </w:rPr>
        <w:t xml:space="preserve">. </w:t>
      </w:r>
      <w:r>
        <w:rPr>
          <w:rFonts w:eastAsia="Calibri"/>
        </w:rPr>
        <w:t>Поставка насоса для нужд Воткинского филиала</w:t>
      </w:r>
    </w:p>
    <w:p>
      <w:pPr>
        <w:pStyle w:val="Normal"/>
        <w:widowControl w:val="false"/>
        <w:spacing w:lineRule="auto" w:line="264"/>
        <w:rPr>
          <w:rFonts w:eastAsia="Calibri"/>
        </w:rPr>
      </w:pPr>
      <w:r>
        <w:rPr>
          <w:rFonts w:eastAsia="Calibri"/>
        </w:rPr>
      </w:r>
      <w:bookmarkStart w:id="2" w:name="_GoBack"/>
      <w:bookmarkStart w:id="3" w:name="_GoBack"/>
      <w:bookmarkEnd w:id="3"/>
    </w:p>
    <w:p>
      <w:pPr>
        <w:pStyle w:val="ListParagraph"/>
        <w:numPr>
          <w:ilvl w:val="1"/>
          <w:numId w:val="3"/>
        </w:numPr>
        <w:ind w:left="0" w:hanging="0"/>
        <w:rPr>
          <w:rFonts w:ascii="Times New Roman" w:hAnsi="Times New Roman"/>
          <w:b/>
          <w:sz w:val="24"/>
          <w:szCs w:val="24"/>
        </w:rPr>
      </w:pPr>
      <w:bookmarkStart w:id="4" w:name="_Toc46743507"/>
      <w:r>
        <w:rPr>
          <w:rFonts w:ascii="Times New Roman" w:hAnsi="Times New Roman"/>
          <w:b/>
          <w:sz w:val="24"/>
          <w:szCs w:val="24"/>
        </w:rPr>
        <w:t xml:space="preserve">Цель </w:t>
      </w:r>
      <w:bookmarkEnd w:id="4"/>
      <w:r>
        <w:rPr>
          <w:rFonts w:ascii="Times New Roman" w:hAnsi="Times New Roman"/>
          <w:b/>
          <w:sz w:val="24"/>
          <w:szCs w:val="24"/>
        </w:rPr>
        <w:t>использования закупаемой продукции</w:t>
      </w:r>
    </w:p>
    <w:p>
      <w:pPr>
        <w:pStyle w:val="ListParagraph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Закупаемая продукция предназначена для выполнения работ на Воткинской ГЭС для исполнения Договора №4-РЕМ-2023-ВотГЭС от 31.10.2023г. «Капитальный и текущий ремонт оборудования, зданий и сооружений Воткинской ГЭС», заключенного между филиалом ПАО «РусГидро» - «Воткинская ГЭС» и Воткинским филиалом АО «Гидроремонт-ВКК».</w:t>
      </w:r>
    </w:p>
    <w:p>
      <w:pPr>
        <w:pStyle w:val="ListParagraph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ind w:left="-709" w:firstLine="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продукции.</w:t>
      </w:r>
    </w:p>
    <w:p>
      <w:pPr>
        <w:pStyle w:val="Normal"/>
        <w:ind w:left="360" w:hanging="360"/>
        <w:rPr>
          <w:b/>
        </w:rPr>
      </w:pPr>
      <w:r>
        <w:rPr>
          <w:b/>
        </w:rPr>
        <w:t>2.1.</w:t>
        <w:tab/>
        <w:t>Требования к объемам и срокам поставки.</w:t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2.1.1.</w:t>
        <w:tab/>
        <w:t>Перечень и объем закупаемой продукции.</w:t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1.1 Перечень и объем закупаемой продукции.</w:t>
      </w:r>
    </w:p>
    <w:tbl>
      <w:tblPr>
        <w:tblStyle w:val="12"/>
        <w:tblW w:w="9781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48"/>
        <w:gridCol w:w="5247"/>
        <w:gridCol w:w="1851"/>
        <w:gridCol w:w="1834"/>
      </w:tblGrid>
      <w:tr>
        <w:trPr>
          <w:trHeight w:val="884" w:hRule="atLeast"/>
        </w:trPr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uppressAutoHyphens w:val="false"/>
              <w:spacing w:lineRule="exact" w:line="274" w:before="0" w:after="160"/>
              <w:jc w:val="center"/>
              <w:rPr>
                <w:kern w:val="0"/>
                <w:lang w:val="ru-RU" w:bidi="ar-SA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 xml:space="preserve">№ </w:t>
            </w:r>
            <w:r>
              <w:rPr>
                <w:rFonts w:eastAsia="Calibri"/>
                <w:kern w:val="0"/>
                <w:lang w:val="ru-RU" w:eastAsia="en-US" w:bidi="ar-SA"/>
              </w:rPr>
              <w:t>п/п</w:t>
            </w:r>
          </w:p>
        </w:tc>
        <w:tc>
          <w:tcPr>
            <w:tcW w:w="5247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uppressAutoHyphens w:val="false"/>
              <w:spacing w:lineRule="exact" w:line="274" w:before="0" w:after="160"/>
              <w:jc w:val="center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 xml:space="preserve">Наименование </w:t>
            </w:r>
            <w:r>
              <w:rPr>
                <w:rFonts w:eastAsia="Calibri"/>
                <w:kern w:val="0"/>
                <w:lang w:val="en-US" w:eastAsia="en-US" w:bidi="ar-SA"/>
              </w:rPr>
              <w:t>продукции</w:t>
            </w:r>
          </w:p>
        </w:tc>
        <w:tc>
          <w:tcPr>
            <w:tcW w:w="1851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uppressAutoHyphens w:val="false"/>
              <w:spacing w:lineRule="exact" w:line="274" w:before="0" w:after="160"/>
              <w:jc w:val="center"/>
              <w:rPr>
                <w:kern w:val="0"/>
                <w:lang w:val="ru-RU" w:bidi="ar-SA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Ед. изм.</w:t>
            </w:r>
          </w:p>
        </w:tc>
        <w:tc>
          <w:tcPr>
            <w:tcW w:w="1834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uppressAutoHyphens w:val="false"/>
              <w:spacing w:lineRule="exact" w:line="274" w:before="0" w:after="160"/>
              <w:jc w:val="center"/>
              <w:rPr>
                <w:kern w:val="0"/>
                <w:lang w:val="ru-RU" w:bidi="ar-SA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Кол-во</w:t>
            </w:r>
          </w:p>
        </w:tc>
      </w:tr>
      <w:tr>
        <w:trPr>
          <w:trHeight w:val="421" w:hRule="atLeast"/>
        </w:trPr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kern w:val="0"/>
                <w:sz w:val="20"/>
                <w:lang w:val="en-US" w:eastAsia="en-US" w:bidi="ar-SA"/>
              </w:rPr>
              <w:t>1</w:t>
            </w:r>
          </w:p>
        </w:tc>
        <w:tc>
          <w:tcPr>
            <w:tcW w:w="5247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kern w:val="0"/>
                <w:sz w:val="20"/>
                <w:lang w:val="en-US" w:eastAsia="en-US" w:bidi="ar-SA"/>
              </w:rPr>
              <w:t>2</w:t>
            </w:r>
          </w:p>
        </w:tc>
        <w:tc>
          <w:tcPr>
            <w:tcW w:w="1851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eastAsia="DotumChe"/>
                <w:b/>
                <w:lang w:val="en-US" w:eastAsia="en-US"/>
              </w:rPr>
            </w:pPr>
            <w:r>
              <w:rPr>
                <w:rFonts w:eastAsia="DotumChe"/>
                <w:b/>
                <w:kern w:val="0"/>
                <w:sz w:val="20"/>
                <w:lang w:val="en-US" w:eastAsia="en-US" w:bidi="ar-SA"/>
              </w:rPr>
              <w:t>3</w:t>
            </w:r>
          </w:p>
        </w:tc>
        <w:tc>
          <w:tcPr>
            <w:tcW w:w="1834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eastAsia="DotumChe"/>
                <w:b/>
                <w:lang w:val="en-US" w:eastAsia="en-US"/>
              </w:rPr>
            </w:pPr>
            <w:r>
              <w:rPr>
                <w:rFonts w:eastAsia="DotumChe"/>
                <w:b/>
                <w:kern w:val="0"/>
                <w:sz w:val="20"/>
                <w:lang w:val="en-US" w:eastAsia="en-US" w:bidi="ar-SA"/>
              </w:rPr>
              <w:t>4</w:t>
            </w:r>
          </w:p>
        </w:tc>
      </w:tr>
      <w:tr>
        <w:trPr/>
        <w:tc>
          <w:tcPr>
            <w:tcW w:w="848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360" w:before="0" w:after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val="en-US" w:bidi="ar-SA"/>
              </w:rPr>
              <w:t>1</w:t>
            </w:r>
          </w:p>
        </w:tc>
        <w:tc>
          <w:tcPr>
            <w:tcW w:w="52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color w:val="000000"/>
                <w:kern w:val="0"/>
                <w:lang w:val="ru-RU" w:bidi="ar-SA"/>
              </w:rPr>
              <w:t>Агрегат насосный центробежный самовсасывающий горизонтальный ФГС 25/14</w:t>
            </w:r>
          </w:p>
        </w:tc>
        <w:tc>
          <w:tcPr>
            <w:tcW w:w="185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ind w:left="-17" w:hanging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val="en-US" w:bidi="ar-SA"/>
              </w:rPr>
              <w:t>шт.</w:t>
            </w:r>
          </w:p>
        </w:tc>
        <w:tc>
          <w:tcPr>
            <w:tcW w:w="1834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ind w:left="-17" w:hanging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val="en-US" w:bidi="ar-SA"/>
              </w:rPr>
              <w:t>1</w:t>
            </w:r>
          </w:p>
        </w:tc>
      </w:tr>
    </w:tbl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Normal"/>
        <w:spacing w:lineRule="auto" w:line="360"/>
        <w:ind w:left="709" w:hanging="0"/>
        <w:rPr>
          <w:b/>
        </w:rPr>
      </w:pPr>
      <w:r>
        <w:rPr>
          <w:b/>
        </w:rPr>
        <w:t>2.1.2.</w:t>
        <w:tab/>
        <w:t>Требования к срокам поставки продукции и оказания сопутствующих услуг.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Таблица 1.2 Требования по срокам поставки продукции.</w:t>
      </w:r>
    </w:p>
    <w:tbl>
      <w:tblPr>
        <w:tblW w:w="9776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34"/>
        <w:gridCol w:w="5263"/>
        <w:gridCol w:w="1846"/>
        <w:gridCol w:w="1832"/>
      </w:tblGrid>
      <w:tr>
        <w:trPr/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Наименование продукции / партии продукции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Требования к началу срока поставки продукции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Требования к окончанию срока поставки продукции</w:t>
            </w:r>
          </w:p>
        </w:tc>
      </w:tr>
      <w:tr>
        <w:trPr/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1</w:t>
            </w:r>
          </w:p>
        </w:tc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2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57" w:right="57" w:hanging="0"/>
              <w:jc w:val="center"/>
              <w:rPr/>
            </w:pPr>
            <w:r>
              <w:rPr>
                <w:b/>
              </w:rPr>
              <w:t>3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57" w:right="57" w:hanging="0"/>
              <w:jc w:val="center"/>
              <w:rPr/>
            </w:pPr>
            <w:r>
              <w:rPr>
                <w:b/>
              </w:rPr>
              <w:t>4</w:t>
            </w:r>
          </w:p>
        </w:tc>
      </w:tr>
      <w:tr>
        <w:trPr>
          <w:trHeight w:val="899" w:hRule="atLeast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</w:rPr>
              <w:t>Агрегат насосный центробежный самовсасывающий горизонтальный ФГС 25/14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С даты заключения договора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в течение 90 рабочих дней с даты заключения договора</w:t>
            </w:r>
          </w:p>
        </w:tc>
      </w:tr>
    </w:tbl>
    <w:p>
      <w:pPr>
        <w:sectPr>
          <w:type w:val="nextPage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jc w:val="both"/>
        <w:rPr/>
      </w:pPr>
      <w:r>
        <w:rPr/>
      </w:r>
    </w:p>
    <w:tbl>
      <w:tblPr>
        <w:tblStyle w:val="21"/>
        <w:tblW w:w="15173" w:type="dxa"/>
        <w:jc w:val="left"/>
        <w:tblInd w:w="-3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021"/>
        <w:gridCol w:w="1869"/>
        <w:gridCol w:w="842"/>
        <w:gridCol w:w="3091"/>
        <w:gridCol w:w="3068"/>
        <w:gridCol w:w="5282"/>
      </w:tblGrid>
      <w:tr>
        <w:trPr>
          <w:trHeight w:val="1042" w:hRule="atLeast"/>
        </w:trPr>
        <w:tc>
          <w:tcPr>
            <w:tcW w:w="15173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2.2.</w:t>
              <w:tab/>
              <w:t>Требования к качеству продукции.</w:t>
            </w:r>
          </w:p>
          <w:p>
            <w:pPr>
              <w:pStyle w:val="Normal"/>
              <w:widowControl w:val="false"/>
              <w:suppressAutoHyphens w:val="fals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Таблица 2 Требования к продукции.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/>
            </w:pPr>
            <w:r>
              <w:rPr>
                <w:b/>
                <w:kern w:val="0"/>
                <w:lang w:val="ru-RU" w:bidi="ar-SA"/>
              </w:rPr>
              <w:t xml:space="preserve">Наименование продукции: </w:t>
            </w:r>
            <w:r>
              <w:rPr>
                <w:rFonts w:eastAsia="Calibri"/>
                <w:kern w:val="0"/>
                <w:lang w:val="ru-RU" w:bidi="ar-SA"/>
              </w:rPr>
              <w:t xml:space="preserve">ОКПД 2 </w:t>
            </w:r>
            <w:r>
              <w:rPr>
                <w:rStyle w:val="Strong"/>
                <w:rFonts w:eastAsia="Calibri"/>
                <w:b w:val="false"/>
                <w:bCs w:val="false"/>
                <w:color w:val="000000"/>
                <w:kern w:val="0"/>
                <w:lang w:val="ru-RU" w:bidi="ar-SA"/>
              </w:rPr>
              <w:t>28.13.14.190</w:t>
            </w:r>
            <w:r>
              <w:rPr>
                <w:rFonts w:eastAsia="Calibri"/>
                <w:color w:val="000000"/>
                <w:kern w:val="0"/>
                <w:lang w:val="ru-RU" w:bidi="ar-SA"/>
              </w:rPr>
              <w:t xml:space="preserve">. </w:t>
            </w:r>
            <w:r>
              <w:rPr>
                <w:rFonts w:eastAsia="Calibri"/>
                <w:kern w:val="0"/>
                <w:lang w:val="ru-RU" w:bidi="ar-SA"/>
              </w:rPr>
              <w:t>Поставка насоса для нужд Воткинского филиала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  <w:kern w:val="0"/>
                <w:lang w:val="ru-RU" w:bidi="ar-SA"/>
              </w:rPr>
            </w:r>
          </w:p>
        </w:tc>
      </w:tr>
      <w:tr>
        <w:trPr>
          <w:trHeight w:val="516" w:hRule="atLeast"/>
        </w:trPr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lang w:val="ru-RU" w:bidi="ar-SA"/>
              </w:rPr>
              <w:t xml:space="preserve">№ </w:t>
            </w:r>
            <w:r>
              <w:rPr>
                <w:b/>
                <w:bCs/>
                <w:kern w:val="0"/>
                <w:lang w:val="ru-RU" w:bidi="ar-SA"/>
              </w:rPr>
              <w:t>п/п</w:t>
            </w:r>
          </w:p>
        </w:tc>
        <w:tc>
          <w:tcPr>
            <w:tcW w:w="271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ind w:left="-108" w:right="-144" w:hanging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lang w:val="ru-RU" w:bidi="ar-SA"/>
              </w:rPr>
              <w:t>Наименование продукции</w:t>
            </w:r>
          </w:p>
        </w:tc>
        <w:tc>
          <w:tcPr>
            <w:tcW w:w="309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lang w:val="ru-RU" w:bidi="ar-SA"/>
              </w:rPr>
              <w:t>Наименование параметра</w:t>
            </w:r>
          </w:p>
        </w:tc>
        <w:tc>
          <w:tcPr>
            <w:tcW w:w="3068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lang w:val="ru-RU" w:bidi="ar-SA"/>
              </w:rPr>
              <w:t>Требование заказчика</w:t>
            </w:r>
          </w:p>
        </w:tc>
        <w:tc>
          <w:tcPr>
            <w:tcW w:w="5282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lang w:val="ru-RU" w:bidi="ar-SA"/>
              </w:rPr>
              <w:t>Соответствие стандартам</w:t>
            </w:r>
          </w:p>
        </w:tc>
      </w:tr>
      <w:tr>
        <w:trPr/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1</w:t>
            </w:r>
          </w:p>
        </w:tc>
        <w:tc>
          <w:tcPr>
            <w:tcW w:w="271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2</w:t>
            </w:r>
          </w:p>
        </w:tc>
        <w:tc>
          <w:tcPr>
            <w:tcW w:w="309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3</w:t>
            </w:r>
          </w:p>
        </w:tc>
        <w:tc>
          <w:tcPr>
            <w:tcW w:w="3068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4</w:t>
            </w:r>
          </w:p>
        </w:tc>
        <w:tc>
          <w:tcPr>
            <w:tcW w:w="5282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5</w:t>
            </w:r>
          </w:p>
        </w:tc>
      </w:tr>
      <w:tr>
        <w:trPr/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before="60" w:after="6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1415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676" w:hRule="atLeast"/>
        </w:trPr>
        <w:tc>
          <w:tcPr>
            <w:tcW w:w="1021" w:type="dxa"/>
            <w:vMerge w:val="restart"/>
            <w:tcBorders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Calibri"/>
                <w:color w:val="000000"/>
                <w:kern w:val="0"/>
                <w:lang w:val="ru-RU" w:eastAsia="en-US" w:bidi="ar-SA"/>
              </w:rPr>
              <w:t>Агрегат насосный центробежный самовсасывающий горизонтальный ФГС 25/14</w:t>
            </w:r>
          </w:p>
        </w:tc>
        <w:tc>
          <w:tcPr>
            <w:tcW w:w="309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  <w:t>обозначение насоса</w:t>
            </w:r>
          </w:p>
        </w:tc>
        <w:tc>
          <w:tcPr>
            <w:tcW w:w="30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Calibri"/>
                <w:color w:val="000000"/>
                <w:kern w:val="0"/>
                <w:lang w:val="ru-RU" w:eastAsia="en-US" w:bidi="ar-SA"/>
              </w:rPr>
              <w:t>ФГС 25/14</w:t>
            </w:r>
          </w:p>
        </w:tc>
        <w:tc>
          <w:tcPr>
            <w:tcW w:w="5282" w:type="dxa"/>
            <w:vMerge w:val="restart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false"/>
              <w:spacing w:before="0" w:after="0"/>
              <w:ind w:left="-17" w:hanging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lang w:val="en-US" w:bidi="ar-SA"/>
              </w:rPr>
              <w:t>-</w:t>
            </w:r>
          </w:p>
        </w:tc>
      </w:tr>
      <w:tr>
        <w:trPr>
          <w:trHeight w:val="676" w:hRule="atLeast"/>
        </w:trPr>
        <w:tc>
          <w:tcPr>
            <w:tcW w:w="1021" w:type="dxa"/>
            <w:vMerge w:val="continue"/>
            <w:tcBorders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  <w:tc>
          <w:tcPr>
            <w:tcW w:w="309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  <w:t>исполнение насоса</w:t>
            </w:r>
          </w:p>
        </w:tc>
        <w:tc>
          <w:tcPr>
            <w:tcW w:w="3068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  <w:t>горизонтальное</w:t>
            </w:r>
          </w:p>
        </w:tc>
        <w:tc>
          <w:tcPr>
            <w:tcW w:w="5282" w:type="dxa"/>
            <w:vMerge w:val="continue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kern w:val="0"/>
                <w:lang w:val="en-US" w:bidi="ar-SA"/>
              </w:rPr>
            </w:r>
          </w:p>
        </w:tc>
      </w:tr>
      <w:tr>
        <w:trPr>
          <w:trHeight w:val="676" w:hRule="atLeast"/>
        </w:trPr>
        <w:tc>
          <w:tcPr>
            <w:tcW w:w="1021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  <w:tc>
          <w:tcPr>
            <w:tcW w:w="30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тип насоса</w:t>
            </w:r>
          </w:p>
        </w:tc>
        <w:tc>
          <w:tcPr>
            <w:tcW w:w="30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Calibri"/>
                <w:color w:val="000000"/>
                <w:kern w:val="0"/>
                <w:lang w:val="ru-RU" w:eastAsia="en-US" w:bidi="ar-SA"/>
              </w:rPr>
              <w:t>центробежный</w:t>
            </w:r>
          </w:p>
        </w:tc>
        <w:tc>
          <w:tcPr>
            <w:tcW w:w="528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kern w:val="0"/>
                <w:lang w:val="en-US" w:bidi="ar-SA"/>
              </w:rPr>
            </w:r>
          </w:p>
        </w:tc>
      </w:tr>
      <w:tr>
        <w:trPr>
          <w:trHeight w:val="676" w:hRule="atLeast"/>
        </w:trPr>
        <w:tc>
          <w:tcPr>
            <w:tcW w:w="1021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</w:r>
          </w:p>
        </w:tc>
        <w:tc>
          <w:tcPr>
            <w:tcW w:w="30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  <w:t>подача, м3/ч</w:t>
            </w:r>
          </w:p>
        </w:tc>
        <w:tc>
          <w:tcPr>
            <w:tcW w:w="30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25,0</w:t>
            </w:r>
          </w:p>
        </w:tc>
        <w:tc>
          <w:tcPr>
            <w:tcW w:w="528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kern w:val="0"/>
                <w:lang w:val="en-US" w:bidi="ar-SA"/>
              </w:rPr>
            </w:r>
          </w:p>
        </w:tc>
      </w:tr>
      <w:tr>
        <w:trPr>
          <w:trHeight w:val="594" w:hRule="atLeast"/>
        </w:trPr>
        <w:tc>
          <w:tcPr>
            <w:tcW w:w="102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-57" w:hanging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309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  <w:t>напор, м</w:t>
            </w:r>
          </w:p>
        </w:tc>
        <w:tc>
          <w:tcPr>
            <w:tcW w:w="3068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jc w:val="center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  <w:t>14,0</w:t>
            </w:r>
          </w:p>
        </w:tc>
        <w:tc>
          <w:tcPr>
            <w:tcW w:w="528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highlight w:val="yellow"/>
              </w:rPr>
            </w:pPr>
            <w:r>
              <w:rPr>
                <w:kern w:val="0"/>
                <w:highlight w:val="yellow"/>
                <w:lang w:val="ru-RU" w:bidi="ar-SA"/>
              </w:rPr>
            </w:r>
          </w:p>
        </w:tc>
      </w:tr>
      <w:tr>
        <w:trPr/>
        <w:tc>
          <w:tcPr>
            <w:tcW w:w="102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-57" w:hanging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309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  <w:t>мощность электродвигателя, кВт</w:t>
            </w:r>
          </w:p>
        </w:tc>
        <w:tc>
          <w:tcPr>
            <w:tcW w:w="3068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jc w:val="center"/>
              <w:rPr>
                <w:kern w:val="0"/>
                <w:lang w:val="ru-RU" w:bidi="ar-SA"/>
              </w:rPr>
            </w:pPr>
            <w:r>
              <w:rPr>
                <w:rFonts w:eastAsia="Calibri"/>
                <w:kern w:val="0"/>
                <w:lang w:val="ru-RU" w:eastAsia="en-US" w:bidi="ar-SA"/>
              </w:rPr>
              <w:t>2,2</w:t>
            </w:r>
          </w:p>
        </w:tc>
        <w:tc>
          <w:tcPr>
            <w:tcW w:w="528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highlight w:val="yellow"/>
              </w:rPr>
            </w:pPr>
            <w:r>
              <w:rPr>
                <w:kern w:val="0"/>
                <w:highlight w:val="yellow"/>
                <w:lang w:val="ru-RU" w:bidi="ar-SA"/>
              </w:rPr>
            </w:r>
          </w:p>
        </w:tc>
      </w:tr>
      <w:tr>
        <w:trPr/>
        <w:tc>
          <w:tcPr>
            <w:tcW w:w="102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-57" w:hanging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309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подпор на всасывании, м</w:t>
            </w:r>
          </w:p>
        </w:tc>
        <w:tc>
          <w:tcPr>
            <w:tcW w:w="3068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10,0</w:t>
            </w:r>
          </w:p>
        </w:tc>
        <w:tc>
          <w:tcPr>
            <w:tcW w:w="528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highlight w:val="yellow"/>
              </w:rPr>
            </w:pPr>
            <w:r>
              <w:rPr>
                <w:kern w:val="0"/>
                <w:highlight w:val="yellow"/>
                <w:lang w:val="ru-RU" w:bidi="ar-SA"/>
              </w:rPr>
            </w:r>
          </w:p>
        </w:tc>
      </w:tr>
      <w:tr>
        <w:trPr/>
        <w:tc>
          <w:tcPr>
            <w:tcW w:w="1021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-57" w:hanging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30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частота вращения, об/мин</w:t>
            </w:r>
          </w:p>
        </w:tc>
        <w:tc>
          <w:tcPr>
            <w:tcW w:w="30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3000</w:t>
            </w:r>
          </w:p>
        </w:tc>
        <w:tc>
          <w:tcPr>
            <w:tcW w:w="528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highlight w:val="yellow"/>
              </w:rPr>
            </w:pPr>
            <w:r>
              <w:rPr>
                <w:kern w:val="0"/>
                <w:highlight w:val="yellow"/>
                <w:lang w:val="ru-RU" w:bidi="ar-SA"/>
              </w:rPr>
            </w:r>
          </w:p>
        </w:tc>
      </w:tr>
      <w:tr>
        <w:trPr/>
        <w:tc>
          <w:tcPr>
            <w:tcW w:w="1021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-57" w:hanging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3091" w:type="dxa"/>
            <w:tcBorders>
              <w:top w:val="nil"/>
            </w:tcBorders>
            <w:vAlign w:val="center"/>
          </w:tcPr>
          <w:p>
            <w:pPr>
              <w:pStyle w:val="BodyText"/>
              <w:widowControl w:val="false"/>
              <w:suppressAutoHyphens w:val="false"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допускаемый кавитационный запас, м</w:t>
            </w:r>
          </w:p>
        </w:tc>
        <w:tc>
          <w:tcPr>
            <w:tcW w:w="30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4,0</w:t>
            </w:r>
          </w:p>
        </w:tc>
        <w:tc>
          <w:tcPr>
            <w:tcW w:w="528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highlight w:val="yellow"/>
              </w:rPr>
            </w:pPr>
            <w:r>
              <w:rPr>
                <w:kern w:val="0"/>
                <w:highlight w:val="yellow"/>
                <w:lang w:val="ru-RU" w:bidi="ar-SA"/>
              </w:rPr>
            </w:r>
          </w:p>
        </w:tc>
      </w:tr>
      <w:tr>
        <w:trPr/>
        <w:tc>
          <w:tcPr>
            <w:tcW w:w="1021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-57" w:hanging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30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/>
              </w:rPr>
            </w:pPr>
            <w:r>
              <w:rPr>
                <w:rFonts w:eastAsia="Calibri"/>
                <w:color w:val="000000"/>
                <w:kern w:val="0"/>
                <w:lang w:val="ru-RU" w:eastAsia="en-US" w:bidi="ar-SA"/>
              </w:rPr>
              <w:t>напряжение сети при частоте 50Гц, В</w:t>
            </w:r>
          </w:p>
        </w:tc>
        <w:tc>
          <w:tcPr>
            <w:tcW w:w="30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jc w:val="center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  <w:t>380</w:t>
            </w:r>
          </w:p>
        </w:tc>
        <w:tc>
          <w:tcPr>
            <w:tcW w:w="528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highlight w:val="yellow"/>
              </w:rPr>
            </w:pPr>
            <w:r>
              <w:rPr>
                <w:kern w:val="0"/>
                <w:highlight w:val="yellow"/>
                <w:lang w:val="ru-RU" w:bidi="ar-SA"/>
              </w:rPr>
            </w:r>
          </w:p>
        </w:tc>
      </w:tr>
      <w:tr>
        <w:trPr/>
        <w:tc>
          <w:tcPr>
            <w:tcW w:w="102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-57" w:hanging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309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  <w:t>масса насоса, кг</w:t>
            </w:r>
          </w:p>
        </w:tc>
        <w:tc>
          <w:tcPr>
            <w:tcW w:w="3068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jc w:val="center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  <w:t>40,0</w:t>
            </w:r>
          </w:p>
        </w:tc>
        <w:tc>
          <w:tcPr>
            <w:tcW w:w="528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highlight w:val="yellow"/>
                <w:lang w:val="en-US"/>
              </w:rPr>
            </w:pPr>
            <w:r>
              <w:rPr>
                <w:kern w:val="0"/>
                <w:highlight w:val="yellow"/>
                <w:lang w:val="en-US" w:bidi="ar-SA"/>
              </w:rPr>
            </w:r>
          </w:p>
        </w:tc>
      </w:tr>
      <w:tr>
        <w:trPr/>
        <w:tc>
          <w:tcPr>
            <w:tcW w:w="1021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-57" w:hanging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30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В комплект поставки насоса должны входить:</w:t>
            </w:r>
          </w:p>
        </w:tc>
        <w:tc>
          <w:tcPr>
            <w:tcW w:w="30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Комплект ЗИП и комплект ответных фланцев</w:t>
            </w:r>
          </w:p>
        </w:tc>
        <w:tc>
          <w:tcPr>
            <w:tcW w:w="528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highlight w:val="yellow"/>
              </w:rPr>
            </w:pPr>
            <w:r>
              <w:rPr>
                <w:kern w:val="0"/>
                <w:highlight w:val="yellow"/>
                <w:lang w:val="ru-RU" w:bidi="ar-SA"/>
              </w:rPr>
            </w:r>
          </w:p>
        </w:tc>
      </w:tr>
      <w:tr>
        <w:trPr/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before="60" w:after="6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1415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lang w:val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-144" w:hanging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Место поставки</w:t>
            </w:r>
          </w:p>
        </w:tc>
        <w:tc>
          <w:tcPr>
            <w:tcW w:w="11441" w:type="dxa"/>
            <w:gridSpan w:val="3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contextualSpacing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Поставка осуществляется по адресу: Воткинский филиал АО «Гидроремонт-ВКК» в г. Чайковский, 617761, Пермский край, г. Чайковский, территория филиала ПАО «РусГидро» - «Воткинская ГЭС».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contextualSpacing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Приемка продукции осуществляется только в рабочие дни: понедельник - четверг с 8-30 до 11-00 и с 13-00 до 16-00, пятница с 8-30 до 11-00 и с 13-00 до 15-00 по местному времени.</w:t>
            </w:r>
          </w:p>
        </w:tc>
      </w:tr>
      <w:tr>
        <w:trPr/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-144" w:hanging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Требования к таре и упаковке</w:t>
            </w:r>
          </w:p>
        </w:tc>
        <w:tc>
          <w:tcPr>
            <w:tcW w:w="11441" w:type="dxa"/>
            <w:gridSpan w:val="3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Тара и упаковка должны обеспечивать целостность продукции при транспортировке и хранении.</w:t>
            </w:r>
          </w:p>
        </w:tc>
      </w:tr>
      <w:tr>
        <w:trPr/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before="60" w:after="6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1415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0"/>
              <w:jc w:val="left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Срок гарантии</w:t>
            </w:r>
          </w:p>
        </w:tc>
        <w:tc>
          <w:tcPr>
            <w:tcW w:w="11441" w:type="dxa"/>
            <w:gridSpan w:val="3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Срок гарантийных обязательств Поставщика должен быть не менее гарантийных сроков завода-изготовителя продукции. При этом в любом случае гарантийный срок должен быть не меньше 12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>
        <w:trPr/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before="60" w:after="6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1415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Документы, передаваемые вместе с продукцией</w:t>
            </w:r>
          </w:p>
        </w:tc>
        <w:tc>
          <w:tcPr>
            <w:tcW w:w="1144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- паспорт на изделие;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- руководство по монтажу и эксплуатации изделия;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- документ о качества на изделие;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- документ о качестве на ответные фланцы;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- товарно-транспортную накладную формы №1-Т;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contextualSpacing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- товарную накладную унифицированной формы ТОРГ-12 в 2 экз.</w:t>
            </w:r>
          </w:p>
        </w:tc>
      </w:tr>
      <w:tr>
        <w:trPr/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before="60" w:after="6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1415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Требования к экономическим параметрам</w:t>
            </w:r>
          </w:p>
        </w:tc>
      </w:tr>
      <w:tr>
        <w:trPr/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271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Соответствие стандартам</w:t>
            </w:r>
          </w:p>
        </w:tc>
        <w:tc>
          <w:tcPr>
            <w:tcW w:w="11441" w:type="dxa"/>
            <w:gridSpan w:val="3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Поставщик(производитель) должен быть готов за свой счет провести независимую экспертизу поставляемой продукции для подтверждения соответствия требованиям, указанным в документации.</w:t>
            </w:r>
          </w:p>
        </w:tc>
      </w:tr>
      <w:tr>
        <w:trPr/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before="60" w:after="6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1415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Требования к обязательствам Поставщика, влияющим на исполнение договора</w:t>
            </w:r>
          </w:p>
        </w:tc>
      </w:tr>
      <w:tr>
        <w:trPr/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1415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Информация о транспорте, на котором осуществляется доставка, для оформления допуска на территорию предоставляется не позднее 10-00 предыдущего рабочего дня до прибытия транспорта.</w:t>
            </w:r>
          </w:p>
        </w:tc>
      </w:tr>
      <w:tr>
        <w:trPr/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before="60" w:after="6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1415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Прочие (дополнительные) требования к продукции</w:t>
            </w:r>
          </w:p>
        </w:tc>
      </w:tr>
      <w:tr>
        <w:trPr>
          <w:trHeight w:val="1399" w:hRule="atLeast"/>
        </w:trPr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kern w:val="0"/>
                <w:lang w:val="ru-RU" w:bidi="ar-SA"/>
              </w:rPr>
            </w:r>
          </w:p>
        </w:tc>
        <w:tc>
          <w:tcPr>
            <w:tcW w:w="1869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Общие требования</w:t>
            </w:r>
          </w:p>
        </w:tc>
        <w:tc>
          <w:tcPr>
            <w:tcW w:w="1228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Объем продукции каждой номенклатурной позиции, должен соответствовать одной производимой партии продукции.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</w:tr>
    </w:tbl>
    <w:p>
      <w:pPr>
        <w:pStyle w:val="Normal"/>
        <w:ind w:firstLine="567"/>
        <w:jc w:val="both"/>
        <w:rPr>
          <w:b/>
        </w:rPr>
      </w:pPr>
      <w:r>
        <w:rPr>
          <w:b/>
        </w:rPr>
      </w:r>
    </w:p>
    <w:p>
      <w:pPr>
        <w:pStyle w:val="Normal"/>
        <w:spacing w:lineRule="auto" w:line="276" w:before="0" w:after="200"/>
        <w:ind w:left="360" w:hanging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pacing w:lineRule="auto" w:line="276" w:before="0" w:after="200"/>
        <w:ind w:left="360" w:hanging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pacing w:lineRule="auto" w:line="276" w:before="0" w:after="200"/>
        <w:ind w:left="360" w:hanging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pacing w:lineRule="auto" w:line="276" w:before="0" w:after="200"/>
        <w:ind w:left="360" w:hanging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pacing w:lineRule="auto" w:line="276" w:before="0" w:after="200"/>
        <w:ind w:left="360" w:hanging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pacing w:lineRule="auto" w:line="276" w:before="0" w:after="200"/>
        <w:ind w:left="360" w:hanging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pacing w:lineRule="auto" w:line="276" w:before="0" w:after="200"/>
        <w:ind w:left="360" w:hanging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pacing w:lineRule="auto" w:line="276" w:before="0" w:after="200"/>
        <w:ind w:left="360" w:hanging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pacing w:lineRule="auto" w:line="276" w:before="0" w:after="200"/>
        <w:ind w:left="360" w:hanging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pacing w:lineRule="auto" w:line="276" w:before="0" w:after="200"/>
        <w:ind w:left="360" w:hanging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pacing w:lineRule="auto" w:line="276" w:before="0" w:after="200"/>
        <w:ind w:left="360" w:hanging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pacing w:lineRule="auto" w:line="276" w:before="0" w:after="200"/>
        <w:ind w:left="360" w:hanging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pacing w:lineRule="auto" w:line="276" w:before="0" w:after="200"/>
        <w:rPr>
          <w:rFonts w:eastAsia="Calibri"/>
          <w:b/>
          <w:lang w:eastAsia="en-US"/>
        </w:rPr>
      </w:pPr>
      <w:r>
        <w:rPr/>
      </w:r>
    </w:p>
    <w:sectPr>
      <w:type w:val="nextPage"/>
      <w:pgSz w:orient="landscape" w:w="16838" w:h="11906"/>
      <w:pgMar w:left="1134" w:right="1134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Symbol">
    <w:charset w:val="01"/>
    <w:family w:val="roman"/>
    <w:pitch w:val="variable"/>
  </w:font>
  <w:font w:name="GOST Type BU"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iCs w:val="false"/>
        <w:bCs w:val="false"/>
        <w:em w:val="none"/>
        <w:vanish w:val="false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b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sz w:val="24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1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d509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next w:val="Normal"/>
    <w:link w:val="1"/>
    <w:qFormat/>
    <w:rsid w:val="00611ac1"/>
    <w:pPr>
      <w:keepNext w:val="true"/>
      <w:outlineLvl w:val="0"/>
    </w:pPr>
    <w:rPr>
      <w:sz w:val="28"/>
      <w:szCs w:val="20"/>
      <w:lang w:eastAsia="en-US"/>
    </w:rPr>
  </w:style>
  <w:style w:type="paragraph" w:styleId="Heading2">
    <w:name w:val="Heading 2"/>
    <w:basedOn w:val="Normal"/>
    <w:next w:val="Normal"/>
    <w:link w:val="2"/>
    <w:qFormat/>
    <w:rsid w:val="00611ac1"/>
    <w:pPr>
      <w:keepNext w:val="true"/>
      <w:jc w:val="center"/>
      <w:outlineLvl w:val="1"/>
    </w:pPr>
    <w:rPr>
      <w:sz w:val="28"/>
      <w:szCs w:val="20"/>
      <w:lang w:val="en-US" w:eastAsia="en-US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9b7eec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Текст выноски Знак"/>
    <w:basedOn w:val="DefaultParagraphFont"/>
    <w:link w:val="BalloonText"/>
    <w:uiPriority w:val="99"/>
    <w:semiHidden/>
    <w:qFormat/>
    <w:rsid w:val="007436d2"/>
    <w:rPr>
      <w:rFonts w:ascii="Tahoma" w:hAnsi="Tahoma" w:eastAsia="Times New Roman" w:cs="Tahoma"/>
      <w:sz w:val="16"/>
      <w:szCs w:val="16"/>
      <w:lang w:eastAsia="ru-RU"/>
    </w:rPr>
  </w:style>
  <w:style w:type="character" w:styleId="1" w:customStyle="1">
    <w:name w:val="Заголовок 1 Знак"/>
    <w:basedOn w:val="DefaultParagraphFont"/>
    <w:qFormat/>
    <w:rsid w:val="00611ac1"/>
    <w:rPr>
      <w:rFonts w:ascii="Times New Roman" w:hAnsi="Times New Roman" w:eastAsia="Times New Roman" w:cs="Times New Roman"/>
      <w:sz w:val="28"/>
      <w:szCs w:val="20"/>
    </w:rPr>
  </w:style>
  <w:style w:type="character" w:styleId="2" w:customStyle="1">
    <w:name w:val="Заголовок 2 Знак"/>
    <w:basedOn w:val="DefaultParagraphFont"/>
    <w:qFormat/>
    <w:rsid w:val="00611ac1"/>
    <w:rPr>
      <w:rFonts w:ascii="Times New Roman" w:hAnsi="Times New Roman" w:eastAsia="Times New Roman" w:cs="Times New Roman"/>
      <w:sz w:val="28"/>
      <w:szCs w:val="20"/>
      <w:lang w:val="en-US"/>
    </w:rPr>
  </w:style>
  <w:style w:type="character" w:styleId="11" w:customStyle="1">
    <w:name w:val="Гиперссылка1"/>
    <w:basedOn w:val="DefaultParagraphFont"/>
    <w:uiPriority w:val="99"/>
    <w:unhideWhenUsed/>
    <w:qFormat/>
    <w:rsid w:val="00b405e7"/>
    <w:rPr>
      <w:color w:val="0000FF" w:themeColor="hyperlink"/>
      <w:u w:val="single"/>
    </w:rPr>
  </w:style>
  <w:style w:type="character" w:styleId="Apple-converted-space" w:customStyle="1">
    <w:name w:val="apple-converted-space"/>
    <w:basedOn w:val="DefaultParagraphFont"/>
    <w:qFormat/>
    <w:rsid w:val="00543cd6"/>
    <w:rPr/>
  </w:style>
  <w:style w:type="character" w:styleId="4" w:customStyle="1">
    <w:name w:val="Заголовок 4 Знак"/>
    <w:basedOn w:val="DefaultParagraphFont"/>
    <w:uiPriority w:val="9"/>
    <w:semiHidden/>
    <w:qFormat/>
    <w:rsid w:val="009b7eec"/>
    <w:rPr>
      <w:rFonts w:ascii="Cambria" w:hAnsi="Cambria" w:eastAsia="" w:cs="" w:asciiTheme="majorHAnsi" w:cstheme="majorBidi" w:eastAsiaTheme="majorEastAsia" w:hAnsiTheme="majorHAnsi"/>
      <w:i/>
      <w:iCs/>
      <w:color w:val="365F91" w:themeColor="accent1" w:themeShade="bf"/>
      <w:sz w:val="24"/>
      <w:szCs w:val="24"/>
      <w:lang w:eastAsia="ru-RU"/>
    </w:rPr>
  </w:style>
  <w:style w:type="character" w:styleId="Strong">
    <w:name w:val="Strong"/>
    <w:qFormat/>
    <w:rPr>
      <w:b/>
      <w:bCs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c82289"/>
    <w:pPr>
      <w:spacing w:beforeAutospacing="1" w:afterAutospacing="1"/>
    </w:pPr>
    <w:rPr/>
  </w:style>
  <w:style w:type="paragraph" w:styleId="ListParagraph">
    <w:name w:val="List Paragraph"/>
    <w:basedOn w:val="Normal"/>
    <w:uiPriority w:val="34"/>
    <w:qFormat/>
    <w:rsid w:val="00c82289"/>
    <w:pPr>
      <w:numPr>
        <w:ilvl w:val="0"/>
        <w:numId w:val="2"/>
      </w:numPr>
      <w:spacing w:before="0" w:after="0"/>
      <w:contextualSpacing/>
      <w:jc w:val="both"/>
    </w:pPr>
    <w:rPr>
      <w:rFonts w:ascii="Symbol" w:hAnsi="Symbol"/>
      <w:sz w:val="26"/>
      <w:szCs w:val="26"/>
    </w:rPr>
  </w:style>
  <w:style w:type="paragraph" w:styleId="BalloonText">
    <w:name w:val="Balloon Text"/>
    <w:basedOn w:val="Normal"/>
    <w:link w:val="Style6"/>
    <w:uiPriority w:val="99"/>
    <w:semiHidden/>
    <w:unhideWhenUsed/>
    <w:qFormat/>
    <w:rsid w:val="007436d2"/>
    <w:pPr/>
    <w:rPr>
      <w:rFonts w:ascii="Tahoma" w:hAnsi="Tahoma" w:cs="Tahoma"/>
      <w:sz w:val="16"/>
      <w:szCs w:val="16"/>
    </w:rPr>
  </w:style>
  <w:style w:type="paragraph" w:styleId="Style9" w:customStyle="1">
    <w:name w:val="Содержимое врезки"/>
    <w:basedOn w:val="Normal"/>
    <w:qFormat/>
    <w:pPr/>
    <w:rPr/>
  </w:style>
  <w:style w:type="paragraph" w:styleId="Style1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1" w:customStyle="1">
    <w:name w:val="Заголовок таблицы"/>
    <w:basedOn w:val="Style10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2"/>
    <w:uiPriority w:val="39"/>
    <w:rsid w:val="00477005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Сетка таблицы1"/>
    <w:basedOn w:val="a2"/>
    <w:uiPriority w:val="39"/>
    <w:rsid w:val="00fe7a49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">
    <w:name w:val="Сетка таблицы2"/>
    <w:basedOn w:val="a2"/>
    <w:uiPriority w:val="39"/>
    <w:rsid w:val="00fe7a49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DF68E-F589-4824-8123-F7D65704C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AlterOffice/3.4.0.9$Linux_X86_64 LibreOffice_project/b8daf9e823b1a5463a2f48435ddc2e8696e7d4fc</Application>
  <AppVersion>15.0000</AppVersion>
  <Pages>12</Pages>
  <Words>639</Words>
  <Characters>4319</Characters>
  <CharactersWithSpaces>4827</CharactersWithSpaces>
  <Paragraphs>134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2026-09-09T04:47:00Z</dcterms:created>
  <dc:creator>Егорушкин Яков Игоревич</dc:creator>
  <dc:description/>
  <dc:language>ru-RU</dc:language>
  <cp:lastModifiedBy>Нестеренко Владимир Александрович</cp:lastModifiedBy>
  <cp:lastPrinted>2023-01-11T09:05:00Z</cp:lastPrinted>
  <dcterms:modified xsi:type="dcterms:W3CDTF">2026-10-30T04:51:00Z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