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document.xml" ContentType="application/vnd.openxmlformats-officedocument.wordprocessingml.document.main+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header3.xml" ContentType="application/vnd.openxmlformats-officedocument.wordprocessingml.header+xml"/>
  <Override PartName="/word/fontTable.xml" ContentType="application/vnd.openxmlformats-officedocument.wordprocessingml.fontTable+xml"/>
  <Override PartName="/word/footer4.xml" ContentType="application/vnd.openxmlformats-officedocument.wordprocessingml.footer+xml"/>
  <Override PartName="/word/theme/theme1.xml" ContentType="application/vnd.openxmlformats-officedocument.theme+xml"/>
  <Override PartName="/word/footer5.xml" ContentType="application/vnd.openxmlformats-officedocument.wordprocessingml.footer+xml"/>
  <Override PartName="/word/_rels/document.xml.rels" ContentType="application/vnd.openxmlformats-package.relationships+xml"/>
  <Override PartName="/word/header2.xml" ContentType="application/vnd.openxmlformats-officedocument.wordprocessingml.header+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numPr>
          <w:ilvl w:val="0"/>
          <w:numId w:val="0"/>
        </w:numPr>
        <w:spacing w:before="0" w:after="120"/>
        <w:ind w:left="0" w:hanging="0"/>
        <w:outlineLvl w:val="0"/>
        <w:rPr>
          <w:sz w:val="24"/>
        </w:rPr>
      </w:pPr>
      <w:r>
        <w:rPr>
          <w:sz w:val="24"/>
        </w:rPr>
        <w:t xml:space="preserve"> </w:t>
      </w:r>
      <w:r>
        <w:rPr>
          <w:sz w:val="24"/>
        </w:rPr>
        <w:t>Договор поставки №__-Вот/пос-26</w:t>
      </w:r>
    </w:p>
    <w:p>
      <w:pPr>
        <w:pStyle w:val="Normal"/>
        <w:shd w:val="clear" w:color="auto" w:fill="FFFFFF"/>
        <w:spacing w:before="0" w:after="120"/>
        <w:jc w:val="both"/>
        <w:rPr>
          <w:sz w:val="24"/>
          <w:szCs w:val="24"/>
          <w:highlight w:val="yellow"/>
        </w:rPr>
      </w:pPr>
      <w:r>
        <w:rPr>
          <w:sz w:val="24"/>
          <w:szCs w:val="24"/>
        </w:rPr>
        <w:t>г. Чайковский</w:t>
        <w:tab/>
        <w:tab/>
        <w:tab/>
        <w:tab/>
        <w:tab/>
        <w:t xml:space="preserve">                                            «  »               20</w:t>
      </w:r>
      <w:r>
        <w:rPr>
          <w:sz w:val="24"/>
          <w:szCs w:val="24"/>
          <w:u w:val="single"/>
        </w:rPr>
        <w:t xml:space="preserve">       </w:t>
      </w:r>
      <w:r>
        <w:rPr>
          <w:sz w:val="24"/>
          <w:szCs w:val="24"/>
        </w:rPr>
        <w:t>г.</w:t>
      </w:r>
    </w:p>
    <w:p>
      <w:pPr>
        <w:pStyle w:val="Normal"/>
        <w:shd w:val="clear" w:color="auto" w:fill="FFFFFF"/>
        <w:spacing w:before="0" w:after="120"/>
        <w:ind w:firstLine="567"/>
        <w:jc w:val="both"/>
        <w:rPr>
          <w:sz w:val="24"/>
          <w:szCs w:val="24"/>
        </w:rPr>
      </w:pPr>
      <w:r>
        <w:rPr>
          <w:sz w:val="24"/>
          <w:szCs w:val="24"/>
        </w:rPr>
      </w:r>
    </w:p>
    <w:p>
      <w:pPr>
        <w:pStyle w:val="Normal"/>
        <w:suppressAutoHyphens w:val="false"/>
        <w:spacing w:before="0" w:after="120"/>
        <w:ind w:firstLine="567"/>
        <w:jc w:val="both"/>
        <w:rPr>
          <w:sz w:val="24"/>
          <w:szCs w:val="24"/>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в Директора Воткинского филиала АО «Гидроремонт-ВКК» в г. Чайковский Глазырина Николая Васильевича, действующего на основании Доверенности №</w:t>
      </w:r>
      <w:r>
        <w:rPr>
          <w:sz w:val="24"/>
          <w:szCs w:val="24"/>
          <w:u w:val="single"/>
        </w:rPr>
        <w:t xml:space="preserve">   </w:t>
      </w:r>
      <w:r>
        <w:rPr>
          <w:sz w:val="24"/>
          <w:szCs w:val="24"/>
        </w:rPr>
        <w:t xml:space="preserve"> от  </w:t>
      </w:r>
      <w:r>
        <w:rPr>
          <w:sz w:val="24"/>
          <w:szCs w:val="24"/>
          <w:u w:val="single"/>
        </w:rPr>
        <w:t xml:space="preserve">                </w:t>
      </w:r>
      <w:r>
        <w:rPr>
          <w:sz w:val="24"/>
          <w:szCs w:val="24"/>
        </w:rPr>
        <w:t xml:space="preserve">  года, с одной стороны, и</w:t>
      </w:r>
    </w:p>
    <w:p>
      <w:pPr>
        <w:pStyle w:val="Normal"/>
        <w:suppressAutoHyphens w:val="false"/>
        <w:spacing w:before="0" w:after="120"/>
        <w:ind w:firstLine="567"/>
        <w:jc w:val="both"/>
        <w:rPr>
          <w:sz w:val="24"/>
          <w:szCs w:val="24"/>
        </w:rPr>
      </w:pPr>
      <w:r>
        <w:rPr>
          <w:b/>
          <w:sz w:val="24"/>
          <w:szCs w:val="24"/>
        </w:rPr>
        <w:t>________________(___________),</w:t>
      </w:r>
      <w:r>
        <w:rPr>
          <w:sz w:val="24"/>
          <w:szCs w:val="24"/>
        </w:rPr>
        <w:t xml:space="preserve"> именуемое в дальнейшем «</w:t>
      </w:r>
      <w:r>
        <w:rPr>
          <w:b/>
          <w:sz w:val="24"/>
          <w:szCs w:val="24"/>
        </w:rPr>
        <w:t>Поставщик</w:t>
      </w:r>
      <w:r>
        <w:rPr>
          <w:sz w:val="24"/>
          <w:szCs w:val="24"/>
        </w:rPr>
        <w:t xml:space="preserve">», в лице ________________, действующего на основании ______________, с другой стороны, совместно в дальнейшем именуемые «Стороны», а по отдельности – «Сторона», </w:t>
      </w:r>
    </w:p>
    <w:p>
      <w:pPr>
        <w:pStyle w:val="Normal"/>
        <w:tabs>
          <w:tab w:val="clear" w:pos="720"/>
          <w:tab w:val="left" w:pos="567" w:leader="none"/>
        </w:tabs>
        <w:suppressAutoHyphens w:val="false"/>
        <w:spacing w:before="0" w:after="120"/>
        <w:ind w:firstLine="556"/>
        <w:jc w:val="both"/>
        <w:rPr>
          <w:sz w:val="24"/>
          <w:szCs w:val="24"/>
        </w:rPr>
      </w:pPr>
      <w:r>
        <w:rPr>
          <w:sz w:val="24"/>
          <w:szCs w:val="24"/>
        </w:rPr>
        <w:t xml:space="preserve">по результатам проведенной Нерегламентированной закупки, ЛОТ №, что подтверждается Аналитической запиской о результатах анализа предложений от </w:t>
      </w:r>
      <w:r>
        <w:rPr>
          <w:bCs/>
          <w:sz w:val="24"/>
          <w:szCs w:val="24"/>
        </w:rPr>
        <w:t>«_____» _________ 20 __ г.,</w:t>
      </w:r>
      <w:r>
        <w:rPr>
          <w:sz w:val="24"/>
          <w:szCs w:val="24"/>
        </w:rPr>
        <w:t xml:space="preserve"> </w:t>
      </w:r>
    </w:p>
    <w:p>
      <w:pPr>
        <w:pStyle w:val="Normal"/>
        <w:spacing w:before="0" w:after="120"/>
        <w:ind w:firstLine="567"/>
        <w:jc w:val="both"/>
        <w:rPr>
          <w:sz w:val="24"/>
          <w:szCs w:val="24"/>
        </w:rPr>
      </w:pPr>
      <w:r>
        <w:rPr>
          <w:sz w:val="24"/>
          <w:szCs w:val="24"/>
        </w:rPr>
        <w:t>заключили настоящий Договор (далее – «Договор») о нижеследующем:</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bCs/>
          <w:sz w:val="24"/>
          <w:szCs w:val="24"/>
        </w:rPr>
      </w:pPr>
      <w:r>
        <w:rPr>
          <w:b/>
          <w:bCs/>
          <w:sz w:val="24"/>
          <w:szCs w:val="24"/>
        </w:rPr>
        <w:t>Предмет Договора</w:t>
      </w:r>
    </w:p>
    <w:p>
      <w:pPr>
        <w:pStyle w:val="Title"/>
        <w:numPr>
          <w:ilvl w:val="1"/>
          <w:numId w:val="6"/>
        </w:numPr>
        <w:tabs>
          <w:tab w:val="clear" w:pos="720"/>
          <w:tab w:val="left" w:pos="567" w:leader="none"/>
          <w:tab w:val="left" w:pos="993" w:leader="none"/>
          <w:tab w:val="left" w:pos="1843" w:leader="none"/>
        </w:tabs>
        <w:spacing w:before="0" w:after="120"/>
        <w:ind w:left="-142" w:firstLine="284"/>
        <w:jc w:val="both"/>
        <w:rPr>
          <w:b w:val="false"/>
          <w:sz w:val="24"/>
        </w:rPr>
      </w:pPr>
      <w:r>
        <w:rPr>
          <w:b w:val="false"/>
          <w:sz w:val="24"/>
        </w:rPr>
        <w:t>Поставщик обязуется передать Покупателю</w:t>
      </w:r>
      <w:r>
        <w:rPr>
          <w:sz w:val="24"/>
        </w:rPr>
        <w:t xml:space="preserve"> </w:t>
      </w:r>
      <w:r>
        <w:rPr>
          <w:rStyle w:val="Style16"/>
          <w:sz w:val="24"/>
          <w:szCs w:val="24"/>
        </w:rPr>
        <w:t>электрические конвекторы</w:t>
      </w:r>
      <w:r>
        <w:rPr>
          <w:rStyle w:val="PlaceholderText"/>
          <w:rFonts w:eastAsia="Calibri" w:eastAsiaTheme="minorHAnsi"/>
          <w:b w:val="false"/>
        </w:rPr>
        <w:t xml:space="preserve"> (</w:t>
      </w:r>
      <w:r>
        <w:rPr>
          <w:b w:val="false"/>
          <w:sz w:val="24"/>
        </w:rPr>
        <w:t>далее – «Продукция») на условиях, согласованных Сторонами в Договоре, в соответствии со Спецификацией (Приложение № 1) и техническими требованиями (Приложение № 2), а Покупатель обязуется принять и оплатить Продукцию в установленном Договором порядке.</w:t>
      </w:r>
    </w:p>
    <w:p>
      <w:pPr>
        <w:pStyle w:val="Title"/>
        <w:numPr>
          <w:ilvl w:val="1"/>
          <w:numId w:val="6"/>
        </w:numPr>
        <w:tabs>
          <w:tab w:val="clear" w:pos="720"/>
          <w:tab w:val="left" w:pos="142" w:leader="none"/>
          <w:tab w:val="left" w:pos="1425" w:leader="none"/>
        </w:tabs>
        <w:spacing w:before="0" w:after="120"/>
        <w:ind w:left="993" w:hanging="851"/>
        <w:jc w:val="both"/>
        <w:rPr>
          <w:b w:val="false"/>
          <w:sz w:val="24"/>
        </w:rPr>
      </w:pPr>
      <w:r>
        <w:rPr>
          <w:b w:val="false"/>
          <w:sz w:val="24"/>
        </w:rPr>
        <w:t>Поставка осуществляется одной партией.</w:t>
      </w:r>
      <w:r>
        <w:rPr>
          <w:sz w:val="24"/>
        </w:rPr>
        <w:t xml:space="preserve"> </w:t>
      </w:r>
    </w:p>
    <w:p>
      <w:pPr>
        <w:pStyle w:val="ListParagraph"/>
        <w:shd w:val="clear" w:color="auto" w:fill="FFFFFF"/>
        <w:tabs>
          <w:tab w:val="clear" w:pos="720"/>
          <w:tab w:val="left" w:pos="142" w:leader="none"/>
          <w:tab w:val="left" w:pos="540" w:leader="none"/>
        </w:tabs>
        <w:spacing w:before="0" w:after="120"/>
        <w:ind w:left="0" w:hanging="0"/>
        <w:contextualSpacing w:val="false"/>
        <w:jc w:val="both"/>
        <w:rPr>
          <w:sz w:val="24"/>
          <w:szCs w:val="24"/>
        </w:rPr>
      </w:pPr>
      <w:r>
        <w:rPr>
          <w:sz w:val="24"/>
          <w:szCs w:val="24"/>
        </w:rPr>
        <w:t xml:space="preserve">   </w:t>
      </w:r>
      <w:r>
        <w:rPr>
          <w:sz w:val="24"/>
          <w:szCs w:val="24"/>
        </w:rPr>
        <w:t xml:space="preserve">1.3. </w:t>
        <w:tab/>
        <w:t xml:space="preserve">    Поставка по Договору выполняется для нужд Воткинского филиала АО «Гидроремонт-ВКК» г. Чайковский.</w:t>
      </w:r>
    </w:p>
    <w:p>
      <w:pPr>
        <w:pStyle w:val="ListParagraph"/>
        <w:shd w:val="clear" w:color="auto" w:fill="FFFFFF"/>
        <w:tabs>
          <w:tab w:val="clear" w:pos="720"/>
          <w:tab w:val="left" w:pos="142" w:leader="none"/>
          <w:tab w:val="left" w:pos="540" w:leader="none"/>
        </w:tabs>
        <w:spacing w:before="0" w:after="120"/>
        <w:ind w:left="0" w:hanging="0"/>
        <w:contextualSpacing w:val="false"/>
        <w:jc w:val="both"/>
        <w:rPr>
          <w:sz w:val="24"/>
          <w:szCs w:val="24"/>
        </w:rPr>
      </w:pPr>
      <w:r>
        <w:rPr>
          <w:sz w:val="24"/>
          <w:szCs w:val="24"/>
        </w:rPr>
        <w:t xml:space="preserve">    </w:t>
      </w:r>
      <w:r>
        <w:rPr>
          <w:sz w:val="24"/>
          <w:szCs w:val="24"/>
        </w:rPr>
        <w:t>1.4. Место поставки: Воткинский филиал АО «Гидроремонт-ВКК» в г. Чайковский, 617761, Пермский край   г. Чайковский, территория Воткинской ГЭС, д.1. (далее – «Место поставки»»).</w:t>
      </w:r>
    </w:p>
    <w:p>
      <w:pPr>
        <w:pStyle w:val="ListParagraph"/>
        <w:shd w:val="clear" w:color="auto" w:fill="FFFFFF"/>
        <w:tabs>
          <w:tab w:val="clear" w:pos="720"/>
          <w:tab w:val="left" w:pos="142" w:leader="none"/>
          <w:tab w:val="left" w:pos="540" w:leader="none"/>
        </w:tabs>
        <w:spacing w:before="0" w:after="120"/>
        <w:ind w:left="0" w:hanging="0"/>
        <w:contextualSpacing w:val="false"/>
        <w:jc w:val="both"/>
        <w:rPr>
          <w:sz w:val="24"/>
          <w:szCs w:val="24"/>
        </w:rPr>
      </w:pPr>
      <w:r>
        <w:rPr>
          <w:sz w:val="24"/>
          <w:szCs w:val="24"/>
        </w:rPr>
        <w:t xml:space="preserve">         </w:t>
      </w:r>
      <w:r>
        <w:rPr>
          <w:sz w:val="24"/>
          <w:szCs w:val="24"/>
        </w:rPr>
        <w:t xml:space="preserve">1.5.  Срок поставки Продукции по договору: </w:t>
      </w:r>
      <w:r>
        <w:rPr>
          <w:sz w:val="24"/>
          <w:szCs w:val="24"/>
        </w:rPr>
        <w:t>с 01.02.2027 года по 26.02.2026 года</w:t>
      </w:r>
      <w:r>
        <w:rPr>
          <w:sz w:val="24"/>
          <w:szCs w:val="24"/>
        </w:rPr>
        <w:t>.</w:t>
      </w:r>
    </w:p>
    <w:p>
      <w:pPr>
        <w:pStyle w:val="ListParagraph"/>
        <w:shd w:val="clear" w:color="auto" w:fill="FFFFFF"/>
        <w:tabs>
          <w:tab w:val="clear" w:pos="720"/>
          <w:tab w:val="left" w:pos="-142" w:leader="none"/>
        </w:tabs>
        <w:spacing w:lineRule="auto" w:line="288" w:before="0" w:after="0"/>
        <w:ind w:left="567" w:hanging="0"/>
        <w:contextualSpacing w:val="false"/>
        <w:jc w:val="both"/>
        <w:rPr>
          <w:sz w:val="24"/>
          <w:szCs w:val="24"/>
        </w:rPr>
      </w:pPr>
      <w:r>
        <w:rPr>
          <w:sz w:val="24"/>
          <w:szCs w:val="24"/>
        </w:rPr>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Цена Договора и порядок оплаты</w:t>
      </w:r>
    </w:p>
    <w:p>
      <w:pPr>
        <w:pStyle w:val="ListParagraph"/>
        <w:numPr>
          <w:ilvl w:val="1"/>
          <w:numId w:val="6"/>
        </w:numPr>
        <w:shd w:val="clear" w:color="auto" w:fill="FFFFFF"/>
        <w:tabs>
          <w:tab w:val="clear" w:pos="720"/>
          <w:tab w:val="left" w:pos="0" w:leader="none"/>
          <w:tab w:val="left" w:pos="851" w:leader="none"/>
        </w:tabs>
        <w:spacing w:lineRule="auto" w:line="288" w:before="0" w:after="120"/>
        <w:ind w:left="0" w:firstLine="567"/>
        <w:contextualSpacing w:val="false"/>
        <w:jc w:val="both"/>
        <w:rPr>
          <w:sz w:val="24"/>
          <w:szCs w:val="24"/>
        </w:rPr>
      </w:pPr>
      <w:r>
        <w:rPr>
          <w:sz w:val="24"/>
          <w:szCs w:val="24"/>
        </w:rPr>
        <w:t xml:space="preserve">Общая стоимость Продукции (далее – «Цена Договора») по Договору составляет </w:t>
      </w:r>
      <w:r>
        <w:rPr>
          <w:b/>
          <w:sz w:val="24"/>
          <w:szCs w:val="24"/>
        </w:rPr>
        <w:t>______________</w:t>
      </w:r>
      <w:r>
        <w:rPr>
          <w:sz w:val="24"/>
          <w:szCs w:val="24"/>
        </w:rPr>
        <w:t xml:space="preserve"> рублей </w:t>
      </w:r>
      <w:r>
        <w:rPr>
          <w:b/>
          <w:sz w:val="24"/>
          <w:szCs w:val="24"/>
        </w:rPr>
        <w:t xml:space="preserve">00 </w:t>
      </w:r>
      <w:r>
        <w:rPr>
          <w:sz w:val="24"/>
          <w:szCs w:val="24"/>
        </w:rPr>
        <w:t xml:space="preserve">копеек, в том числе НДС (22 %) в размере </w:t>
      </w:r>
      <w:r>
        <w:rPr>
          <w:b/>
          <w:sz w:val="24"/>
          <w:szCs w:val="24"/>
        </w:rPr>
        <w:t>____________</w:t>
      </w:r>
      <w:r>
        <w:rPr>
          <w:sz w:val="24"/>
          <w:szCs w:val="24"/>
        </w:rPr>
        <w:t xml:space="preserve"> рублей </w:t>
      </w:r>
      <w:r>
        <w:rPr>
          <w:b/>
          <w:sz w:val="24"/>
          <w:szCs w:val="24"/>
        </w:rPr>
        <w:t>00</w:t>
      </w:r>
      <w:r>
        <w:rPr>
          <w:sz w:val="24"/>
          <w:szCs w:val="24"/>
        </w:rPr>
        <w:t xml:space="preserve"> копеек</w:t>
      </w:r>
      <w:r>
        <w:rPr>
          <w:rStyle w:val="FootnoteReference"/>
          <w:bCs/>
          <w:szCs w:val="28"/>
          <w:vertAlign w:val="superscript"/>
        </w:rPr>
        <w:footnoteReference w:id="2"/>
      </w:r>
      <w:r>
        <w:rPr>
          <w:sz w:val="24"/>
          <w:szCs w:val="24"/>
        </w:rPr>
        <w:t xml:space="preserve">.   </w:t>
      </w:r>
    </w:p>
    <w:p>
      <w:pPr>
        <w:pStyle w:val="ListParagraph"/>
        <w:numPr>
          <w:ilvl w:val="1"/>
          <w:numId w:val="6"/>
        </w:numPr>
        <w:shd w:val="clear" w:color="auto" w:fill="FFFFFF"/>
        <w:tabs>
          <w:tab w:val="clear" w:pos="720"/>
          <w:tab w:val="left" w:pos="0" w:leader="none"/>
          <w:tab w:val="left" w:pos="851" w:leader="none"/>
        </w:tabs>
        <w:spacing w:lineRule="auto" w:line="288" w:before="0" w:after="120"/>
        <w:ind w:left="0" w:firstLine="567"/>
        <w:contextualSpacing w:val="false"/>
        <w:jc w:val="both"/>
        <w:rPr>
          <w:sz w:val="24"/>
          <w:szCs w:val="24"/>
        </w:rPr>
      </w:pPr>
      <w:r>
        <w:rPr>
          <w:bCs/>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т. ч. по таможенному оформлению, если применимо), </w:t>
      </w:r>
      <w:r>
        <w:rPr>
          <w:bCs/>
          <w:sz w:val="24"/>
          <w:szCs w:val="24"/>
        </w:rPr>
        <w:t xml:space="preserve">а также </w:t>
      </w:r>
      <w:r>
        <w:rPr>
          <w:sz w:val="24"/>
          <w:szCs w:val="24"/>
        </w:rPr>
        <w:t>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sz w:val="24"/>
          <w:szCs w:val="24"/>
        </w:rPr>
      </w:pPr>
      <w:r>
        <w:rPr>
          <w:sz w:val="24"/>
          <w:szCs w:val="24"/>
        </w:rPr>
        <w:t>Стоимость Продукции является фиксированной и не подлежит изменению.</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Стоимость единицы Продукции, а также общая стоимость продукции определяется Спецификацией (Приложение № 1). </w:t>
      </w:r>
    </w:p>
    <w:p>
      <w:pPr>
        <w:pStyle w:val="ListParagraph"/>
        <w:numPr>
          <w:ilvl w:val="1"/>
          <w:numId w:val="6"/>
        </w:numPr>
        <w:shd w:val="clear" w:color="auto" w:fill="FFFFFF"/>
        <w:tabs>
          <w:tab w:val="clear" w:pos="720"/>
          <w:tab w:val="left" w:pos="0" w:leader="none"/>
          <w:tab w:val="left" w:pos="851" w:leader="none"/>
          <w:tab w:val="left" w:pos="1425" w:leader="none"/>
        </w:tabs>
        <w:spacing w:before="0" w:after="120"/>
        <w:ind w:left="0" w:firstLine="567"/>
        <w:contextualSpacing w:val="false"/>
        <w:jc w:val="both"/>
        <w:rPr>
          <w:sz w:val="24"/>
          <w:szCs w:val="24"/>
        </w:rPr>
      </w:pPr>
      <w:r>
        <w:rPr>
          <w:sz w:val="24"/>
          <w:szCs w:val="24"/>
        </w:rPr>
        <w:t>Оплата в соответствии с Договором осуществляется следующим образом:</w:t>
      </w:r>
    </w:p>
    <w:p>
      <w:pPr>
        <w:pStyle w:val="Normal"/>
        <w:shd w:val="clear" w:color="auto" w:fill="FFFFFF"/>
        <w:tabs>
          <w:tab w:val="clear" w:pos="720"/>
          <w:tab w:val="left" w:pos="567" w:leader="none"/>
          <w:tab w:val="left" w:pos="1440" w:leader="none"/>
        </w:tabs>
        <w:spacing w:before="0" w:after="120"/>
        <w:jc w:val="both"/>
        <w:rPr>
          <w:sz w:val="24"/>
          <w:szCs w:val="24"/>
        </w:rPr>
      </w:pPr>
      <w:r>
        <w:rPr>
          <w:sz w:val="24"/>
          <w:szCs w:val="24"/>
        </w:rPr>
        <w:tab/>
        <w:t>2.5.1. Платеж в размере 100% (Сто процентов) от стоимости Продукции выплачивается в течение 30 (тридцати) календарных дней / 7 (семи) рабочих дней</w:t>
      </w:r>
      <w:r>
        <w:rPr>
          <w:rStyle w:val="FootnoteReference"/>
          <w:sz w:val="24"/>
          <w:szCs w:val="24"/>
          <w:vertAlign w:val="superscript"/>
        </w:rPr>
        <w:footnoteReference w:id="3"/>
      </w:r>
      <w:r>
        <w:rPr>
          <w:sz w:val="24"/>
          <w:szCs w:val="24"/>
        </w:rPr>
        <w:t xml:space="preserve"> с даты подписания Товарной накладной по форме ТОРГ-12 или Универсального передаточного документа (УПД) на всю Продукцию, подлежащую поставке по Договору, при условии получении счета, выставленного Поставщиком с учетом п. 2.6. Договора.</w:t>
        <w:tab/>
      </w:r>
    </w:p>
    <w:p>
      <w:pPr>
        <w:pStyle w:val="ListParagraph"/>
        <w:numPr>
          <w:ilvl w:val="1"/>
          <w:numId w:val="6"/>
        </w:numPr>
        <w:shd w:val="clear" w:color="auto" w:fill="FFFFFF"/>
        <w:tabs>
          <w:tab w:val="clear" w:pos="720"/>
          <w:tab w:val="left" w:pos="0" w:leader="none"/>
          <w:tab w:val="left" w:pos="851" w:leader="none"/>
          <w:tab w:val="left" w:pos="1425" w:leader="none"/>
        </w:tabs>
        <w:spacing w:before="0" w:after="120"/>
        <w:ind w:left="0" w:firstLine="567"/>
        <w:contextualSpacing w:val="false"/>
        <w:jc w:val="both"/>
        <w:rPr>
          <w:sz w:val="24"/>
          <w:szCs w:val="24"/>
        </w:rPr>
      </w:pPr>
      <w:r>
        <w:rPr>
          <w:sz w:val="24"/>
          <w:szCs w:val="24"/>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pPr>
        <w:pStyle w:val="ListParagraph"/>
        <w:numPr>
          <w:ilvl w:val="1"/>
          <w:numId w:val="6"/>
        </w:numPr>
        <w:shd w:val="clear" w:color="auto" w:fill="FFFFFF"/>
        <w:tabs>
          <w:tab w:val="clear" w:pos="720"/>
          <w:tab w:val="left" w:pos="0" w:leader="none"/>
          <w:tab w:val="left" w:pos="851" w:leader="none"/>
          <w:tab w:val="left" w:pos="1425" w:leader="none"/>
        </w:tabs>
        <w:spacing w:before="0" w:after="120"/>
        <w:ind w:left="0" w:firstLine="567"/>
        <w:contextualSpacing w:val="false"/>
        <w:jc w:val="both"/>
        <w:rPr>
          <w:sz w:val="24"/>
          <w:szCs w:val="24"/>
        </w:rPr>
      </w:pPr>
      <w:r>
        <w:rPr>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ListParagraph"/>
        <w:numPr>
          <w:ilvl w:val="1"/>
          <w:numId w:val="6"/>
        </w:numPr>
        <w:shd w:val="clear" w:color="auto" w:fill="FFFFFF"/>
        <w:tabs>
          <w:tab w:val="clear" w:pos="720"/>
          <w:tab w:val="left" w:pos="0" w:leader="none"/>
          <w:tab w:val="left" w:pos="480" w:leader="none"/>
          <w:tab w:val="left" w:pos="851" w:leader="none"/>
        </w:tabs>
        <w:spacing w:before="0" w:after="120"/>
        <w:ind w:left="0" w:firstLine="567"/>
        <w:contextualSpacing w:val="false"/>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6"/>
        </w:numPr>
        <w:shd w:val="clear" w:color="auto" w:fill="FFFFFF"/>
        <w:tabs>
          <w:tab w:val="clear" w:pos="720"/>
          <w:tab w:val="left" w:pos="1134" w:leader="none"/>
          <w:tab w:val="left" w:pos="1283" w:leader="none"/>
        </w:tabs>
        <w:ind w:left="0" w:firstLine="567"/>
        <w:jc w:val="both"/>
        <w:rPr>
          <w:sz w:val="24"/>
          <w:szCs w:val="24"/>
        </w:rPr>
      </w:pPr>
      <w:r>
        <w:rPr>
          <w:sz w:val="24"/>
          <w:szCs w:val="24"/>
        </w:rPr>
        <w:t>Поставщик обязан представить Покупателю счета-фактуры (УПД),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(УПД), он обязан произвести замену счета-фактуры(УПД)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 (УПД),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s>
        <w:spacing w:before="0" w:after="120"/>
        <w:ind w:firstLine="567"/>
        <w:jc w:val="both"/>
        <w:rPr>
          <w:sz w:val="24"/>
          <w:szCs w:val="24"/>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такие задержки происходят по вине Покупателя;</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обязательство Покупателя, по которому произошла задержка, не является денежным.</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Индексация Цены Договора не допускается.</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 Покупатель направляет Поставщику уведомление о проведении сальдо взаимных обязательств Сторон по Договору</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Качество, количество и комплектность</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Сертификат качества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Технический паспорт на русском языке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Инструкция по эксплуатации (монтажу и т.п.) на русском языке в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Упаковочный лист на Продукцию 1 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Сертификат о происхождении продукции и т.п.) в зависимости от номенклатуры поставляемой Продукции;</w:t>
      </w:r>
    </w:p>
    <w:p>
      <w:pPr>
        <w:pStyle w:val="Normal"/>
        <w:widowControl w:val="false"/>
        <w:numPr>
          <w:ilvl w:val="0"/>
          <w:numId w:val="3"/>
        </w:numPr>
        <w:shd w:val="clear" w:color="auto" w:fill="FFFFFF"/>
        <w:tabs>
          <w:tab w:val="clear" w:pos="720"/>
          <w:tab w:val="left" w:pos="851" w:leader="none"/>
          <w:tab w:val="left" w:pos="900" w:leader="none"/>
          <w:tab w:val="left" w:pos="1134" w:leader="none"/>
          <w:tab w:val="left" w:pos="1276" w:leader="none"/>
        </w:tabs>
        <w:spacing w:before="0" w:after="120"/>
        <w:ind w:left="0" w:firstLine="567"/>
        <w:jc w:val="both"/>
        <w:rPr>
          <w:sz w:val="24"/>
          <w:szCs w:val="24"/>
        </w:rPr>
      </w:pPr>
      <w:r>
        <w:rPr>
          <w:sz w:val="24"/>
          <w:szCs w:val="24"/>
        </w:rPr>
        <w:t>Обязательные первичные документы:</w:t>
      </w:r>
    </w:p>
    <w:p>
      <w:pPr>
        <w:pStyle w:val="Normal"/>
        <w:shd w:val="clear" w:color="auto" w:fill="FFFFFF"/>
        <w:spacing w:before="0" w:after="120"/>
        <w:ind w:firstLine="567"/>
        <w:jc w:val="both"/>
        <w:rPr>
          <w:sz w:val="24"/>
          <w:szCs w:val="24"/>
        </w:rPr>
      </w:pPr>
      <w:r>
        <w:rPr>
          <w:sz w:val="24"/>
          <w:szCs w:val="24"/>
        </w:rPr>
        <w:t>- Товарно-транспортную накладную формы № 1-Т (для учета товарно-материальных ценностей и расчетов за их перевозки) или Железнодорожную накладную (форма № ГУ-27) в 2 экз. или Транспортную накладную ((для учета товарно-материальных ценностей и расчетов за их перевозки).</w:t>
      </w:r>
    </w:p>
    <w:p>
      <w:pPr>
        <w:pStyle w:val="Normal"/>
        <w:widowControl w:val="false"/>
        <w:numPr>
          <w:ilvl w:val="0"/>
          <w:numId w:val="5"/>
        </w:numPr>
        <w:shd w:val="clear" w:color="auto" w:fill="FFFFFF"/>
        <w:tabs>
          <w:tab w:val="left" w:pos="720" w:leader="none"/>
          <w:tab w:val="left" w:pos="1134" w:leader="none"/>
          <w:tab w:val="left" w:pos="1276" w:leader="none"/>
          <w:tab w:val="left" w:pos="1353" w:leader="none"/>
        </w:tabs>
        <w:spacing w:before="0" w:after="120"/>
        <w:ind w:left="0" w:firstLine="567"/>
        <w:jc w:val="both"/>
        <w:rPr>
          <w:sz w:val="24"/>
          <w:szCs w:val="24"/>
        </w:rPr>
      </w:pPr>
      <w:r>
        <w:rPr>
          <w:sz w:val="24"/>
          <w:szCs w:val="24"/>
        </w:rPr>
        <w:t xml:space="preserve"> </w:t>
      </w:r>
      <w:r>
        <w:rPr>
          <w:sz w:val="24"/>
          <w:szCs w:val="24"/>
        </w:rPr>
        <w:t>Товарную накладную по форме ТОРГ-12 или Универсальный передаточный документ (УПД).</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При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Приемка Продукции со вскрытием упаковки производится Покупателем в течение 10 (десяти) рабочих дней с даты подписания товарно-транспортной накладной по форме №1-Т. В случае отсутствия замечаний Покупатель подписывает товарную накладную унифицированной формы ТОРГ-12 или Универсальный передаточный документ (УПД).</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bookmarkStart w:id="0" w:name="_GoBack"/>
      <w:bookmarkEnd w:id="0"/>
    </w:p>
    <w:p>
      <w:pPr>
        <w:pStyle w:val="Normal"/>
        <w:widowControl w:val="false"/>
        <w:numPr>
          <w:ilvl w:val="1"/>
          <w:numId w:val="4"/>
        </w:numPr>
        <w:shd w:val="clear" w:color="auto" w:fill="FFFFFF"/>
        <w:tabs>
          <w:tab w:val="clear" w:pos="720"/>
          <w:tab w:val="left" w:pos="1134" w:leader="none"/>
          <w:tab w:val="left" w:pos="1276" w:leader="none"/>
          <w:tab w:val="left" w:pos="1843" w:leader="none"/>
        </w:tabs>
        <w:spacing w:before="0" w:after="120"/>
        <w:ind w:left="-142" w:firstLine="709"/>
        <w:jc w:val="both"/>
        <w:rPr>
          <w:sz w:val="24"/>
          <w:szCs w:val="24"/>
        </w:rPr>
      </w:pPr>
      <w:r>
        <w:rPr>
          <w:sz w:val="24"/>
          <w:szCs w:val="24"/>
        </w:rPr>
        <w:t>Срок гарантийных обязательств Поставщика должен быть равный 36 (тридцати шести) месяцам, исчисляемый с даты ввода Продукции в эксплуатацию, но не более 48 (сорока восьми) месяцев с даты подписания Сторонами соответствующей товарной накладной по форме ТОРГ-12 или Универсального передаточного документа (УПД).</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1" w:name="OLE_LINK5"/>
      <w:bookmarkStart w:id="2" w:name="OLE_LINK6"/>
      <w:r>
        <w:rPr>
          <w:sz w:val="24"/>
          <w:szCs w:val="24"/>
        </w:rPr>
        <w:t>Покупателем в соответствии с п. 3.14. Договора</w:t>
      </w:r>
      <w:bookmarkEnd w:id="1"/>
      <w:bookmarkEnd w:id="2"/>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Тара, упаковка, маркировка</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наименование и адрес грузоотправителя и грузополучателя;</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номер Товарной накладной и/или Товарно-транспортной накладной;</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вес, брутто/нетто каждого места;</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наименование Продукции;</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номера мест и их общее количество;</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весогабаритные характеристики мест;</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центр тяжести;</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условия хранения;</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обозначения типа «не бросать» и другие обычно используемые обозначения.</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Стоимость тары и упаковки включена в Цену Договора; тара и упаковка возврату не подлежат.</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Сроки, порядок и условия поставки, переход права собственности</w:t>
      </w:r>
    </w:p>
    <w:p>
      <w:pPr>
        <w:pStyle w:val="ListParagraph"/>
        <w:numPr>
          <w:ilvl w:val="1"/>
          <w:numId w:val="6"/>
        </w:numPr>
        <w:tabs>
          <w:tab w:val="clear" w:pos="720"/>
          <w:tab w:val="left" w:pos="0" w:leader="none"/>
          <w:tab w:val="left" w:pos="1276" w:leader="none"/>
        </w:tabs>
        <w:spacing w:before="0" w:after="120"/>
        <w:ind w:left="0" w:firstLine="567"/>
        <w:contextualSpacing w:val="false"/>
        <w:jc w:val="both"/>
        <w:rPr>
          <w:sz w:val="24"/>
          <w:szCs w:val="24"/>
        </w:rPr>
      </w:pPr>
      <w:r>
        <w:rPr>
          <w:sz w:val="24"/>
          <w:szCs w:val="24"/>
        </w:rPr>
        <w:t xml:space="preserve">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Ответственность по Договору</w:t>
      </w:r>
    </w:p>
    <w:p>
      <w:pPr>
        <w:pStyle w:val="Normal"/>
        <w:widowControl w:val="false"/>
        <w:numPr>
          <w:ilvl w:val="1"/>
          <w:numId w:val="6"/>
        </w:numPr>
        <w:shd w:val="clear" w:color="auto" w:fill="FFFFFF"/>
        <w:tabs>
          <w:tab w:val="clear" w:pos="720"/>
          <w:tab w:val="left" w:pos="432" w:leader="none"/>
          <w:tab w:val="left" w:pos="1276" w:leader="none"/>
        </w:tabs>
        <w:spacing w:before="0" w:after="120"/>
        <w:ind w:left="0" w:firstLine="567"/>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numPr>
          <w:ilvl w:val="1"/>
          <w:numId w:val="6"/>
        </w:numPr>
        <w:shd w:val="clear" w:color="auto" w:fill="FFFFFF"/>
        <w:tabs>
          <w:tab w:val="clear" w:pos="720"/>
          <w:tab w:val="left" w:pos="432" w:leader="none"/>
          <w:tab w:val="left" w:pos="1276" w:leader="none"/>
        </w:tabs>
        <w:spacing w:before="0" w:after="120"/>
        <w:ind w:left="0" w:firstLine="567"/>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pPr>
        <w:pStyle w:val="Normal"/>
        <w:widowControl w:val="false"/>
        <w:numPr>
          <w:ilvl w:val="1"/>
          <w:numId w:val="6"/>
        </w:numPr>
        <w:shd w:val="clear" w:color="auto" w:fill="FFFFFF"/>
        <w:tabs>
          <w:tab w:val="clear" w:pos="720"/>
          <w:tab w:val="left" w:pos="432" w:leader="none"/>
          <w:tab w:val="left" w:pos="1276" w:leader="none"/>
        </w:tabs>
        <w:spacing w:before="0" w:after="120"/>
        <w:ind w:left="0" w:firstLine="567"/>
        <w:jc w:val="both"/>
        <w:rPr>
          <w:sz w:val="24"/>
          <w:szCs w:val="24"/>
        </w:rPr>
      </w:pPr>
      <w:r>
        <w:rPr>
          <w:sz w:val="24"/>
          <w:szCs w:val="24"/>
        </w:rPr>
        <w:t xml:space="preserve">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При этом такая неустойка является единственным возмещением объективно оцененных Сторонами возможных убытков Поставщика (исключительная неустойка). </w:t>
      </w:r>
    </w:p>
    <w:p>
      <w:pPr>
        <w:pStyle w:val="Normal"/>
        <w:widowControl w:val="false"/>
        <w:numPr>
          <w:ilvl w:val="1"/>
          <w:numId w:val="6"/>
        </w:numPr>
        <w:shd w:val="clear" w:color="auto" w:fill="FFFFFF"/>
        <w:tabs>
          <w:tab w:val="clear" w:pos="720"/>
          <w:tab w:val="left" w:pos="432" w:leader="none"/>
          <w:tab w:val="left" w:pos="1276" w:leader="none"/>
        </w:tabs>
        <w:spacing w:before="0" w:after="120"/>
        <w:ind w:left="0" w:firstLine="567"/>
        <w:jc w:val="both"/>
        <w:rPr>
          <w:sz w:val="24"/>
          <w:szCs w:val="24"/>
        </w:rPr>
      </w:pPr>
      <w:r>
        <w:rPr>
          <w:sz w:val="24"/>
          <w:szCs w:val="24"/>
        </w:rPr>
        <w:t>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продукции за каждый день просрочки.</w:t>
      </w:r>
    </w:p>
    <w:p>
      <w:pPr>
        <w:pStyle w:val="Normal"/>
        <w:widowControl w:val="false"/>
        <w:shd w:val="clear" w:color="auto" w:fill="FFFFFF"/>
        <w:tabs>
          <w:tab w:val="clear" w:pos="720"/>
          <w:tab w:val="left" w:pos="1276" w:leader="none"/>
        </w:tabs>
        <w:spacing w:before="0" w:after="120"/>
        <w:ind w:firstLine="1134"/>
        <w:jc w:val="both"/>
        <w:rPr>
          <w:sz w:val="24"/>
          <w:szCs w:val="24"/>
        </w:rPr>
      </w:pPr>
      <w:r>
        <w:rPr>
          <w:sz w:val="24"/>
          <w:szCs w:val="24"/>
        </w:rPr>
        <w:t xml:space="preserve"> </w:t>
      </w:r>
      <w:r>
        <w:rPr>
          <w:sz w:val="24"/>
          <w:szCs w:val="24"/>
        </w:rPr>
        <w:t>В случае несвоевременного устранения Поставщиком выявленных недостатков Продукции, Покупатель вправе потребовать уплаты Поставщиком:</w:t>
      </w:r>
    </w:p>
    <w:p>
      <w:pPr>
        <w:pStyle w:val="Normal"/>
        <w:widowControl w:val="false"/>
        <w:shd w:val="clear" w:color="auto" w:fill="FFFFFF"/>
        <w:tabs>
          <w:tab w:val="clear" w:pos="720"/>
          <w:tab w:val="left" w:pos="1276" w:leader="none"/>
        </w:tabs>
        <w:spacing w:before="0" w:after="120"/>
        <w:ind w:firstLine="567"/>
        <w:jc w:val="both"/>
        <w:rPr>
          <w:sz w:val="24"/>
          <w:szCs w:val="24"/>
        </w:rPr>
      </w:pPr>
      <w:r>
        <w:rPr>
          <w:sz w:val="24"/>
          <w:szCs w:val="24"/>
        </w:rPr>
        <w:t>-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целом;</w:t>
      </w:r>
    </w:p>
    <w:p>
      <w:pPr>
        <w:pStyle w:val="Normal"/>
        <w:widowControl w:val="false"/>
        <w:shd w:val="clear" w:color="auto" w:fill="FFFFFF"/>
        <w:tabs>
          <w:tab w:val="clear" w:pos="720"/>
          <w:tab w:val="left" w:pos="1276" w:leader="none"/>
        </w:tabs>
        <w:spacing w:before="0" w:after="120"/>
        <w:ind w:firstLine="567"/>
        <w:jc w:val="both"/>
        <w:rPr>
          <w:sz w:val="24"/>
          <w:szCs w:val="24"/>
        </w:rPr>
      </w:pPr>
      <w:r>
        <w:rPr>
          <w:sz w:val="24"/>
          <w:szCs w:val="24"/>
        </w:rPr>
        <w:t>-     неустойки в размере 0,1 (ноль целых и одна десятая) процента от стоимости некачественного товара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w:t>
      </w:r>
    </w:p>
    <w:p>
      <w:pPr>
        <w:pStyle w:val="Normal"/>
        <w:widowControl w:val="false"/>
        <w:shd w:val="clear" w:color="auto" w:fill="FFFFFF"/>
        <w:tabs>
          <w:tab w:val="clear" w:pos="720"/>
          <w:tab w:val="left" w:pos="1276" w:leader="none"/>
        </w:tabs>
        <w:spacing w:before="0" w:after="120"/>
        <w:jc w:val="both"/>
        <w:rPr>
          <w:sz w:val="24"/>
          <w:szCs w:val="24"/>
        </w:rPr>
      </w:pPr>
      <w:r>
        <w:rPr>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если в результате составления и выставления Поставщиком счетов-фактур (УПД)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(УПД),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pPr>
        <w:pStyle w:val="Normal"/>
        <w:numPr>
          <w:ilvl w:val="0"/>
          <w:numId w:val="9"/>
        </w:numPr>
        <w:tabs>
          <w:tab w:val="clear" w:pos="720"/>
          <w:tab w:val="left" w:pos="0" w:leader="none"/>
        </w:tabs>
        <w:spacing w:before="0" w:after="120"/>
        <w:ind w:left="0" w:firstLine="567"/>
        <w:jc w:val="both"/>
        <w:outlineLvl w:val="0"/>
        <w:rPr>
          <w:sz w:val="24"/>
          <w:szCs w:val="24"/>
        </w:rPr>
      </w:pPr>
      <w:r>
        <w:rPr>
          <w:sz w:val="24"/>
          <w:szCs w:val="24"/>
        </w:rPr>
        <w:t>выписка из Единого государственного реестра юридических лиц, после изменений, указанных в п. 6.11 Договора, а также:</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юридических лиц, зарегистрированных в форме акционерных обществ:</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список владельцев ценных бумаг;</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список аффилированных лиц на последнюю отчетную дату;</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ежеквартальный отчет на последнюю отчетную дату.</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решение (протокол) о приеме новых участников;</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устав.</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учредительный договор или положение;</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решение о создании.</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 xml:space="preserve">для юридических лиц, зарегистрированных в форме фонда: </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 xml:space="preserve">документ о выборе (назначении) попечительского совета фонда; </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решение о создании.</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юридических лиц, зарегистрированных в форме некоммерческого партнерства:</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 xml:space="preserve">решение и договор о создании. </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pPr>
        <w:pStyle w:val="Normal"/>
        <w:numPr>
          <w:ilvl w:val="0"/>
          <w:numId w:val="9"/>
        </w:numPr>
        <w:spacing w:before="0" w:after="120"/>
        <w:ind w:left="709" w:hanging="283"/>
        <w:outlineLvl w:val="0"/>
        <w:rPr>
          <w:sz w:val="24"/>
          <w:szCs w:val="24"/>
        </w:rPr>
      </w:pPr>
      <w:r>
        <w:rPr>
          <w:sz w:val="24"/>
          <w:szCs w:val="24"/>
        </w:rPr>
        <w:t>выписка из торгового реестра страны инкорпорации;</w:t>
      </w:r>
    </w:p>
    <w:p>
      <w:pPr>
        <w:pStyle w:val="Normal"/>
        <w:numPr>
          <w:ilvl w:val="0"/>
          <w:numId w:val="9"/>
        </w:numPr>
        <w:spacing w:before="0" w:after="120"/>
        <w:ind w:left="709" w:hanging="283"/>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pPr>
        <w:pStyle w:val="Normal"/>
        <w:shd w:val="clear" w:color="auto" w:fill="FFFFFF"/>
        <w:ind w:firstLine="567"/>
        <w:jc w:val="both"/>
        <w:rPr>
          <w:bCs/>
          <w:color w:val="000000"/>
          <w:sz w:val="24"/>
          <w:szCs w:val="24"/>
        </w:rPr>
      </w:pPr>
      <w:r>
        <w:rPr>
          <w:sz w:val="24"/>
          <w:szCs w:val="24"/>
        </w:rPr>
        <w:t xml:space="preserve">6.12. </w:t>
      </w: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jc w:val="both"/>
        <w:rPr>
          <w:bCs/>
          <w:color w:val="000000"/>
          <w:sz w:val="24"/>
          <w:szCs w:val="24"/>
        </w:rPr>
      </w:pPr>
      <w:r>
        <w:rPr>
          <w:bCs/>
          <w:color w:val="000000"/>
          <w:sz w:val="24"/>
          <w:szCs w:val="24"/>
        </w:rPr>
        <w:tab/>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jc w:val="both"/>
        <w:rPr>
          <w:bCs/>
          <w:color w:val="000000"/>
          <w:sz w:val="24"/>
          <w:szCs w:val="24"/>
        </w:rPr>
      </w:pPr>
      <w:r>
        <w:rPr>
          <w:bCs/>
          <w:color w:val="000000"/>
          <w:sz w:val="24"/>
          <w:szCs w:val="24"/>
        </w:rPr>
        <w:tab/>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jc w:val="both"/>
        <w:rPr>
          <w:bCs/>
          <w:color w:val="000000"/>
          <w:sz w:val="24"/>
          <w:szCs w:val="24"/>
        </w:rPr>
      </w:pPr>
      <w:r>
        <w:rPr>
          <w:bCs/>
          <w:color w:val="000000"/>
          <w:sz w:val="24"/>
          <w:szCs w:val="24"/>
        </w:rPr>
        <w:tab/>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jc w:val="both"/>
        <w:rPr>
          <w:bCs/>
          <w:color w:val="000000"/>
          <w:sz w:val="24"/>
          <w:szCs w:val="24"/>
        </w:rPr>
      </w:pPr>
      <w:r>
        <w:rPr>
          <w:bCs/>
          <w:color w:val="000000"/>
          <w:sz w:val="24"/>
          <w:szCs w:val="24"/>
        </w:rPr>
        <w:tab/>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jc w:val="both"/>
        <w:rPr>
          <w:bCs/>
          <w:color w:val="000000"/>
          <w:sz w:val="24"/>
          <w:szCs w:val="24"/>
        </w:rPr>
      </w:pPr>
      <w:r>
        <w:rPr>
          <w:bCs/>
          <w:color w:val="000000"/>
          <w:sz w:val="24"/>
          <w:szCs w:val="24"/>
        </w:rPr>
        <w:tab/>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20"/>
          <w:tab w:val="left" w:pos="567" w:leader="none"/>
        </w:tabs>
        <w:jc w:val="both"/>
        <w:rPr>
          <w:color w:val="000000"/>
          <w:sz w:val="24"/>
          <w:szCs w:val="24"/>
        </w:rPr>
      </w:pPr>
      <w:r>
        <w:rPr>
          <w:color w:val="000000"/>
          <w:sz w:val="24"/>
          <w:szCs w:val="24"/>
        </w:rPr>
        <w:tab/>
        <w:t xml:space="preserve">Каналы связи Линия доверия Группы РусГидро: </w:t>
      </w:r>
    </w:p>
    <w:p>
      <w:pPr>
        <w:pStyle w:val="Normal"/>
        <w:shd w:val="clear" w:color="auto" w:fill="FFFFFF"/>
        <w:tabs>
          <w:tab w:val="clear" w:pos="720"/>
          <w:tab w:val="left" w:pos="567" w:leader="none"/>
        </w:tabs>
        <w:jc w:val="both"/>
        <w:rPr>
          <w:sz w:val="24"/>
          <w:szCs w:val="24"/>
        </w:rPr>
      </w:pPr>
      <w:r>
        <w:rPr>
          <w:sz w:val="24"/>
          <w:szCs w:val="24"/>
        </w:rPr>
        <w:tab/>
        <w:t>Электронная почта: ld@rushydro.ru.</w:t>
      </w:r>
    </w:p>
    <w:p>
      <w:pPr>
        <w:pStyle w:val="Normal"/>
        <w:shd w:val="clear" w:color="auto" w:fill="FFFFFF"/>
        <w:tabs>
          <w:tab w:val="clear" w:pos="720"/>
          <w:tab w:val="left" w:pos="567" w:leader="none"/>
        </w:tabs>
        <w:jc w:val="both"/>
        <w:rPr>
          <w:sz w:val="24"/>
          <w:szCs w:val="24"/>
        </w:rPr>
      </w:pPr>
      <w:r>
        <w:rPr>
          <w:sz w:val="24"/>
          <w:szCs w:val="24"/>
        </w:rPr>
        <w:tab/>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spacing w:lineRule="auto" w:line="259" w:before="0" w:after="160"/>
        <w:ind w:firstLine="720"/>
        <w:jc w:val="both"/>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widowControl w:val="false"/>
        <w:numPr>
          <w:ilvl w:val="0"/>
          <w:numId w:val="6"/>
        </w:numPr>
        <w:shd w:val="clear" w:color="auto" w:fill="FFFFFF"/>
        <w:tabs>
          <w:tab w:val="clear" w:pos="720"/>
          <w:tab w:val="left" w:pos="426" w:leader="none"/>
          <w:tab w:val="left" w:pos="1276" w:leader="none"/>
        </w:tabs>
        <w:spacing w:before="0" w:after="120"/>
        <w:ind w:left="0" w:hanging="0"/>
        <w:jc w:val="center"/>
        <w:rPr>
          <w:b/>
          <w:bCs/>
          <w:sz w:val="24"/>
          <w:szCs w:val="24"/>
        </w:rPr>
      </w:pPr>
      <w:r>
        <w:rPr>
          <w:b/>
          <w:bCs/>
          <w:sz w:val="24"/>
          <w:szCs w:val="24"/>
        </w:rPr>
        <w:t>Особые положения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sz w:val="24"/>
            <w:szCs w:val="24"/>
          </w:rPr>
          <w:t>№ 18162/09</w:t>
        </w:r>
      </w:hyperlink>
      <w:r>
        <w:rPr>
          <w:sz w:val="24"/>
          <w:szCs w:val="24"/>
        </w:rPr>
        <w:t xml:space="preserve"> и от 25.05.2010 </w:t>
      </w:r>
      <w:hyperlink r:id="rId3">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1276" w:leader="none"/>
        </w:tabs>
        <w:spacing w:before="0" w:after="120"/>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bCs/>
          <w:sz w:val="24"/>
          <w:szCs w:val="24"/>
        </w:rPr>
      </w:pPr>
      <w:r>
        <w:rPr>
          <w:b/>
          <w:sz w:val="24"/>
          <w:szCs w:val="24"/>
        </w:rPr>
        <w:t>Форс</w:t>
      </w:r>
      <w:r>
        <w:rPr>
          <w:b/>
          <w:bCs/>
          <w:sz w:val="24"/>
          <w:szCs w:val="24"/>
        </w:rPr>
        <w:t>-мажор</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bCs/>
          <w:sz w:val="24"/>
          <w:szCs w:val="24"/>
        </w:rPr>
      </w:pPr>
      <w:r>
        <w:rPr>
          <w:b/>
          <w:sz w:val="24"/>
          <w:szCs w:val="24"/>
        </w:rPr>
        <w:t>Конфиденциальность</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clear" w:pos="720"/>
          <w:tab w:val="left" w:pos="851" w:leader="none"/>
        </w:tabs>
        <w:spacing w:before="0" w:after="120"/>
        <w:ind w:left="851" w:hanging="284"/>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8"/>
        </w:numPr>
        <w:tabs>
          <w:tab w:val="clear" w:pos="720"/>
          <w:tab w:val="left" w:pos="851" w:leader="none"/>
        </w:tabs>
        <w:spacing w:before="0" w:after="120"/>
        <w:ind w:left="851" w:hanging="284"/>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финансовую отчетность;</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учетные регистры бухгалтерского учета;</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бизнес-планы;</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использовать Информацию исключительно для целей, для которых она была предоставлена;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не разглашать третьим лицам факта передачи или получения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Инсайдерская оговорка</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Поставщик также обязуется:</w:t>
      </w:r>
    </w:p>
    <w:p>
      <w:pPr>
        <w:pStyle w:val="ListParagraph"/>
        <w:numPr>
          <w:ilvl w:val="2"/>
          <w:numId w:val="6"/>
        </w:numPr>
        <w:shd w:val="clear" w:color="auto" w:fill="FFFFFF"/>
        <w:tabs>
          <w:tab w:val="clear" w:pos="720"/>
          <w:tab w:val="left" w:pos="1283" w:leader="none"/>
        </w:tabs>
        <w:spacing w:before="0" w:after="120"/>
        <w:ind w:left="0" w:firstLine="567"/>
        <w:contextualSpacing w:val="false"/>
        <w:jc w:val="both"/>
        <w:rPr>
          <w:sz w:val="24"/>
          <w:szCs w:val="24"/>
        </w:rPr>
      </w:pPr>
      <w:r>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pPr>
        <w:pStyle w:val="ListParagraph"/>
        <w:numPr>
          <w:ilvl w:val="2"/>
          <w:numId w:val="6"/>
        </w:numPr>
        <w:shd w:val="clear" w:color="auto" w:fill="FFFFFF"/>
        <w:tabs>
          <w:tab w:val="clear" w:pos="720"/>
          <w:tab w:val="left" w:pos="1283" w:leader="none"/>
        </w:tabs>
        <w:spacing w:before="0" w:after="120"/>
        <w:ind w:left="0" w:firstLine="567"/>
        <w:contextualSpacing w:val="false"/>
        <w:jc w:val="both"/>
        <w:rPr>
          <w:sz w:val="24"/>
          <w:szCs w:val="24"/>
        </w:rPr>
      </w:pPr>
      <w:r>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Разрешение споров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 случае недостижения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 </w:t>
      </w:r>
      <w:r>
        <w:rPr>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3" w:name="Par2"/>
      <w:bookmarkEnd w:id="3"/>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 </w:t>
      </w:r>
      <w:r>
        <w:rPr>
          <w:sz w:val="24"/>
          <w:szCs w:val="24"/>
        </w:rPr>
        <w:t>В случае неурегулирования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в соответствии с действующим законодательством РФ по месту нахождения ответчика.</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bCs/>
          <w:sz w:val="24"/>
          <w:szCs w:val="24"/>
        </w:rPr>
      </w:pPr>
      <w:r>
        <w:rPr>
          <w:b/>
          <w:bCs/>
          <w:sz w:val="24"/>
          <w:szCs w:val="24"/>
        </w:rPr>
        <w:t>Прекращение (расторжение) Договора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rPr/>
        <w:t>.</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spacing w:before="0" w:after="120"/>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Стороны установили, что существенным нарушением Договора Поставщиком является</w:t>
      </w:r>
      <w:r>
        <w:rPr/>
        <w:t>:</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pPr>
        <w:pStyle w:val="ListParagraph"/>
        <w:numPr>
          <w:ilvl w:val="1"/>
          <w:numId w:val="6"/>
        </w:numPr>
        <w:shd w:val="clear" w:color="auto" w:fill="FFFFFF"/>
        <w:tabs>
          <w:tab w:val="clear" w:pos="720"/>
          <w:tab w:val="left" w:pos="1418" w:leader="none"/>
        </w:tabs>
        <w:spacing w:before="0" w:after="120"/>
        <w:ind w:left="0" w:firstLine="567"/>
        <w:contextualSpacing w:val="false"/>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bCs/>
          <w:sz w:val="24"/>
          <w:szCs w:val="24"/>
        </w:rPr>
        <w:t>Заверения</w:t>
      </w:r>
      <w:r>
        <w:rPr>
          <w:b/>
          <w:sz w:val="24"/>
          <w:szCs w:val="24"/>
        </w:rPr>
        <w:t xml:space="preserve"> Сторон</w:t>
      </w:r>
    </w:p>
    <w:p>
      <w:pPr>
        <w:pStyle w:val="ListParagraph"/>
        <w:numPr>
          <w:ilvl w:val="1"/>
          <w:numId w:val="6"/>
        </w:numPr>
        <w:shd w:val="clear" w:color="auto" w:fill="FFFFFF"/>
        <w:spacing w:before="0" w:after="120"/>
        <w:ind w:left="0" w:firstLine="567"/>
        <w:contextualSpacing w:val="false"/>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6"/>
        </w:numPr>
        <w:shd w:val="clear" w:color="auto" w:fill="FFFFFF"/>
        <w:spacing w:before="0" w:after="120"/>
        <w:ind w:left="0" w:firstLine="567"/>
        <w:contextualSpacing w:val="false"/>
        <w:jc w:val="both"/>
        <w:rPr>
          <w:sz w:val="24"/>
          <w:szCs w:val="24"/>
        </w:rPr>
      </w:pPr>
      <w:r>
        <w:rPr>
          <w:sz w:val="24"/>
          <w:szCs w:val="24"/>
        </w:rPr>
        <w:t>Поставщик заявляет и заверяет Покупателя в том, что на момент заключения настоящего Договора:</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ListParagraph"/>
        <w:numPr>
          <w:ilvl w:val="1"/>
          <w:numId w:val="6"/>
        </w:numPr>
        <w:shd w:val="clear" w:color="auto" w:fill="FFFFFF"/>
        <w:spacing w:before="0" w:after="120"/>
        <w:ind w:left="0" w:firstLine="567"/>
        <w:contextualSpacing w:val="false"/>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6"/>
        </w:numPr>
        <w:shd w:val="clear" w:color="auto" w:fill="FFFFFF"/>
        <w:spacing w:before="0" w:after="120"/>
        <w:ind w:left="0" w:firstLine="567"/>
        <w:contextualSpacing w:val="false"/>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pPr>
        <w:pStyle w:val="Normal"/>
        <w:shd w:val="clear" w:color="auto" w:fill="FFFFFF"/>
        <w:spacing w:before="0"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Заключительные положения</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pPr>
        <w:pStyle w:val="Normal"/>
        <w:widowControl w:val="false"/>
        <w:numPr>
          <w:ilvl w:val="1"/>
          <w:numId w:val="6"/>
        </w:numPr>
        <w:shd w:val="clear" w:color="auto" w:fill="FFFFFF"/>
        <w:tabs>
          <w:tab w:val="left" w:pos="720" w:leader="none"/>
        </w:tabs>
        <w:spacing w:before="0" w:after="120"/>
        <w:ind w:left="0" w:firstLine="567"/>
        <w:jc w:val="both"/>
        <w:rPr>
          <w:bCs/>
          <w:sz w:val="24"/>
          <w:szCs w:val="24"/>
        </w:rPr>
      </w:pPr>
      <w:r>
        <w:rPr>
          <w:sz w:val="24"/>
          <w:szCs w:val="24"/>
        </w:rPr>
        <w:t>Документ</w:t>
      </w:r>
      <w:r>
        <w:rPr>
          <w:bCs/>
          <w:sz w:val="24"/>
          <w:szCs w:val="24"/>
        </w:rPr>
        <w:t xml:space="preserve"> будет считаться полученным:</w:t>
      </w:r>
    </w:p>
    <w:p>
      <w:pPr>
        <w:pStyle w:val="ListParagraph"/>
        <w:widowControl/>
        <w:numPr>
          <w:ilvl w:val="2"/>
          <w:numId w:val="6"/>
        </w:numPr>
        <w:shd w:val="clear" w:color="auto" w:fill="FFFFFF"/>
        <w:spacing w:before="0" w:after="120"/>
        <w:ind w:left="0" w:firstLine="567"/>
        <w:contextualSpacing w:val="false"/>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6"/>
        </w:numPr>
        <w:shd w:val="clear" w:color="auto" w:fill="FFFFFF"/>
        <w:spacing w:before="0" w:after="120"/>
        <w:ind w:left="0" w:firstLine="567"/>
        <w:contextualSpacing w:val="false"/>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1"/>
          <w:numId w:val="6"/>
        </w:numPr>
        <w:shd w:val="clear" w:color="auto" w:fill="FFFFFF"/>
        <w:tabs>
          <w:tab w:val="left" w:pos="720" w:leader="none"/>
        </w:tabs>
        <w:spacing w:before="0" w:after="120"/>
        <w:ind w:left="0" w:firstLine="567"/>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Приложения к Договору</w:t>
      </w:r>
    </w:p>
    <w:p>
      <w:pPr>
        <w:pStyle w:val="Heading3"/>
        <w:keepNext w:val="false"/>
        <w:tabs>
          <w:tab w:val="clear" w:pos="0"/>
        </w:tabs>
        <w:overflowPunct w:val="false"/>
        <w:spacing w:before="0" w:after="120"/>
        <w:ind w:left="567" w:hanging="0"/>
        <w:jc w:val="both"/>
        <w:textAlignment w:val="baseline"/>
        <w:rPr>
          <w:b w:val="false"/>
          <w:sz w:val="24"/>
          <w:szCs w:val="24"/>
        </w:rPr>
      </w:pPr>
      <w:bookmarkStart w:id="4" w:name="sub_1"/>
      <w:bookmarkEnd w:id="4"/>
      <w:r>
        <w:rPr>
          <w:b w:val="false"/>
          <w:sz w:val="24"/>
          <w:szCs w:val="24"/>
        </w:rPr>
        <w:t>- Приложение № 1 – Спецификация.</w:t>
      </w:r>
    </w:p>
    <w:p>
      <w:pPr>
        <w:pStyle w:val="Normal"/>
        <w:spacing w:before="0" w:after="120"/>
        <w:ind w:left="567" w:hanging="567"/>
        <w:rPr>
          <w:sz w:val="24"/>
          <w:szCs w:val="24"/>
        </w:rPr>
      </w:pPr>
      <w:r>
        <w:rPr>
          <w:sz w:val="24"/>
          <w:szCs w:val="24"/>
        </w:rPr>
        <w:tab/>
        <w:t>- Приложение № 2 – Технические требования на поставку продукции.</w:t>
      </w:r>
    </w:p>
    <w:p>
      <w:pPr>
        <w:pStyle w:val="Normal"/>
        <w:spacing w:before="0" w:after="120"/>
        <w:ind w:left="567" w:hanging="567"/>
        <w:rPr>
          <w:sz w:val="24"/>
          <w:szCs w:val="24"/>
        </w:rPr>
      </w:pPr>
      <w:r>
        <w:rPr>
          <w:sz w:val="24"/>
          <w:szCs w:val="24"/>
        </w:rPr>
      </w:r>
      <w:bookmarkStart w:id="5" w:name="sub_1_Копия_1"/>
      <w:bookmarkStart w:id="6" w:name="sub_1_Копия_1"/>
      <w:bookmarkEnd w:id="6"/>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 xml:space="preserve">Адреса, реквизиты и подписи Сторон </w:t>
      </w:r>
    </w:p>
    <w:p>
      <w:pPr>
        <w:pStyle w:val="BodyText"/>
        <w:numPr>
          <w:ilvl w:val="0"/>
          <w:numId w:val="0"/>
        </w:numPr>
        <w:spacing w:before="120" w:after="0"/>
        <w:ind w:left="0" w:hanging="0"/>
        <w:jc w:val="right"/>
        <w:outlineLvl w:val="0"/>
        <w:rPr>
          <w:b/>
          <w:bCs/>
          <w:color w:val="000000"/>
          <w:sz w:val="24"/>
          <w:szCs w:val="24"/>
        </w:rPr>
      </w:pPr>
      <w:r>
        <w:rPr>
          <w:b/>
          <w:bCs/>
          <w:color w:val="000000"/>
          <w:sz w:val="24"/>
          <w:szCs w:val="24"/>
        </w:rPr>
      </w:r>
    </w:p>
    <w:tbl>
      <w:tblPr>
        <w:tblW w:w="9464"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4785"/>
        <w:gridCol w:w="4678"/>
      </w:tblGrid>
      <w:tr>
        <w:trPr/>
        <w:tc>
          <w:tcPr>
            <w:tcW w:w="4785" w:type="dxa"/>
            <w:tcBorders/>
          </w:tcPr>
          <w:p>
            <w:pPr>
              <w:pStyle w:val="Normal"/>
              <w:widowControl w:val="false"/>
              <w:suppressAutoHyphens w:val="false"/>
              <w:rPr>
                <w:b/>
                <w:sz w:val="24"/>
                <w:szCs w:val="24"/>
                <w:u w:val="single"/>
              </w:rPr>
            </w:pPr>
            <w:r>
              <w:rPr>
                <w:b/>
                <w:sz w:val="24"/>
                <w:szCs w:val="24"/>
                <w:u w:val="single"/>
              </w:rPr>
              <w:t>Покупатель:</w:t>
            </w:r>
          </w:p>
        </w:tc>
        <w:tc>
          <w:tcPr>
            <w:tcW w:w="4678" w:type="dxa"/>
            <w:tcBorders/>
          </w:tcPr>
          <w:p>
            <w:pPr>
              <w:pStyle w:val="Normal"/>
              <w:widowControl w:val="false"/>
              <w:suppressAutoHyphens w:val="false"/>
              <w:rPr>
                <w:b/>
                <w:sz w:val="24"/>
                <w:szCs w:val="24"/>
                <w:u w:val="single"/>
              </w:rPr>
            </w:pPr>
            <w:r>
              <w:rPr>
                <w:b/>
                <w:sz w:val="24"/>
                <w:szCs w:val="24"/>
                <w:u w:val="single"/>
              </w:rPr>
              <w:t>Поставщик:</w:t>
            </w:r>
          </w:p>
        </w:tc>
      </w:tr>
      <w:tr>
        <w:trPr/>
        <w:tc>
          <w:tcPr>
            <w:tcW w:w="4785" w:type="dxa"/>
            <w:tcBorders/>
          </w:tcPr>
          <w:p>
            <w:pPr>
              <w:pStyle w:val="Normal"/>
              <w:widowControl w:val="false"/>
              <w:suppressAutoHyphens w:val="false"/>
              <w:spacing w:lineRule="auto" w:line="276"/>
              <w:rPr>
                <w:b/>
                <w:sz w:val="24"/>
                <w:szCs w:val="24"/>
              </w:rPr>
            </w:pPr>
            <w:r>
              <w:rPr>
                <w:b/>
                <w:sz w:val="24"/>
                <w:szCs w:val="24"/>
              </w:rPr>
              <w:t>Акционерное общество</w:t>
            </w:r>
          </w:p>
          <w:p>
            <w:pPr>
              <w:pStyle w:val="Normal"/>
              <w:widowControl w:val="false"/>
              <w:pBdr>
                <w:bottom w:val="single" w:sz="12" w:space="1" w:color="000000"/>
              </w:pBdr>
              <w:suppressAutoHyphens w:val="false"/>
              <w:spacing w:lineRule="auto" w:line="276"/>
              <w:rPr>
                <w:b/>
                <w:sz w:val="24"/>
                <w:szCs w:val="24"/>
              </w:rPr>
            </w:pPr>
            <w:r>
              <w:rPr>
                <w:b/>
                <w:sz w:val="24"/>
                <w:szCs w:val="24"/>
              </w:rPr>
              <w:t>«Гидроремонт-ВКК» (АО «Гидроремонт-ВКК»)</w:t>
            </w:r>
          </w:p>
          <w:p>
            <w:pPr>
              <w:pStyle w:val="Normal"/>
              <w:widowControl w:val="false"/>
              <w:pBdr>
                <w:bottom w:val="single" w:sz="12" w:space="1" w:color="000000"/>
              </w:pBdr>
              <w:suppressAutoHyphens w:val="false"/>
              <w:spacing w:lineRule="auto" w:line="276"/>
              <w:rPr>
                <w:sz w:val="24"/>
                <w:szCs w:val="24"/>
              </w:rPr>
            </w:pPr>
            <w:r>
              <w:rPr>
                <w:sz w:val="24"/>
                <w:szCs w:val="24"/>
              </w:rPr>
              <w:t>Юридический адрес: 603140, Нижегородская обл., г.о. город Нижний Новгород, г. Нижний Новгород, пер. Мотальный, д.8 помещ. ВП31, офис С1А, Воткинский филиал АО «Гидроремонт-ВКК» в г. Чайковский</w:t>
            </w:r>
          </w:p>
          <w:p>
            <w:pPr>
              <w:pStyle w:val="Normal"/>
              <w:widowControl w:val="false"/>
              <w:pBdr>
                <w:bottom w:val="single" w:sz="12" w:space="1" w:color="000000"/>
              </w:pBdr>
              <w:suppressAutoHyphens w:val="false"/>
              <w:spacing w:lineRule="auto" w:line="276"/>
              <w:rPr>
                <w:sz w:val="24"/>
                <w:szCs w:val="24"/>
              </w:rPr>
            </w:pPr>
            <w:r>
              <w:rPr>
                <w:sz w:val="24"/>
                <w:szCs w:val="24"/>
              </w:rPr>
              <w:t>Грузополучатель: Воткинский филиал АО «Гидроремонт-ВКК» в г. Чайковский</w:t>
            </w:r>
          </w:p>
          <w:p>
            <w:pPr>
              <w:pStyle w:val="Normal"/>
              <w:widowControl w:val="false"/>
              <w:pBdr>
                <w:bottom w:val="single" w:sz="12" w:space="1" w:color="000000"/>
              </w:pBdr>
              <w:suppressAutoHyphens w:val="false"/>
              <w:spacing w:lineRule="auto" w:line="276"/>
              <w:rPr>
                <w:sz w:val="24"/>
                <w:szCs w:val="24"/>
              </w:rPr>
            </w:pPr>
            <w:r>
              <w:rPr>
                <w:sz w:val="24"/>
                <w:szCs w:val="24"/>
              </w:rPr>
              <w:t>Почтовый адрес: 617761, Российская Федерация, Пермский край, г. Чайковский, Воткинская ГЭС.</w:t>
            </w:r>
          </w:p>
          <w:p>
            <w:pPr>
              <w:pStyle w:val="Normal"/>
              <w:widowControl w:val="false"/>
              <w:pBdr>
                <w:bottom w:val="single" w:sz="12" w:space="1" w:color="000000"/>
              </w:pBdr>
              <w:suppressAutoHyphens w:val="false"/>
              <w:spacing w:lineRule="auto" w:line="276"/>
              <w:rPr>
                <w:sz w:val="24"/>
                <w:szCs w:val="24"/>
              </w:rPr>
            </w:pPr>
            <w:r>
              <w:rPr>
                <w:sz w:val="24"/>
                <w:szCs w:val="24"/>
              </w:rPr>
              <w:t>ИНН 6345012488 КПП 592043001</w:t>
            </w:r>
          </w:p>
          <w:p>
            <w:pPr>
              <w:pStyle w:val="Normal"/>
              <w:widowControl w:val="false"/>
              <w:pBdr>
                <w:bottom w:val="single" w:sz="12" w:space="1" w:color="000000"/>
              </w:pBdr>
              <w:suppressAutoHyphens w:val="false"/>
              <w:spacing w:lineRule="auto" w:line="276"/>
              <w:rPr>
                <w:sz w:val="24"/>
                <w:szCs w:val="24"/>
              </w:rPr>
            </w:pPr>
            <w:r>
              <w:rPr>
                <w:sz w:val="24"/>
                <w:szCs w:val="24"/>
              </w:rPr>
              <w:t>ОГРН: 1036301733005</w:t>
            </w:r>
          </w:p>
          <w:p>
            <w:pPr>
              <w:pStyle w:val="Normal"/>
              <w:widowControl w:val="false"/>
              <w:pBdr>
                <w:bottom w:val="single" w:sz="12" w:space="1" w:color="000000"/>
              </w:pBdr>
              <w:suppressAutoHyphens w:val="false"/>
              <w:spacing w:lineRule="auto" w:line="276"/>
              <w:rPr>
                <w:sz w:val="24"/>
                <w:szCs w:val="24"/>
              </w:rPr>
            </w:pPr>
            <w:r>
              <w:rPr>
                <w:sz w:val="24"/>
                <w:szCs w:val="24"/>
              </w:rPr>
              <w:t>Расчетный счет: 40702810800000060241</w:t>
            </w:r>
          </w:p>
          <w:p>
            <w:pPr>
              <w:pStyle w:val="Normal"/>
              <w:widowControl w:val="false"/>
              <w:pBdr>
                <w:bottom w:val="single" w:sz="12" w:space="1" w:color="000000"/>
              </w:pBdr>
              <w:suppressAutoHyphens w:val="false"/>
              <w:spacing w:lineRule="auto" w:line="276"/>
              <w:rPr>
                <w:sz w:val="24"/>
                <w:szCs w:val="24"/>
              </w:rPr>
            </w:pPr>
            <w:r>
              <w:rPr>
                <w:sz w:val="24"/>
                <w:szCs w:val="24"/>
              </w:rPr>
              <w:t>Наименование банка: Банк ГПБ (АО), г.Москва</w:t>
            </w:r>
          </w:p>
          <w:p>
            <w:pPr>
              <w:pStyle w:val="Normal"/>
              <w:widowControl w:val="false"/>
              <w:pBdr>
                <w:bottom w:val="single" w:sz="12" w:space="1" w:color="000000"/>
              </w:pBdr>
              <w:suppressAutoHyphens w:val="false"/>
              <w:spacing w:lineRule="auto" w:line="276"/>
              <w:rPr>
                <w:sz w:val="24"/>
                <w:szCs w:val="24"/>
              </w:rPr>
            </w:pPr>
            <w:r>
              <w:rPr>
                <w:sz w:val="24"/>
                <w:szCs w:val="24"/>
              </w:rPr>
              <w:t>Кор. Счет: 30101810200000000823 в ГУ Банка России по ЦФО</w:t>
            </w:r>
          </w:p>
          <w:p>
            <w:pPr>
              <w:pStyle w:val="Normal"/>
              <w:widowControl w:val="false"/>
              <w:pBdr>
                <w:bottom w:val="single" w:sz="12" w:space="1" w:color="000000"/>
              </w:pBdr>
              <w:suppressAutoHyphens w:val="false"/>
              <w:spacing w:lineRule="auto" w:line="276"/>
              <w:rPr>
                <w:sz w:val="24"/>
                <w:szCs w:val="24"/>
              </w:rPr>
            </w:pPr>
            <w:r>
              <w:rPr>
                <w:sz w:val="24"/>
                <w:szCs w:val="24"/>
              </w:rPr>
              <w:t>БИК: 044525823</w:t>
            </w:r>
          </w:p>
          <w:p>
            <w:pPr>
              <w:pStyle w:val="Normal"/>
              <w:widowControl w:val="false"/>
              <w:pBdr>
                <w:bottom w:val="single" w:sz="12" w:space="1" w:color="000000"/>
              </w:pBdr>
              <w:suppressAutoHyphens w:val="false"/>
              <w:spacing w:lineRule="auto" w:line="276"/>
              <w:rPr>
                <w:sz w:val="24"/>
                <w:szCs w:val="24"/>
              </w:rPr>
            </w:pPr>
            <w:r>
              <w:rPr>
                <w:sz w:val="24"/>
                <w:szCs w:val="24"/>
              </w:rPr>
            </w:r>
          </w:p>
          <w:p>
            <w:pPr>
              <w:pStyle w:val="Normal"/>
              <w:widowControl w:val="false"/>
              <w:suppressAutoHyphens w:val="false"/>
              <w:spacing w:lineRule="auto" w:line="276"/>
              <w:rPr>
                <w:sz w:val="24"/>
                <w:szCs w:val="24"/>
              </w:rPr>
            </w:pPr>
            <w:r>
              <w:rPr>
                <w:sz w:val="24"/>
                <w:szCs w:val="24"/>
              </w:rPr>
              <w:t>SamohvalovaNV@rushydro.ru</w:t>
            </w:r>
          </w:p>
        </w:tc>
        <w:tc>
          <w:tcPr>
            <w:tcW w:w="4678" w:type="dxa"/>
            <w:tcBorders/>
          </w:tcPr>
          <w:p>
            <w:pPr>
              <w:pStyle w:val="Normal"/>
              <w:widowControl w:val="false"/>
              <w:pBdr>
                <w:bottom w:val="single" w:sz="12" w:space="1" w:color="000000"/>
              </w:pBdr>
              <w:suppressAutoHyphens w:val="false"/>
              <w:spacing w:lineRule="auto" w:line="276"/>
              <w:rPr>
                <w:b/>
                <w:sz w:val="24"/>
                <w:szCs w:val="24"/>
              </w:rPr>
            </w:pPr>
            <w:r>
              <w:rPr>
                <w:b/>
                <w:sz w:val="24"/>
                <w:szCs w:val="24"/>
              </w:rPr>
            </w:r>
          </w:p>
          <w:p>
            <w:pPr>
              <w:pStyle w:val="Normal"/>
              <w:widowControl w:val="false"/>
              <w:pBdr>
                <w:bottom w:val="single" w:sz="12" w:space="1" w:color="000000"/>
              </w:pBdr>
              <w:suppressAutoHyphens w:val="false"/>
              <w:spacing w:lineRule="auto" w:line="276"/>
              <w:rPr>
                <w:b/>
                <w:sz w:val="24"/>
                <w:szCs w:val="24"/>
              </w:rPr>
            </w:pPr>
            <w:r>
              <w:rPr>
                <w:b/>
                <w:sz w:val="24"/>
                <w:szCs w:val="24"/>
              </w:rPr>
            </w:r>
          </w:p>
          <w:p>
            <w:pPr>
              <w:pStyle w:val="Normal"/>
              <w:widowControl w:val="false"/>
              <w:pBdr>
                <w:bottom w:val="single" w:sz="12" w:space="1" w:color="000000"/>
              </w:pBdr>
              <w:suppressAutoHyphens w:val="false"/>
              <w:spacing w:lineRule="auto" w:line="276"/>
              <w:rPr>
                <w:sz w:val="24"/>
                <w:szCs w:val="24"/>
              </w:rPr>
            </w:pPr>
            <w:r>
              <w:rPr>
                <w:sz w:val="24"/>
                <w:szCs w:val="24"/>
              </w:rPr>
              <w:t xml:space="preserve">Юридический адрес: </w:t>
            </w:r>
          </w:p>
          <w:p>
            <w:pPr>
              <w:pStyle w:val="Normal"/>
              <w:widowControl w:val="false"/>
              <w:pBdr>
                <w:bottom w:val="single" w:sz="12" w:space="1" w:color="000000"/>
              </w:pBdr>
              <w:suppressAutoHyphens w:val="false"/>
              <w:spacing w:lineRule="auto" w:line="276"/>
              <w:rPr>
                <w:sz w:val="24"/>
                <w:szCs w:val="24"/>
              </w:rPr>
            </w:pPr>
            <w:r>
              <w:rPr>
                <w:sz w:val="24"/>
                <w:szCs w:val="24"/>
              </w:rPr>
              <w:t xml:space="preserve">Почтовый адрес: </w:t>
            </w:r>
          </w:p>
          <w:p>
            <w:pPr>
              <w:pStyle w:val="Normal"/>
              <w:widowControl w:val="false"/>
              <w:pBdr>
                <w:bottom w:val="single" w:sz="12" w:space="1" w:color="000000"/>
              </w:pBdr>
              <w:suppressAutoHyphens w:val="false"/>
              <w:spacing w:lineRule="auto" w:line="276"/>
              <w:rPr>
                <w:sz w:val="24"/>
                <w:szCs w:val="24"/>
              </w:rPr>
            </w:pPr>
            <w:r>
              <w:rPr>
                <w:sz w:val="24"/>
                <w:szCs w:val="24"/>
              </w:rPr>
            </w:r>
          </w:p>
          <w:p>
            <w:pPr>
              <w:pStyle w:val="Normal"/>
              <w:widowControl w:val="false"/>
              <w:pBdr>
                <w:bottom w:val="single" w:sz="12" w:space="1" w:color="000000"/>
              </w:pBdr>
              <w:suppressAutoHyphens w:val="false"/>
              <w:spacing w:lineRule="auto" w:line="276"/>
              <w:rPr>
                <w:sz w:val="24"/>
                <w:szCs w:val="24"/>
              </w:rPr>
            </w:pPr>
            <w:r>
              <w:rPr>
                <w:sz w:val="24"/>
                <w:szCs w:val="24"/>
              </w:rPr>
              <w:t xml:space="preserve">ИНН/КПП: </w:t>
            </w:r>
          </w:p>
          <w:p>
            <w:pPr>
              <w:pStyle w:val="Normal"/>
              <w:widowControl w:val="false"/>
              <w:pBdr>
                <w:bottom w:val="single" w:sz="12" w:space="1" w:color="000000"/>
              </w:pBdr>
              <w:suppressAutoHyphens w:val="false"/>
              <w:spacing w:lineRule="auto" w:line="276"/>
              <w:rPr>
                <w:sz w:val="24"/>
                <w:szCs w:val="24"/>
              </w:rPr>
            </w:pPr>
            <w:r>
              <w:rPr>
                <w:sz w:val="24"/>
                <w:szCs w:val="24"/>
              </w:rPr>
              <w:t xml:space="preserve">ОГРН: </w:t>
            </w:r>
          </w:p>
          <w:p>
            <w:pPr>
              <w:pStyle w:val="Normal"/>
              <w:widowControl w:val="false"/>
              <w:pBdr>
                <w:bottom w:val="single" w:sz="12" w:space="1" w:color="000000"/>
              </w:pBdr>
              <w:suppressAutoHyphens w:val="false"/>
              <w:spacing w:lineRule="auto" w:line="276"/>
              <w:rPr>
                <w:sz w:val="24"/>
                <w:szCs w:val="24"/>
              </w:rPr>
            </w:pPr>
            <w:r>
              <w:rPr>
                <w:sz w:val="24"/>
                <w:szCs w:val="24"/>
              </w:rPr>
              <w:t xml:space="preserve">Расчетный счет: </w:t>
            </w:r>
          </w:p>
          <w:p>
            <w:pPr>
              <w:pStyle w:val="Normal"/>
              <w:widowControl w:val="false"/>
              <w:pBdr>
                <w:bottom w:val="single" w:sz="12" w:space="1" w:color="000000"/>
              </w:pBdr>
              <w:suppressAutoHyphens w:val="false"/>
              <w:spacing w:lineRule="auto" w:line="276"/>
              <w:rPr>
                <w:sz w:val="24"/>
                <w:szCs w:val="24"/>
              </w:rPr>
            </w:pPr>
            <w:r>
              <w:rPr>
                <w:sz w:val="24"/>
                <w:szCs w:val="24"/>
              </w:rPr>
              <w:t xml:space="preserve">Наименование банка: </w:t>
            </w:r>
          </w:p>
          <w:p>
            <w:pPr>
              <w:pStyle w:val="Normal"/>
              <w:widowControl w:val="false"/>
              <w:pBdr>
                <w:bottom w:val="single" w:sz="12" w:space="1" w:color="000000"/>
              </w:pBdr>
              <w:suppressAutoHyphens w:val="false"/>
              <w:spacing w:lineRule="auto" w:line="276"/>
              <w:rPr>
                <w:sz w:val="24"/>
                <w:szCs w:val="24"/>
              </w:rPr>
            </w:pPr>
            <w:r>
              <w:rPr>
                <w:sz w:val="24"/>
                <w:szCs w:val="24"/>
              </w:rPr>
              <w:t xml:space="preserve">Кор. Счет: </w:t>
            </w:r>
          </w:p>
          <w:p>
            <w:pPr>
              <w:pStyle w:val="Normal"/>
              <w:widowControl w:val="false"/>
              <w:pBdr>
                <w:bottom w:val="single" w:sz="12" w:space="1" w:color="000000"/>
              </w:pBdr>
              <w:suppressAutoHyphens w:val="false"/>
              <w:spacing w:lineRule="auto" w:line="276"/>
              <w:rPr>
                <w:sz w:val="24"/>
                <w:szCs w:val="24"/>
              </w:rPr>
            </w:pPr>
            <w:r>
              <w:rPr>
                <w:sz w:val="24"/>
                <w:szCs w:val="24"/>
              </w:rPr>
              <w:t xml:space="preserve">БИК: </w:t>
            </w:r>
          </w:p>
          <w:p>
            <w:pPr>
              <w:pStyle w:val="Normal"/>
              <w:widowControl w:val="false"/>
              <w:pBdr>
                <w:bottom w:val="single" w:sz="12" w:space="1" w:color="000000"/>
              </w:pBdr>
              <w:suppressAutoHyphens w:val="false"/>
              <w:spacing w:lineRule="auto" w:line="276"/>
              <w:rPr>
                <w:sz w:val="24"/>
                <w:szCs w:val="24"/>
              </w:rPr>
            </w:pPr>
            <w:r>
              <w:rPr>
                <w:sz w:val="24"/>
                <w:szCs w:val="24"/>
              </w:rPr>
            </w:r>
          </w:p>
          <w:p>
            <w:pPr>
              <w:pStyle w:val="Normal"/>
              <w:widowControl w:val="false"/>
              <w:suppressAutoHyphens w:val="false"/>
              <w:rPr>
                <w:sz w:val="24"/>
                <w:szCs w:val="24"/>
              </w:rPr>
            </w:pPr>
            <w:r>
              <w:rPr>
                <w:sz w:val="24"/>
                <w:szCs w:val="24"/>
              </w:rPr>
            </w:r>
          </w:p>
        </w:tc>
      </w:tr>
      <w:tr>
        <w:trPr>
          <w:trHeight w:val="80" w:hRule="atLeast"/>
        </w:trPr>
        <w:tc>
          <w:tcPr>
            <w:tcW w:w="4785" w:type="dxa"/>
            <w:tcBorders/>
          </w:tcPr>
          <w:p>
            <w:pPr>
              <w:pStyle w:val="Normal"/>
              <w:widowControl w:val="false"/>
              <w:suppressAutoHyphens w:val="false"/>
              <w:spacing w:lineRule="auto" w:line="276"/>
              <w:rPr>
                <w:sz w:val="24"/>
                <w:szCs w:val="24"/>
              </w:rPr>
            </w:pPr>
            <w:r>
              <w:rPr>
                <w:sz w:val="24"/>
                <w:szCs w:val="24"/>
              </w:rPr>
            </w:r>
          </w:p>
          <w:p>
            <w:pPr>
              <w:pStyle w:val="Normal"/>
              <w:widowControl w:val="false"/>
              <w:suppressAutoHyphens w:val="false"/>
              <w:spacing w:lineRule="auto" w:line="276"/>
              <w:rPr>
                <w:sz w:val="24"/>
                <w:szCs w:val="24"/>
              </w:rPr>
            </w:pPr>
            <w:r>
              <w:rPr>
                <w:sz w:val="24"/>
                <w:szCs w:val="24"/>
              </w:rPr>
            </w:r>
          </w:p>
          <w:p>
            <w:pPr>
              <w:pStyle w:val="Normal"/>
              <w:widowControl w:val="false"/>
              <w:suppressAutoHyphens w:val="false"/>
              <w:spacing w:lineRule="auto" w:line="276"/>
              <w:rPr>
                <w:sz w:val="24"/>
                <w:szCs w:val="24"/>
              </w:rPr>
            </w:pPr>
            <w:r>
              <w:rPr>
                <w:sz w:val="24"/>
                <w:szCs w:val="24"/>
              </w:rPr>
              <w:t>_______________ /Н.В. Глазырин /</w:t>
            </w:r>
          </w:p>
          <w:p>
            <w:pPr>
              <w:pStyle w:val="Normal"/>
              <w:widowControl w:val="false"/>
              <w:suppressAutoHyphens w:val="false"/>
              <w:spacing w:lineRule="auto" w:line="276"/>
              <w:rPr>
                <w:sz w:val="24"/>
                <w:szCs w:val="24"/>
              </w:rPr>
            </w:pPr>
            <w:r>
              <w:rPr>
                <w:sz w:val="24"/>
                <w:szCs w:val="24"/>
              </w:rPr>
              <w:t>м.п.</w:t>
            </w:r>
          </w:p>
        </w:tc>
        <w:tc>
          <w:tcPr>
            <w:tcW w:w="4678" w:type="dxa"/>
            <w:tcBorders/>
          </w:tcPr>
          <w:p>
            <w:pPr>
              <w:pStyle w:val="Normal"/>
              <w:widowControl w:val="false"/>
              <w:suppressAutoHyphens w:val="false"/>
              <w:spacing w:lineRule="auto" w:line="276"/>
              <w:rPr>
                <w:sz w:val="24"/>
                <w:szCs w:val="24"/>
              </w:rPr>
            </w:pPr>
            <w:r>
              <w:rPr>
                <w:sz w:val="24"/>
                <w:szCs w:val="24"/>
              </w:rPr>
            </w:r>
          </w:p>
          <w:p>
            <w:pPr>
              <w:pStyle w:val="Normal"/>
              <w:widowControl w:val="false"/>
              <w:suppressAutoHyphens w:val="false"/>
              <w:spacing w:lineRule="auto" w:line="276"/>
              <w:rPr>
                <w:sz w:val="24"/>
                <w:szCs w:val="24"/>
              </w:rPr>
            </w:pPr>
            <w:r>
              <w:rPr>
                <w:sz w:val="24"/>
                <w:szCs w:val="24"/>
              </w:rPr>
            </w:r>
          </w:p>
          <w:p>
            <w:pPr>
              <w:pStyle w:val="Normal"/>
              <w:widowControl w:val="false"/>
              <w:suppressAutoHyphens w:val="false"/>
              <w:spacing w:lineRule="auto" w:line="276"/>
              <w:rPr>
                <w:sz w:val="24"/>
                <w:szCs w:val="24"/>
              </w:rPr>
            </w:pPr>
            <w:r>
              <w:rPr>
                <w:sz w:val="24"/>
                <w:szCs w:val="24"/>
              </w:rPr>
              <w:t>________________ /</w:t>
            </w:r>
            <w:r>
              <w:rPr/>
              <w:t xml:space="preserve"> </w:t>
            </w:r>
            <w:r>
              <w:rPr>
                <w:sz w:val="24"/>
                <w:szCs w:val="24"/>
              </w:rPr>
              <w:t>________ /</w:t>
            </w:r>
          </w:p>
          <w:p>
            <w:pPr>
              <w:pStyle w:val="Normal"/>
              <w:widowControl w:val="false"/>
              <w:suppressAutoHyphens w:val="false"/>
              <w:spacing w:lineRule="auto" w:line="276"/>
              <w:rPr>
                <w:sz w:val="24"/>
                <w:szCs w:val="24"/>
              </w:rPr>
            </w:pPr>
            <w:r>
              <w:rPr>
                <w:sz w:val="24"/>
                <w:szCs w:val="24"/>
              </w:rPr>
              <w:t>м. п.</w:t>
            </w:r>
          </w:p>
        </w:tc>
      </w:tr>
    </w:tbl>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lang w:val="en-US"/>
        </w:rPr>
      </w:pPr>
      <w:r>
        <w:rPr>
          <w:b/>
          <w:bCs/>
          <w:sz w:val="24"/>
          <w:szCs w:val="24"/>
          <w:lang w:val="en-US"/>
        </w:rPr>
      </w:r>
    </w:p>
    <w:p>
      <w:pPr>
        <w:pStyle w:val="BodyText"/>
        <w:numPr>
          <w:ilvl w:val="0"/>
          <w:numId w:val="0"/>
        </w:numPr>
        <w:ind w:left="0" w:hanging="0"/>
        <w:jc w:val="right"/>
        <w:outlineLvl w:val="0"/>
        <w:rPr>
          <w:b/>
          <w:bCs/>
          <w:sz w:val="24"/>
          <w:szCs w:val="24"/>
        </w:rPr>
      </w:pPr>
      <w:r>
        <w:rPr>
          <w:b/>
          <w:bCs/>
          <w:sz w:val="24"/>
          <w:szCs w:val="24"/>
          <w:lang w:val="en-US"/>
        </w:rPr>
        <w:t>П</w:t>
      </w:r>
      <w:r>
        <w:rPr>
          <w:b/>
          <w:bCs/>
          <w:sz w:val="24"/>
          <w:szCs w:val="24"/>
        </w:rPr>
        <w:t>риложение № 1</w:t>
      </w:r>
    </w:p>
    <w:p>
      <w:pPr>
        <w:pStyle w:val="BodyText"/>
        <w:ind w:firstLine="567"/>
        <w:jc w:val="right"/>
        <w:rPr>
          <w:bCs/>
          <w:sz w:val="24"/>
          <w:szCs w:val="24"/>
        </w:rPr>
      </w:pPr>
      <w:r>
        <w:rPr>
          <w:bCs/>
          <w:sz w:val="24"/>
          <w:szCs w:val="24"/>
        </w:rPr>
        <w:t xml:space="preserve">к договору поставки №-Вот/пос-26 </w:t>
      </w:r>
    </w:p>
    <w:p>
      <w:pPr>
        <w:pStyle w:val="BodyText"/>
        <w:ind w:firstLine="567"/>
        <w:jc w:val="right"/>
        <w:rPr>
          <w:bCs/>
          <w:sz w:val="24"/>
          <w:szCs w:val="24"/>
        </w:rPr>
      </w:pPr>
      <w:r>
        <w:rPr>
          <w:bCs/>
          <w:sz w:val="24"/>
          <w:szCs w:val="24"/>
        </w:rPr>
        <w:t>от «  »           20</w:t>
      </w:r>
      <w:r>
        <w:rPr>
          <w:bCs/>
          <w:sz w:val="24"/>
          <w:szCs w:val="24"/>
          <w:u w:val="single"/>
          <w:lang w:val="en-US"/>
        </w:rPr>
        <w:t xml:space="preserve">     </w:t>
      </w:r>
      <w:r>
        <w:rPr>
          <w:bCs/>
          <w:sz w:val="24"/>
          <w:szCs w:val="24"/>
        </w:rPr>
        <w:t xml:space="preserve"> г.</w:t>
      </w:r>
    </w:p>
    <w:p>
      <w:pPr>
        <w:pStyle w:val="BodyText"/>
        <w:ind w:firstLine="567"/>
        <w:jc w:val="right"/>
        <w:rPr>
          <w:bCs/>
          <w:sz w:val="24"/>
          <w:szCs w:val="24"/>
        </w:rPr>
      </w:pPr>
      <w:r>
        <w:rPr>
          <w:bCs/>
          <w:sz w:val="24"/>
          <w:szCs w:val="24"/>
        </w:rPr>
      </w:r>
    </w:p>
    <w:p>
      <w:pPr>
        <w:pStyle w:val="Normal"/>
        <w:numPr>
          <w:ilvl w:val="0"/>
          <w:numId w:val="0"/>
        </w:numPr>
        <w:spacing w:before="120" w:after="120"/>
        <w:ind w:left="0" w:firstLine="567"/>
        <w:jc w:val="center"/>
        <w:outlineLvl w:val="0"/>
        <w:rPr>
          <w:b/>
          <w:sz w:val="24"/>
          <w:szCs w:val="24"/>
        </w:rPr>
      </w:pPr>
      <w:r>
        <w:rPr>
          <w:b/>
          <w:sz w:val="24"/>
          <w:szCs w:val="24"/>
        </w:rPr>
        <w:t>Спецификация №1</w:t>
      </w:r>
    </w:p>
    <w:tbl>
      <w:tblPr>
        <w:tblW w:w="5000" w:type="pct"/>
        <w:jc w:val="left"/>
        <w:tblInd w:w="0" w:type="dxa"/>
        <w:tblLayout w:type="fixed"/>
        <w:tblCellMar>
          <w:top w:w="0" w:type="dxa"/>
          <w:left w:w="108" w:type="dxa"/>
          <w:bottom w:w="0" w:type="dxa"/>
          <w:right w:w="108" w:type="dxa"/>
        </w:tblCellMar>
        <w:tblLook w:noVBand="0" w:val="01e0" w:noHBand="0" w:lastColumn="1" w:firstColumn="1" w:lastRow="1" w:firstRow="1"/>
      </w:tblPr>
      <w:tblGrid>
        <w:gridCol w:w="431"/>
        <w:gridCol w:w="2989"/>
        <w:gridCol w:w="1903"/>
        <w:gridCol w:w="625"/>
        <w:gridCol w:w="705"/>
        <w:gridCol w:w="1449"/>
        <w:gridCol w:w="1960"/>
      </w:tblGrid>
      <w:tr>
        <w:trPr/>
        <w:tc>
          <w:tcPr>
            <w:tcW w:w="43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jc w:val="both"/>
              <w:rPr>
                <w:b/>
              </w:rPr>
            </w:pPr>
            <w:r>
              <w:rPr>
                <w:b/>
              </w:rPr>
              <w:t>№</w:t>
            </w:r>
          </w:p>
        </w:tc>
        <w:tc>
          <w:tcPr>
            <w:tcW w:w="298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jc w:val="center"/>
              <w:rPr>
                <w:b/>
                <w:sz w:val="24"/>
                <w:szCs w:val="24"/>
              </w:rPr>
            </w:pPr>
            <w:r>
              <w:rPr>
                <w:b/>
                <w:sz w:val="24"/>
                <w:szCs w:val="24"/>
              </w:rPr>
              <w:t>Наименование продукции</w:t>
            </w:r>
          </w:p>
        </w:tc>
        <w:tc>
          <w:tcPr>
            <w:tcW w:w="190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360"/>
              <w:jc w:val="center"/>
              <w:rPr>
                <w:b/>
                <w:sz w:val="24"/>
                <w:szCs w:val="24"/>
              </w:rPr>
            </w:pPr>
            <w:r>
              <w:rPr>
                <w:b/>
                <w:sz w:val="24"/>
                <w:szCs w:val="24"/>
              </w:rPr>
              <w:t>Страна происхождения товара</w:t>
            </w:r>
          </w:p>
        </w:tc>
        <w:tc>
          <w:tcPr>
            <w:tcW w:w="6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jc w:val="center"/>
              <w:rPr>
                <w:b/>
                <w:sz w:val="24"/>
                <w:szCs w:val="24"/>
              </w:rPr>
            </w:pPr>
            <w:r>
              <w:rPr>
                <w:b/>
                <w:sz w:val="24"/>
                <w:szCs w:val="24"/>
              </w:rPr>
              <w:t>ЕИ.</w:t>
            </w:r>
          </w:p>
        </w:tc>
        <w:tc>
          <w:tcPr>
            <w:tcW w:w="70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jc w:val="center"/>
              <w:rPr>
                <w:b/>
                <w:sz w:val="24"/>
                <w:szCs w:val="24"/>
              </w:rPr>
            </w:pPr>
            <w:r>
              <w:rPr>
                <w:b/>
                <w:sz w:val="24"/>
                <w:szCs w:val="24"/>
              </w:rPr>
              <w:t>Кол.</w:t>
            </w:r>
          </w:p>
        </w:tc>
        <w:tc>
          <w:tcPr>
            <w:tcW w:w="144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jc w:val="center"/>
              <w:rPr>
                <w:b/>
                <w:sz w:val="24"/>
                <w:szCs w:val="24"/>
              </w:rPr>
            </w:pPr>
            <w:r>
              <w:rPr>
                <w:b/>
                <w:sz w:val="24"/>
                <w:szCs w:val="24"/>
              </w:rPr>
              <w:t>Цена без НДС</w:t>
            </w:r>
          </w:p>
        </w:tc>
        <w:tc>
          <w:tcPr>
            <w:tcW w:w="19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jc w:val="center"/>
              <w:rPr>
                <w:b/>
                <w:sz w:val="24"/>
                <w:szCs w:val="24"/>
              </w:rPr>
            </w:pPr>
            <w:r>
              <w:rPr>
                <w:b/>
                <w:sz w:val="24"/>
                <w:szCs w:val="24"/>
              </w:rPr>
              <w:t>Сумма без НДС</w:t>
            </w:r>
          </w:p>
        </w:tc>
      </w:tr>
      <w:tr>
        <w:trPr/>
        <w:tc>
          <w:tcPr>
            <w:tcW w:w="43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right"/>
              <w:rPr>
                <w:sz w:val="22"/>
                <w:szCs w:val="22"/>
              </w:rPr>
            </w:pPr>
            <w:r>
              <w:rPr>
                <w:sz w:val="22"/>
                <w:szCs w:val="22"/>
              </w:rPr>
              <w:t>1</w:t>
            </w:r>
          </w:p>
        </w:tc>
        <w:tc>
          <w:tcPr>
            <w:tcW w:w="2989" w:type="dxa"/>
            <w:tcBorders>
              <w:left w:val="single" w:sz="4" w:space="0" w:color="000000"/>
              <w:bottom w:val="single" w:sz="4" w:space="0" w:color="000000"/>
              <w:right w:val="single" w:sz="4" w:space="0" w:color="000000"/>
            </w:tcBorders>
            <w:shd w:color="auto" w:fill="auto" w:val="clear"/>
          </w:tcPr>
          <w:p>
            <w:pPr>
              <w:pStyle w:val="Normal"/>
              <w:widowControl w:val="false"/>
              <w:rPr>
                <w:sz w:val="22"/>
                <w:szCs w:val="22"/>
              </w:rPr>
            </w:pPr>
            <w:r>
              <w:rPr>
                <w:sz w:val="22"/>
                <w:szCs w:val="22"/>
              </w:rPr>
            </w:r>
          </w:p>
        </w:tc>
        <w:tc>
          <w:tcPr>
            <w:tcW w:w="1903" w:type="dxa"/>
            <w:tcBorders>
              <w:bottom w:val="single" w:sz="4" w:space="0" w:color="000000"/>
              <w:right w:val="single" w:sz="4" w:space="0" w:color="000000"/>
            </w:tcBorders>
          </w:tcPr>
          <w:p>
            <w:pPr>
              <w:pStyle w:val="Normal"/>
              <w:widowControl w:val="false"/>
              <w:jc w:val="center"/>
              <w:rPr>
                <w:sz w:val="22"/>
                <w:szCs w:val="22"/>
              </w:rPr>
            </w:pPr>
            <w:r>
              <w:rPr>
                <w:sz w:val="22"/>
                <w:szCs w:val="22"/>
              </w:rPr>
            </w:r>
          </w:p>
        </w:tc>
        <w:tc>
          <w:tcPr>
            <w:tcW w:w="625" w:type="dxa"/>
            <w:tcBorders>
              <w:left w:val="single" w:sz="4" w:space="0" w:color="000000"/>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r>
          </w:p>
        </w:tc>
        <w:tc>
          <w:tcPr>
            <w:tcW w:w="705" w:type="dxa"/>
            <w:tcBorders>
              <w:bottom w:val="single" w:sz="4" w:space="0" w:color="000000"/>
              <w:right w:val="single" w:sz="4" w:space="0" w:color="000000"/>
            </w:tcBorders>
            <w:shd w:color="auto" w:fill="auto" w:val="clear"/>
          </w:tcPr>
          <w:p>
            <w:pPr>
              <w:pStyle w:val="Normal"/>
              <w:widowControl w:val="false"/>
              <w:jc w:val="center"/>
              <w:rPr>
                <w:sz w:val="22"/>
                <w:szCs w:val="22"/>
              </w:rPr>
            </w:pPr>
            <w:r>
              <w:rPr>
                <w:sz w:val="22"/>
                <w:szCs w:val="22"/>
              </w:rPr>
            </w:r>
          </w:p>
        </w:tc>
        <w:tc>
          <w:tcPr>
            <w:tcW w:w="1449" w:type="dxa"/>
            <w:tcBorders>
              <w:top w:val="single" w:sz="4" w:space="0" w:color="000000"/>
              <w:bottom w:val="single" w:sz="4" w:space="0" w:color="000000"/>
              <w:right w:val="single" w:sz="4" w:space="0" w:color="000000"/>
            </w:tcBorders>
            <w:shd w:color="auto" w:fill="auto" w:val="clear"/>
          </w:tcPr>
          <w:p>
            <w:pPr>
              <w:pStyle w:val="Normal"/>
              <w:widowControl w:val="false"/>
              <w:jc w:val="right"/>
              <w:rPr>
                <w:sz w:val="22"/>
                <w:szCs w:val="22"/>
              </w:rPr>
            </w:pPr>
            <w:r>
              <w:rPr>
                <w:sz w:val="22"/>
                <w:szCs w:val="22"/>
              </w:rPr>
            </w:r>
          </w:p>
        </w:tc>
        <w:tc>
          <w:tcPr>
            <w:tcW w:w="19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right"/>
              <w:rPr>
                <w:sz w:val="22"/>
                <w:szCs w:val="22"/>
              </w:rPr>
            </w:pPr>
            <w:r>
              <w:rPr>
                <w:sz w:val="22"/>
                <w:szCs w:val="22"/>
              </w:rPr>
            </w:r>
          </w:p>
        </w:tc>
      </w:tr>
      <w:tr>
        <w:trPr>
          <w:trHeight w:val="284" w:hRule="atLeast"/>
        </w:trPr>
        <w:tc>
          <w:tcPr>
            <w:tcW w:w="8102" w:type="dxa"/>
            <w:gridSpan w:val="6"/>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spacing w:before="120" w:after="120"/>
              <w:ind w:left="0" w:firstLine="567"/>
              <w:jc w:val="right"/>
              <w:outlineLvl w:val="0"/>
              <w:rPr>
                <w:b/>
                <w:sz w:val="24"/>
                <w:szCs w:val="24"/>
              </w:rPr>
            </w:pPr>
            <w:r>
              <w:rPr>
                <w:b/>
                <w:bCs/>
                <w:color w:val="000000"/>
                <w:sz w:val="22"/>
                <w:szCs w:val="22"/>
              </w:rPr>
              <w:t>Итого без НДС (20%)</w:t>
            </w:r>
          </w:p>
        </w:tc>
        <w:tc>
          <w:tcPr>
            <w:tcW w:w="1960"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spacing w:before="120" w:after="120"/>
              <w:ind w:left="0" w:hanging="0"/>
              <w:outlineLvl w:val="0"/>
              <w:rPr>
                <w:b/>
                <w:sz w:val="24"/>
                <w:szCs w:val="24"/>
              </w:rPr>
            </w:pPr>
            <w:r>
              <w:rPr>
                <w:b/>
                <w:sz w:val="24"/>
                <w:szCs w:val="24"/>
              </w:rPr>
            </w:r>
          </w:p>
        </w:tc>
      </w:tr>
      <w:tr>
        <w:trPr>
          <w:trHeight w:val="284" w:hRule="atLeast"/>
        </w:trPr>
        <w:tc>
          <w:tcPr>
            <w:tcW w:w="8102" w:type="dxa"/>
            <w:gridSpan w:val="6"/>
            <w:tcBorders>
              <w:top w:val="single" w:sz="4" w:space="0" w:color="000000"/>
              <w:left w:val="single" w:sz="4" w:space="0" w:color="000000"/>
              <w:bottom w:val="single" w:sz="4" w:space="0" w:color="000000"/>
              <w:right w:val="single" w:sz="4" w:space="0" w:color="000000"/>
            </w:tcBorders>
          </w:tcPr>
          <w:p>
            <w:pPr>
              <w:pStyle w:val="BodyText"/>
              <w:widowControl w:val="false"/>
              <w:spacing w:before="120" w:after="120"/>
              <w:jc w:val="right"/>
              <w:rPr>
                <w:b/>
                <w:bCs/>
                <w:sz w:val="24"/>
                <w:szCs w:val="24"/>
              </w:rPr>
            </w:pPr>
            <w:r>
              <w:rPr>
                <w:b/>
                <w:bCs/>
                <w:color w:val="000000"/>
                <w:szCs w:val="22"/>
              </w:rPr>
              <w:t>В том числе НДС (20%)</w:t>
            </w:r>
          </w:p>
        </w:tc>
        <w:tc>
          <w:tcPr>
            <w:tcW w:w="1960" w:type="dxa"/>
            <w:tcBorders>
              <w:top w:val="single" w:sz="4" w:space="0" w:color="000000"/>
              <w:left w:val="single" w:sz="4" w:space="0" w:color="000000"/>
              <w:bottom w:val="single" w:sz="4" w:space="0" w:color="000000"/>
              <w:right w:val="single" w:sz="4" w:space="0" w:color="000000"/>
            </w:tcBorders>
          </w:tcPr>
          <w:p>
            <w:pPr>
              <w:pStyle w:val="BodyText"/>
              <w:widowControl w:val="false"/>
              <w:spacing w:before="120" w:after="120"/>
              <w:jc w:val="center"/>
              <w:rPr>
                <w:b/>
                <w:bCs/>
                <w:sz w:val="24"/>
                <w:szCs w:val="24"/>
              </w:rPr>
            </w:pPr>
            <w:r>
              <w:rPr>
                <w:b/>
                <w:bCs/>
                <w:sz w:val="24"/>
                <w:szCs w:val="24"/>
              </w:rPr>
            </w:r>
          </w:p>
        </w:tc>
      </w:tr>
      <w:tr>
        <w:trPr>
          <w:trHeight w:val="284" w:hRule="atLeast"/>
        </w:trPr>
        <w:tc>
          <w:tcPr>
            <w:tcW w:w="8102" w:type="dxa"/>
            <w:gridSpan w:val="6"/>
            <w:tcBorders>
              <w:top w:val="single" w:sz="4" w:space="0" w:color="000000"/>
              <w:left w:val="single" w:sz="4" w:space="0" w:color="000000"/>
              <w:bottom w:val="single" w:sz="4" w:space="0" w:color="000000"/>
              <w:right w:val="single" w:sz="4" w:space="0" w:color="000000"/>
            </w:tcBorders>
          </w:tcPr>
          <w:p>
            <w:pPr>
              <w:pStyle w:val="BodyText"/>
              <w:widowControl w:val="false"/>
              <w:spacing w:before="120" w:after="120"/>
              <w:jc w:val="right"/>
              <w:rPr>
                <w:b/>
                <w:bCs/>
                <w:sz w:val="24"/>
                <w:szCs w:val="24"/>
              </w:rPr>
            </w:pPr>
            <w:r>
              <w:rPr>
                <w:b/>
                <w:bCs/>
                <w:color w:val="000000"/>
                <w:szCs w:val="22"/>
              </w:rPr>
              <w:t>Итого с НДС (20%)</w:t>
            </w:r>
          </w:p>
        </w:tc>
        <w:tc>
          <w:tcPr>
            <w:tcW w:w="1960" w:type="dxa"/>
            <w:tcBorders>
              <w:top w:val="single" w:sz="4" w:space="0" w:color="000000"/>
              <w:left w:val="single" w:sz="4" w:space="0" w:color="000000"/>
              <w:bottom w:val="single" w:sz="4" w:space="0" w:color="000000"/>
              <w:right w:val="single" w:sz="4" w:space="0" w:color="000000"/>
            </w:tcBorders>
          </w:tcPr>
          <w:p>
            <w:pPr>
              <w:pStyle w:val="BodyText"/>
              <w:widowControl w:val="false"/>
              <w:spacing w:before="120" w:after="120"/>
              <w:jc w:val="center"/>
              <w:rPr>
                <w:b/>
                <w:bCs/>
                <w:sz w:val="24"/>
                <w:szCs w:val="24"/>
              </w:rPr>
            </w:pPr>
            <w:r>
              <w:rPr>
                <w:b/>
                <w:bCs/>
                <w:sz w:val="24"/>
                <w:szCs w:val="24"/>
              </w:rPr>
            </w:r>
          </w:p>
        </w:tc>
      </w:tr>
    </w:tbl>
    <w:p>
      <w:pPr>
        <w:pStyle w:val="Normal"/>
        <w:numPr>
          <w:ilvl w:val="0"/>
          <w:numId w:val="0"/>
        </w:numPr>
        <w:spacing w:before="120" w:after="120"/>
        <w:ind w:left="0" w:firstLine="567"/>
        <w:jc w:val="center"/>
        <w:outlineLvl w:val="0"/>
        <w:rPr>
          <w:b/>
          <w:sz w:val="24"/>
          <w:szCs w:val="24"/>
        </w:rPr>
      </w:pPr>
      <w:r>
        <w:rPr>
          <w:b/>
          <w:sz w:val="24"/>
          <w:szCs w:val="24"/>
        </w:rPr>
      </w:r>
    </w:p>
    <w:p>
      <w:pPr>
        <w:pStyle w:val="BodyText"/>
        <w:spacing w:before="120" w:after="120"/>
        <w:ind w:firstLine="284"/>
        <w:rPr>
          <w:b/>
          <w:bCs/>
          <w:sz w:val="24"/>
          <w:szCs w:val="24"/>
        </w:rPr>
      </w:pPr>
      <w:r>
        <w:rPr>
          <w:b/>
          <w:bCs/>
          <w:sz w:val="24"/>
          <w:szCs w:val="24"/>
        </w:rPr>
        <w:t>Условия поставки:</w:t>
      </w:r>
    </w:p>
    <w:p>
      <w:pPr>
        <w:pStyle w:val="Normal"/>
        <w:widowControl w:val="false"/>
        <w:numPr>
          <w:ilvl w:val="0"/>
          <w:numId w:val="19"/>
        </w:numPr>
        <w:tabs>
          <w:tab w:val="left" w:pos="720" w:leader="none"/>
        </w:tabs>
        <w:spacing w:before="120" w:after="120"/>
        <w:ind w:left="0" w:firstLine="284"/>
        <w:jc w:val="both"/>
        <w:rPr>
          <w:sz w:val="24"/>
          <w:szCs w:val="24"/>
        </w:rPr>
      </w:pPr>
      <w:r>
        <w:rPr>
          <w:sz w:val="24"/>
          <w:szCs w:val="24"/>
        </w:rPr>
        <w:t xml:space="preserve">Общая сумма Спецификации составляет </w:t>
      </w:r>
      <w:r>
        <w:rPr>
          <w:b/>
          <w:sz w:val="24"/>
          <w:szCs w:val="24"/>
        </w:rPr>
        <w:t>____</w:t>
      </w:r>
      <w:r>
        <w:rPr>
          <w:sz w:val="24"/>
          <w:szCs w:val="24"/>
        </w:rPr>
        <w:t xml:space="preserve"> рублей </w:t>
      </w:r>
      <w:r>
        <w:rPr>
          <w:b/>
          <w:sz w:val="24"/>
          <w:szCs w:val="24"/>
        </w:rPr>
        <w:t xml:space="preserve">00 </w:t>
      </w:r>
      <w:r>
        <w:rPr>
          <w:sz w:val="24"/>
          <w:szCs w:val="24"/>
        </w:rPr>
        <w:t xml:space="preserve">копеек, в том числе НДС (22 %) в размере </w:t>
      </w:r>
      <w:r>
        <w:rPr>
          <w:b/>
          <w:sz w:val="24"/>
          <w:szCs w:val="24"/>
        </w:rPr>
        <w:t xml:space="preserve">СУММА </w:t>
      </w:r>
      <w:r>
        <w:rPr>
          <w:sz w:val="24"/>
          <w:szCs w:val="24"/>
        </w:rPr>
        <w:t xml:space="preserve">____рублей </w:t>
      </w:r>
      <w:r>
        <w:rPr>
          <w:b/>
          <w:sz w:val="24"/>
          <w:szCs w:val="24"/>
        </w:rPr>
        <w:t>00</w:t>
      </w:r>
      <w:r>
        <w:rPr>
          <w:sz w:val="24"/>
          <w:szCs w:val="24"/>
        </w:rPr>
        <w:t xml:space="preserve"> копеек.</w:t>
      </w:r>
      <w:r>
        <w:rPr>
          <w:b/>
          <w:sz w:val="24"/>
          <w:szCs w:val="24"/>
        </w:rPr>
        <w:t xml:space="preserve"> </w:t>
      </w:r>
    </w:p>
    <w:p>
      <w:pPr>
        <w:pStyle w:val="Normal"/>
        <w:widowControl w:val="false"/>
        <w:numPr>
          <w:ilvl w:val="0"/>
          <w:numId w:val="20"/>
        </w:numPr>
        <w:tabs>
          <w:tab w:val="left" w:pos="720" w:leader="none"/>
        </w:tabs>
        <w:spacing w:before="120" w:after="120"/>
        <w:ind w:left="0" w:firstLine="284"/>
        <w:jc w:val="both"/>
        <w:rPr>
          <w:sz w:val="24"/>
          <w:szCs w:val="24"/>
        </w:rPr>
      </w:pPr>
      <w:r>
        <w:rPr>
          <w:sz w:val="24"/>
          <w:szCs w:val="24"/>
        </w:rPr>
        <w:t xml:space="preserve">Срок поставки Продукции: </w:t>
      </w:r>
      <w:r>
        <w:rPr>
          <w:sz w:val="24"/>
          <w:szCs w:val="24"/>
        </w:rPr>
        <w:t>с 01.02.2027 года по 26.02.2026 года</w:t>
      </w:r>
      <w:r>
        <w:rPr>
          <w:sz w:val="24"/>
          <w:szCs w:val="24"/>
        </w:rPr>
        <w:t>.</w:t>
      </w:r>
    </w:p>
    <w:p>
      <w:pPr>
        <w:pStyle w:val="Normal"/>
        <w:widowControl w:val="false"/>
        <w:numPr>
          <w:ilvl w:val="0"/>
          <w:numId w:val="21"/>
        </w:numPr>
        <w:tabs>
          <w:tab w:val="left" w:pos="720" w:leader="none"/>
        </w:tabs>
        <w:spacing w:before="120" w:after="120"/>
        <w:ind w:left="0" w:firstLine="284"/>
        <w:jc w:val="both"/>
        <w:rPr>
          <w:sz w:val="24"/>
          <w:szCs w:val="24"/>
        </w:rPr>
      </w:pPr>
      <w:r>
        <w:rPr>
          <w:sz w:val="24"/>
          <w:szCs w:val="24"/>
        </w:rPr>
        <w:t>Иные условия, предусмотренные техническими требованиями.</w:t>
      </w:r>
    </w:p>
    <w:p>
      <w:pPr>
        <w:pStyle w:val="Normal"/>
        <w:widowControl w:val="false"/>
        <w:numPr>
          <w:ilvl w:val="0"/>
          <w:numId w:val="22"/>
        </w:numPr>
        <w:tabs>
          <w:tab w:val="left" w:pos="720" w:leader="none"/>
        </w:tabs>
        <w:spacing w:before="120" w:after="120"/>
        <w:ind w:left="0" w:firstLine="284"/>
        <w:jc w:val="both"/>
        <w:rPr>
          <w:sz w:val="24"/>
          <w:szCs w:val="24"/>
        </w:rPr>
      </w:pPr>
      <w:r>
        <w:rPr>
          <w:sz w:val="24"/>
          <w:szCs w:val="24"/>
        </w:rPr>
        <w:t>При оформлении счета-фактуры, товарной накладной Поставщик указывает следующие реквизиты:</w:t>
      </w:r>
    </w:p>
    <w:p>
      <w:pPr>
        <w:pStyle w:val="Normal"/>
        <w:rPr>
          <w:sz w:val="24"/>
          <w:szCs w:val="24"/>
          <w:u w:val="single"/>
        </w:rPr>
      </w:pPr>
      <w:r>
        <w:rPr>
          <w:sz w:val="24"/>
          <w:szCs w:val="24"/>
          <w:u w:val="single"/>
        </w:rPr>
        <w:t>Покупатель:</w:t>
      </w:r>
    </w:p>
    <w:p>
      <w:pPr>
        <w:pStyle w:val="Normal"/>
        <w:rPr>
          <w:sz w:val="24"/>
          <w:szCs w:val="24"/>
        </w:rPr>
      </w:pPr>
      <w:r>
        <w:rPr>
          <w:sz w:val="24"/>
          <w:szCs w:val="24"/>
        </w:rPr>
        <w:t>АО «Гидроремонт-ВКК», адрес покупателя: 603140, Нижегородская обл., г.о. город Нижний Новгород, г. Нижний Новгород, пер. Мотальный, д.8 помещ. ВП31, офис С1А, Воткинский филиал АО «Гидроремонт-ВКК» в г. Чайковский, ИНН 6345012488, КПП 592043001.</w:t>
      </w:r>
    </w:p>
    <w:p>
      <w:pPr>
        <w:pStyle w:val="Normal"/>
        <w:rPr>
          <w:sz w:val="24"/>
          <w:szCs w:val="24"/>
          <w:u w:val="single"/>
        </w:rPr>
      </w:pPr>
      <w:r>
        <w:rPr>
          <w:sz w:val="24"/>
          <w:szCs w:val="24"/>
          <w:u w:val="single"/>
        </w:rPr>
        <w:t>Грузополучатель:</w:t>
      </w:r>
    </w:p>
    <w:p>
      <w:pPr>
        <w:pStyle w:val="Normal"/>
        <w:rPr>
          <w:sz w:val="24"/>
          <w:szCs w:val="24"/>
        </w:rPr>
      </w:pPr>
      <w:r>
        <w:rPr>
          <w:sz w:val="24"/>
          <w:szCs w:val="24"/>
        </w:rPr>
        <w:t>Воткинский филиал АО «Гидроремонт-ВКК» в г. Чайковский, 617761, Российская Федера-ция, Пермский край, г. Чайковский, Воткинская ГЭС,д.1</w:t>
      </w:r>
    </w:p>
    <w:p>
      <w:pPr>
        <w:pStyle w:val="Normal"/>
        <w:rPr>
          <w:sz w:val="24"/>
          <w:szCs w:val="24"/>
          <w:u w:val="single"/>
        </w:rPr>
      </w:pPr>
      <w:r>
        <w:rPr>
          <w:sz w:val="24"/>
          <w:szCs w:val="24"/>
          <w:u w:val="single"/>
        </w:rPr>
        <w:t>Плательщик:</w:t>
      </w:r>
    </w:p>
    <w:p>
      <w:pPr>
        <w:pStyle w:val="Normal"/>
        <w:rPr>
          <w:sz w:val="24"/>
          <w:szCs w:val="24"/>
        </w:rPr>
      </w:pPr>
      <w:r>
        <w:rPr>
          <w:sz w:val="24"/>
          <w:szCs w:val="24"/>
        </w:rPr>
        <w:t>АО "Гидроремонт-ВКК", ИНН 6345012488, Россия, 603140, Нижегородская обл., г.о. город Нижний Новгород, г. Нижний Новгород, пер. Мотальный, д.8 помещ. ВП31, офис С1А, Воткинский филиал АО «Гидроремонт-ВКК» в г. Чайковский, тел./факс: +7(342)274-13-15, р/с 40702810800000060241, в Банк ГПБ (АО), г.Москва, БИК 044525823, к/с 30101810200000000823.</w:t>
      </w:r>
    </w:p>
    <w:p>
      <w:pPr>
        <w:pStyle w:val="Normal"/>
        <w:rPr>
          <w:sz w:val="24"/>
          <w:szCs w:val="24"/>
          <w:u w:val="single"/>
        </w:rPr>
      </w:pPr>
      <w:r>
        <w:rPr>
          <w:sz w:val="24"/>
          <w:szCs w:val="24"/>
          <w:u w:val="single"/>
        </w:rPr>
        <w:t>Грузополучатель:</w:t>
      </w:r>
    </w:p>
    <w:p>
      <w:pPr>
        <w:pStyle w:val="Normal"/>
        <w:rPr/>
      </w:pPr>
      <w:r>
        <w:rPr>
          <w:sz w:val="24"/>
          <w:szCs w:val="24"/>
        </w:rPr>
        <w:t>Воткинский филиал АО "Гидроремонт-ВКК" в г.Чайковский, ИНН 6345012488, КПП 592043001, 617761, Пермский край, Чайковский г, Воткинская ГЭС, тел./факс: +7(34241)46341</w:t>
      </w:r>
    </w:p>
    <w:tbl>
      <w:tblPr>
        <w:tblpPr w:bottomFromText="0" w:horzAnchor="margin" w:leftFromText="180" w:rightFromText="180" w:tblpX="0" w:tblpY="225" w:topFromText="0" w:vertAnchor="text"/>
        <w:tblW w:w="9571"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4785"/>
        <w:gridCol w:w="4785"/>
      </w:tblGrid>
      <w:tr>
        <w:trPr/>
        <w:tc>
          <w:tcPr>
            <w:tcW w:w="4785" w:type="dxa"/>
            <w:tcBorders/>
            <w:shd w:color="auto" w:fill="FFFFFF" w:themeFill="background1" w:val="clear"/>
          </w:tcPr>
          <w:p>
            <w:pPr>
              <w:pStyle w:val="Normal"/>
              <w:widowControl w:val="false"/>
              <w:suppressAutoHyphens w:val="false"/>
              <w:spacing w:before="0" w:after="120"/>
              <w:ind w:firstLine="567"/>
              <w:rPr>
                <w:sz w:val="22"/>
                <w:szCs w:val="24"/>
                <w:u w:val="single"/>
                <w:lang w:eastAsia="en-US"/>
              </w:rPr>
            </w:pPr>
            <w:r>
              <w:rPr>
                <w:b/>
                <w:sz w:val="24"/>
                <w:szCs w:val="24"/>
                <w:u w:val="single"/>
                <w:lang w:eastAsia="en-US"/>
              </w:rPr>
              <w:t>Покупатель</w:t>
            </w:r>
            <w:r>
              <w:rPr>
                <w:b/>
                <w:sz w:val="24"/>
                <w:szCs w:val="24"/>
                <w:u w:val="single"/>
                <w:lang w:val="en-US" w:eastAsia="en-US"/>
              </w:rPr>
              <w:t>:</w:t>
            </w:r>
          </w:p>
        </w:tc>
        <w:tc>
          <w:tcPr>
            <w:tcW w:w="4785" w:type="dxa"/>
            <w:tcBorders/>
            <w:shd w:color="auto" w:fill="FFFFFF" w:themeFill="background1" w:val="clear"/>
          </w:tcPr>
          <w:p>
            <w:pPr>
              <w:pStyle w:val="Normal"/>
              <w:widowControl w:val="false"/>
              <w:suppressAutoHyphens w:val="false"/>
              <w:spacing w:before="0" w:after="120"/>
              <w:ind w:firstLine="567"/>
              <w:rPr>
                <w:b/>
                <w:sz w:val="24"/>
                <w:szCs w:val="24"/>
                <w:u w:val="single"/>
                <w:lang w:eastAsia="en-US"/>
              </w:rPr>
            </w:pPr>
            <w:r>
              <w:rPr>
                <w:b/>
                <w:sz w:val="24"/>
                <w:szCs w:val="24"/>
                <w:u w:val="single"/>
                <w:lang w:eastAsia="en-US"/>
              </w:rPr>
              <w:t>Поставщик</w:t>
            </w:r>
            <w:r>
              <w:rPr>
                <w:b/>
                <w:sz w:val="24"/>
                <w:szCs w:val="24"/>
                <w:u w:val="single"/>
                <w:lang w:val="en-US" w:eastAsia="en-US"/>
              </w:rPr>
              <w:t>:</w:t>
            </w:r>
          </w:p>
          <w:p>
            <w:pPr>
              <w:pStyle w:val="Normal"/>
              <w:widowControl w:val="false"/>
              <w:suppressAutoHyphens w:val="false"/>
              <w:spacing w:before="0" w:after="120"/>
              <w:ind w:firstLine="567"/>
              <w:rPr>
                <w:sz w:val="22"/>
                <w:szCs w:val="24"/>
                <w:u w:val="single"/>
                <w:lang w:eastAsia="en-US"/>
              </w:rPr>
            </w:pPr>
            <w:r>
              <w:rPr>
                <w:sz w:val="22"/>
                <w:szCs w:val="24"/>
                <w:u w:val="single"/>
                <w:lang w:eastAsia="en-US"/>
              </w:rPr>
            </w:r>
          </w:p>
        </w:tc>
      </w:tr>
      <w:tr>
        <w:trPr/>
        <w:tc>
          <w:tcPr>
            <w:tcW w:w="4785" w:type="dxa"/>
            <w:tcBorders/>
            <w:shd w:color="auto" w:fill="FFFFFF" w:themeFill="background1" w:val="clear"/>
          </w:tcPr>
          <w:p>
            <w:pPr>
              <w:pStyle w:val="Normal"/>
              <w:widowControl w:val="false"/>
              <w:suppressAutoHyphens w:val="false"/>
              <w:spacing w:before="0" w:after="120"/>
              <w:ind w:firstLine="567"/>
              <w:rPr>
                <w:sz w:val="24"/>
                <w:szCs w:val="24"/>
                <w:lang w:eastAsia="en-US"/>
              </w:rPr>
            </w:pPr>
            <w:r>
              <w:rPr>
                <w:sz w:val="24"/>
                <w:szCs w:val="24"/>
                <w:lang w:eastAsia="en-US"/>
              </w:rPr>
              <w:t>_______________ / _____________ /</w:t>
            </w:r>
          </w:p>
          <w:p>
            <w:pPr>
              <w:pStyle w:val="Normal"/>
              <w:widowControl w:val="false"/>
              <w:suppressAutoHyphens w:val="false"/>
              <w:spacing w:before="0" w:after="120"/>
              <w:ind w:firstLine="567"/>
              <w:rPr>
                <w:sz w:val="22"/>
                <w:szCs w:val="24"/>
                <w:lang w:eastAsia="en-US"/>
              </w:rPr>
            </w:pPr>
            <w:r>
              <w:rPr>
                <w:sz w:val="24"/>
                <w:szCs w:val="24"/>
                <w:lang w:eastAsia="en-US"/>
              </w:rPr>
              <w:t>М.п.</w:t>
            </w:r>
          </w:p>
        </w:tc>
        <w:tc>
          <w:tcPr>
            <w:tcW w:w="4785" w:type="dxa"/>
            <w:tcBorders/>
            <w:shd w:color="auto" w:fill="FFFFFF" w:themeFill="background1" w:val="clear"/>
          </w:tcPr>
          <w:p>
            <w:pPr>
              <w:pStyle w:val="Normal"/>
              <w:widowControl w:val="false"/>
              <w:suppressAutoHyphens w:val="false"/>
              <w:spacing w:before="0" w:after="120"/>
              <w:ind w:firstLine="567"/>
              <w:rPr>
                <w:sz w:val="24"/>
                <w:szCs w:val="24"/>
                <w:lang w:eastAsia="en-US"/>
              </w:rPr>
            </w:pPr>
            <w:r>
              <w:rPr>
                <w:sz w:val="24"/>
                <w:szCs w:val="24"/>
                <w:lang w:eastAsia="en-US"/>
              </w:rPr>
              <w:t>_______________ / _____________ /</w:t>
            </w:r>
          </w:p>
          <w:p>
            <w:pPr>
              <w:pStyle w:val="Normal"/>
              <w:widowControl w:val="false"/>
              <w:suppressAutoHyphens w:val="false"/>
              <w:spacing w:before="0" w:after="120"/>
              <w:ind w:firstLine="567"/>
              <w:rPr>
                <w:sz w:val="22"/>
                <w:szCs w:val="24"/>
                <w:lang w:eastAsia="en-US"/>
              </w:rPr>
            </w:pPr>
            <w:r>
              <w:rPr>
                <w:sz w:val="24"/>
                <w:szCs w:val="24"/>
                <w:lang w:eastAsia="en-US"/>
              </w:rPr>
              <w:t>М.п.</w:t>
            </w:r>
          </w:p>
        </w:tc>
      </w:tr>
    </w:tbl>
    <w:p>
      <w:pPr>
        <w:sectPr>
          <w:headerReference w:type="default" r:id="rId5"/>
          <w:footerReference w:type="even" r:id="rId6"/>
          <w:footerReference w:type="default" r:id="rId7"/>
          <w:footerReference w:type="first" r:id="rId8"/>
          <w:footnotePr>
            <w:numFmt w:val="decimal"/>
          </w:footnotePr>
          <w:type w:val="nextPage"/>
          <w:pgSz w:w="11906" w:h="16838"/>
          <w:pgMar w:left="1134" w:right="709" w:gutter="0" w:header="454" w:top="567" w:footer="680" w:bottom="1134"/>
          <w:pgNumType w:fmt="decimal"/>
          <w:formProt w:val="false"/>
          <w:textDirection w:val="lrTb"/>
          <w:docGrid w:type="default" w:linePitch="272" w:charSpace="16384"/>
        </w:sectPr>
      </w:pPr>
    </w:p>
    <w:p>
      <w:pPr>
        <w:pStyle w:val="BodyText"/>
        <w:numPr>
          <w:ilvl w:val="0"/>
          <w:numId w:val="0"/>
        </w:numPr>
        <w:spacing w:before="0" w:after="120"/>
        <w:ind w:left="0" w:hanging="0"/>
        <w:jc w:val="right"/>
        <w:outlineLvl w:val="0"/>
        <w:rPr>
          <w:b/>
          <w:bCs/>
          <w:sz w:val="24"/>
          <w:szCs w:val="24"/>
        </w:rPr>
      </w:pPr>
      <w:r>
        <w:rPr>
          <w:b/>
          <w:bCs/>
          <w:sz w:val="24"/>
          <w:szCs w:val="24"/>
        </w:rPr>
      </w:r>
    </w:p>
    <w:p>
      <w:pPr>
        <w:pStyle w:val="BodyText"/>
        <w:numPr>
          <w:ilvl w:val="0"/>
          <w:numId w:val="0"/>
        </w:numPr>
        <w:spacing w:before="0" w:after="120"/>
        <w:ind w:left="0" w:hanging="0"/>
        <w:jc w:val="right"/>
        <w:outlineLvl w:val="0"/>
        <w:rPr>
          <w:b/>
          <w:bCs/>
          <w:sz w:val="24"/>
          <w:szCs w:val="24"/>
          <w:lang w:val="en-US"/>
        </w:rPr>
      </w:pPr>
      <w:r>
        <w:rPr>
          <w:b/>
          <w:bCs/>
          <w:sz w:val="24"/>
          <w:szCs w:val="24"/>
        </w:rPr>
        <w:t xml:space="preserve">Приложение № </w:t>
      </w:r>
      <w:r>
        <w:rPr>
          <w:b/>
          <w:bCs/>
          <w:sz w:val="24"/>
          <w:szCs w:val="24"/>
          <w:lang w:val="en-US"/>
        </w:rPr>
        <w:t>2</w:t>
      </w:r>
    </w:p>
    <w:p>
      <w:pPr>
        <w:pStyle w:val="BodyText"/>
        <w:spacing w:before="0" w:after="120"/>
        <w:ind w:firstLine="567"/>
        <w:jc w:val="right"/>
        <w:rPr>
          <w:bCs/>
          <w:sz w:val="24"/>
          <w:szCs w:val="24"/>
        </w:rPr>
      </w:pPr>
      <w:r>
        <w:rPr>
          <w:bCs/>
          <w:sz w:val="24"/>
          <w:szCs w:val="24"/>
        </w:rPr>
        <w:t xml:space="preserve">к договору поставки №-Вот/пос-26 </w:t>
      </w:r>
    </w:p>
    <w:p>
      <w:pPr>
        <w:pStyle w:val="BodyText"/>
        <w:spacing w:before="0" w:after="360"/>
        <w:ind w:firstLine="567"/>
        <w:jc w:val="right"/>
        <w:rPr>
          <w:bCs/>
          <w:sz w:val="24"/>
          <w:szCs w:val="24"/>
        </w:rPr>
      </w:pPr>
      <w:r>
        <w:rPr>
          <w:bCs/>
          <w:sz w:val="24"/>
          <w:szCs w:val="24"/>
        </w:rPr>
        <w:t>от «  »         20</w:t>
      </w:r>
      <w:r>
        <w:rPr>
          <w:bCs/>
          <w:sz w:val="24"/>
          <w:szCs w:val="24"/>
          <w:u w:val="single"/>
        </w:rPr>
        <w:t xml:space="preserve">   </w:t>
      </w:r>
      <w:r>
        <w:rPr>
          <w:bCs/>
          <w:sz w:val="24"/>
          <w:szCs w:val="24"/>
        </w:rPr>
        <w:t xml:space="preserve"> г.</w:t>
      </w:r>
    </w:p>
    <w:p>
      <w:pPr>
        <w:pStyle w:val="Normal"/>
        <w:spacing w:before="0" w:after="120"/>
        <w:jc w:val="center"/>
        <w:rPr>
          <w:sz w:val="24"/>
          <w:szCs w:val="24"/>
        </w:rPr>
      </w:pPr>
      <w:r>
        <w:rPr>
          <w:sz w:val="24"/>
          <w:szCs w:val="24"/>
        </w:rPr>
      </w:r>
    </w:p>
    <w:p>
      <w:pPr>
        <w:pStyle w:val="Normal"/>
        <w:spacing w:before="0" w:after="120"/>
        <w:jc w:val="center"/>
        <w:rPr>
          <w:sz w:val="24"/>
          <w:szCs w:val="24"/>
        </w:rPr>
      </w:pPr>
      <w:r>
        <w:rPr>
          <w:sz w:val="24"/>
          <w:szCs w:val="24"/>
        </w:rPr>
      </w:r>
    </w:p>
    <w:p>
      <w:pPr>
        <w:pStyle w:val="Normal"/>
        <w:spacing w:before="0" w:after="120"/>
        <w:jc w:val="center"/>
        <w:rPr>
          <w:sz w:val="24"/>
          <w:szCs w:val="24"/>
        </w:rPr>
      </w:pPr>
      <w:r>
        <w:rPr>
          <w:sz w:val="24"/>
          <w:szCs w:val="24"/>
        </w:rPr>
        <w:t>ТЕХНИЧЕСКИЕ ТРЕБОВАНИЯ</w:t>
      </w:r>
    </w:p>
    <w:p>
      <w:pPr>
        <w:pStyle w:val="Normal"/>
        <w:ind w:left="360" w:hanging="360"/>
        <w:jc w:val="center"/>
        <w:rPr>
          <w:b/>
          <w:sz w:val="24"/>
          <w:szCs w:val="24"/>
        </w:rPr>
      </w:pPr>
      <w:r>
        <w:rPr>
          <w:b/>
          <w:sz w:val="24"/>
          <w:szCs w:val="24"/>
        </w:rPr>
        <w:t xml:space="preserve">на поставку </w:t>
      </w:r>
    </w:p>
    <w:p>
      <w:pPr>
        <w:pStyle w:val="Normal"/>
        <w:ind w:left="360" w:hanging="360"/>
        <w:jc w:val="center"/>
        <w:rPr>
          <w:b/>
          <w:sz w:val="24"/>
          <w:szCs w:val="24"/>
        </w:rPr>
      </w:pPr>
      <w:r>
        <w:rPr>
          <w:b/>
          <w:sz w:val="24"/>
          <w:szCs w:val="24"/>
        </w:rPr>
      </w:r>
    </w:p>
    <w:p>
      <w:pPr>
        <w:pStyle w:val="Normal"/>
        <w:ind w:left="360" w:hanging="360"/>
        <w:jc w:val="center"/>
        <w:rPr>
          <w:b/>
          <w:sz w:val="24"/>
          <w:szCs w:val="24"/>
        </w:rPr>
      </w:pPr>
      <w:r>
        <w:rPr>
          <w:b/>
          <w:sz w:val="24"/>
          <w:szCs w:val="24"/>
        </w:rPr>
      </w:r>
    </w:p>
    <w:p>
      <w:pPr>
        <w:pStyle w:val="Normal"/>
        <w:ind w:left="360" w:hanging="360"/>
        <w:jc w:val="center"/>
        <w:rPr>
          <w:b/>
          <w:sz w:val="24"/>
          <w:szCs w:val="24"/>
        </w:rPr>
      </w:pPr>
      <w:r>
        <w:rPr>
          <w:b/>
          <w:sz w:val="24"/>
          <w:szCs w:val="24"/>
        </w:rPr>
      </w:r>
    </w:p>
    <w:p>
      <w:pPr>
        <w:pStyle w:val="Normal"/>
        <w:ind w:left="360" w:hanging="360"/>
        <w:jc w:val="center"/>
        <w:rPr>
          <w:b/>
          <w:sz w:val="24"/>
          <w:szCs w:val="24"/>
        </w:rPr>
      </w:pPr>
      <w:r>
        <w:rPr>
          <w:b/>
          <w:sz w:val="24"/>
          <w:szCs w:val="24"/>
        </w:rPr>
      </w:r>
    </w:p>
    <w:p>
      <w:pPr>
        <w:pStyle w:val="Normal"/>
        <w:ind w:left="360" w:hanging="360"/>
        <w:jc w:val="center"/>
        <w:rPr>
          <w:b/>
          <w:sz w:val="24"/>
          <w:szCs w:val="24"/>
        </w:rPr>
      </w:pPr>
      <w:r>
        <w:rPr>
          <w:b/>
          <w:sz w:val="24"/>
          <w:szCs w:val="24"/>
        </w:rPr>
      </w:r>
    </w:p>
    <w:p>
      <w:pPr>
        <w:pStyle w:val="Normal"/>
        <w:ind w:left="360" w:hanging="360"/>
        <w:jc w:val="center"/>
        <w:rPr>
          <w:b/>
          <w:sz w:val="24"/>
          <w:szCs w:val="24"/>
        </w:rPr>
      </w:pPr>
      <w:r>
        <w:rPr>
          <w:b/>
          <w:sz w:val="24"/>
          <w:szCs w:val="24"/>
        </w:rPr>
      </w:r>
    </w:p>
    <w:p>
      <w:pPr>
        <w:pStyle w:val="Normal"/>
        <w:ind w:left="360" w:hanging="360"/>
        <w:jc w:val="center"/>
        <w:rPr>
          <w:b/>
          <w:sz w:val="24"/>
          <w:szCs w:val="24"/>
        </w:rPr>
      </w:pPr>
      <w:r>
        <w:rPr>
          <w:b/>
          <w:sz w:val="24"/>
          <w:szCs w:val="24"/>
        </w:rPr>
      </w:r>
    </w:p>
    <w:p>
      <w:pPr>
        <w:pStyle w:val="Normal"/>
        <w:ind w:left="360" w:hanging="360"/>
        <w:jc w:val="center"/>
        <w:rPr>
          <w:b/>
          <w:sz w:val="24"/>
          <w:szCs w:val="24"/>
        </w:rPr>
      </w:pPr>
      <w:r>
        <w:rPr>
          <w:b/>
          <w:sz w:val="24"/>
          <w:szCs w:val="24"/>
        </w:rPr>
      </w:r>
    </w:p>
    <w:p>
      <w:pPr>
        <w:pStyle w:val="Normal"/>
        <w:ind w:left="360" w:hanging="360"/>
        <w:jc w:val="center"/>
        <w:rPr>
          <w:b/>
          <w:sz w:val="24"/>
          <w:szCs w:val="24"/>
        </w:rPr>
      </w:pPr>
      <w:r>
        <w:rPr>
          <w:b/>
          <w:sz w:val="24"/>
          <w:szCs w:val="24"/>
        </w:rPr>
      </w:r>
    </w:p>
    <w:p>
      <w:pPr>
        <w:pStyle w:val="Normal"/>
        <w:ind w:left="360" w:hanging="360"/>
        <w:jc w:val="center"/>
        <w:rPr>
          <w:b/>
          <w:sz w:val="24"/>
          <w:szCs w:val="24"/>
        </w:rPr>
      </w:pPr>
      <w:r>
        <w:rPr>
          <w:b/>
          <w:sz w:val="24"/>
          <w:szCs w:val="24"/>
        </w:rPr>
      </w:r>
    </w:p>
    <w:tbl>
      <w:tblPr>
        <w:tblpPr w:vertAnchor="text" w:horzAnchor="margin" w:leftFromText="180" w:rightFromText="180" w:tblpX="0" w:tblpY="225"/>
        <w:tblW w:w="9571"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4785"/>
        <w:gridCol w:w="4785"/>
      </w:tblGrid>
      <w:tr>
        <w:trPr/>
        <w:tc>
          <w:tcPr>
            <w:tcW w:w="4785" w:type="dxa"/>
            <w:tcBorders/>
            <w:shd w:color="auto" w:fill="FFFFFF" w:themeFill="background1" w:val="clear"/>
          </w:tcPr>
          <w:p>
            <w:pPr>
              <w:pStyle w:val="Normal"/>
              <w:widowControl w:val="false"/>
              <w:suppressAutoHyphens w:val="false"/>
              <w:spacing w:before="0" w:after="120"/>
              <w:ind w:firstLine="567"/>
              <w:rPr>
                <w:sz w:val="22"/>
                <w:szCs w:val="24"/>
                <w:u w:val="single"/>
                <w:lang w:eastAsia="en-US"/>
              </w:rPr>
            </w:pPr>
            <w:r>
              <w:rPr>
                <w:b/>
                <w:sz w:val="24"/>
                <w:szCs w:val="24"/>
                <w:u w:val="single"/>
                <w:lang w:eastAsia="en-US"/>
              </w:rPr>
              <w:t>Покупатель</w:t>
            </w:r>
            <w:r>
              <w:rPr>
                <w:b/>
                <w:sz w:val="24"/>
                <w:szCs w:val="24"/>
                <w:u w:val="single"/>
                <w:lang w:val="en-US" w:eastAsia="en-US"/>
              </w:rPr>
              <w:t>:</w:t>
            </w:r>
          </w:p>
        </w:tc>
        <w:tc>
          <w:tcPr>
            <w:tcW w:w="4785" w:type="dxa"/>
            <w:tcBorders/>
            <w:shd w:color="auto" w:fill="FFFFFF" w:themeFill="background1" w:val="clear"/>
          </w:tcPr>
          <w:p>
            <w:pPr>
              <w:pStyle w:val="Normal"/>
              <w:widowControl w:val="false"/>
              <w:suppressAutoHyphens w:val="false"/>
              <w:spacing w:before="0" w:after="120"/>
              <w:ind w:firstLine="567"/>
              <w:rPr>
                <w:b/>
                <w:sz w:val="24"/>
                <w:szCs w:val="24"/>
                <w:u w:val="single"/>
                <w:lang w:eastAsia="en-US"/>
              </w:rPr>
            </w:pPr>
            <w:r>
              <w:rPr>
                <w:b/>
                <w:sz w:val="24"/>
                <w:szCs w:val="24"/>
                <w:u w:val="single"/>
                <w:lang w:eastAsia="en-US"/>
              </w:rPr>
              <w:t>Поставщик</w:t>
            </w:r>
            <w:r>
              <w:rPr>
                <w:b/>
                <w:sz w:val="24"/>
                <w:szCs w:val="24"/>
                <w:u w:val="single"/>
                <w:lang w:val="en-US" w:eastAsia="en-US"/>
              </w:rPr>
              <w:t>:</w:t>
            </w:r>
          </w:p>
          <w:p>
            <w:pPr>
              <w:pStyle w:val="Normal"/>
              <w:widowControl w:val="false"/>
              <w:suppressAutoHyphens w:val="false"/>
              <w:spacing w:before="0" w:after="120"/>
              <w:ind w:firstLine="567"/>
              <w:rPr>
                <w:sz w:val="22"/>
                <w:szCs w:val="24"/>
                <w:u w:val="single"/>
                <w:lang w:eastAsia="en-US"/>
              </w:rPr>
            </w:pPr>
            <w:r>
              <w:rPr>
                <w:sz w:val="22"/>
                <w:szCs w:val="24"/>
                <w:u w:val="single"/>
                <w:lang w:eastAsia="en-US"/>
              </w:rPr>
            </w:r>
          </w:p>
        </w:tc>
      </w:tr>
      <w:tr>
        <w:trPr/>
        <w:tc>
          <w:tcPr>
            <w:tcW w:w="4785" w:type="dxa"/>
            <w:tcBorders/>
            <w:shd w:color="auto" w:fill="FFFFFF" w:themeFill="background1" w:val="clear"/>
          </w:tcPr>
          <w:p>
            <w:pPr>
              <w:pStyle w:val="Normal"/>
              <w:widowControl w:val="false"/>
              <w:suppressAutoHyphens w:val="false"/>
              <w:spacing w:before="0" w:after="120"/>
              <w:ind w:firstLine="567"/>
              <w:rPr>
                <w:sz w:val="24"/>
                <w:szCs w:val="24"/>
                <w:lang w:eastAsia="en-US"/>
              </w:rPr>
            </w:pPr>
            <w:r>
              <w:rPr>
                <w:sz w:val="24"/>
                <w:szCs w:val="24"/>
                <w:lang w:eastAsia="en-US"/>
              </w:rPr>
              <w:t>_______________ / _____________ /</w:t>
            </w:r>
          </w:p>
          <w:p>
            <w:pPr>
              <w:pStyle w:val="Normal"/>
              <w:widowControl w:val="false"/>
              <w:suppressAutoHyphens w:val="false"/>
              <w:spacing w:before="0" w:after="120"/>
              <w:ind w:firstLine="567"/>
              <w:rPr>
                <w:sz w:val="22"/>
                <w:szCs w:val="24"/>
                <w:lang w:eastAsia="en-US"/>
              </w:rPr>
            </w:pPr>
            <w:r>
              <w:rPr>
                <w:sz w:val="24"/>
                <w:szCs w:val="24"/>
                <w:lang w:eastAsia="en-US"/>
              </w:rPr>
              <w:t>М.п.</w:t>
            </w:r>
          </w:p>
        </w:tc>
        <w:tc>
          <w:tcPr>
            <w:tcW w:w="4785" w:type="dxa"/>
            <w:tcBorders/>
            <w:shd w:color="auto" w:fill="FFFFFF" w:themeFill="background1" w:val="clear"/>
          </w:tcPr>
          <w:p>
            <w:pPr>
              <w:pStyle w:val="Normal"/>
              <w:widowControl w:val="false"/>
              <w:suppressAutoHyphens w:val="false"/>
              <w:spacing w:before="0" w:after="120"/>
              <w:ind w:firstLine="567"/>
              <w:rPr>
                <w:sz w:val="24"/>
                <w:szCs w:val="24"/>
                <w:lang w:eastAsia="en-US"/>
              </w:rPr>
            </w:pPr>
            <w:r>
              <w:rPr>
                <w:sz w:val="24"/>
                <w:szCs w:val="24"/>
                <w:lang w:eastAsia="en-US"/>
              </w:rPr>
              <w:t>_______________ / _____________ /</w:t>
            </w:r>
          </w:p>
          <w:p>
            <w:pPr>
              <w:pStyle w:val="Normal"/>
              <w:widowControl w:val="false"/>
              <w:suppressAutoHyphens w:val="false"/>
              <w:spacing w:before="0" w:after="120"/>
              <w:ind w:firstLine="567"/>
              <w:rPr>
                <w:sz w:val="22"/>
                <w:szCs w:val="24"/>
                <w:lang w:eastAsia="en-US"/>
              </w:rPr>
            </w:pPr>
            <w:r>
              <w:rPr>
                <w:sz w:val="24"/>
                <w:szCs w:val="24"/>
                <w:lang w:eastAsia="en-US"/>
              </w:rPr>
              <w:t>М.п.</w:t>
            </w:r>
          </w:p>
        </w:tc>
      </w:tr>
    </w:tbl>
    <w:p>
      <w:pPr>
        <w:pStyle w:val="Normal"/>
        <w:spacing w:lineRule="auto" w:line="360"/>
        <w:rPr>
          <w:rFonts w:eastAsia="Calibri"/>
          <w:sz w:val="24"/>
          <w:szCs w:val="24"/>
        </w:rPr>
      </w:pPr>
      <w:r>
        <w:rPr/>
      </w:r>
    </w:p>
    <w:sectPr>
      <w:headerReference w:type="default" r:id="rId9"/>
      <w:headerReference w:type="first" r:id="rId10"/>
      <w:footerReference w:type="default" r:id="rId11"/>
      <w:footerReference w:type="first" r:id="rId12"/>
      <w:footnotePr>
        <w:numFmt w:val="decimal"/>
      </w:footnotePr>
      <w:type w:val="nextPage"/>
      <w:pgSz w:w="11906" w:h="16838"/>
      <w:pgMar w:left="851" w:right="851" w:gutter="0" w:header="284" w:top="851" w:footer="709" w:bottom="1701"/>
      <w:pgNumType w:fmt="decimal"/>
      <w:formProt w:val="false"/>
      <w:textDirection w:val="lrTb"/>
      <w:docGrid w:type="default" w:linePitch="36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Tahoma">
    <w:charset w:val="01"/>
    <w:family w:val="roman"/>
    <w:pitch w:val="variable"/>
  </w:font>
  <w:font w:name="Calibri">
    <w:charset w:val="01"/>
    <w:family w:val="roman"/>
    <w:pitch w:val="variable"/>
  </w:font>
  <w:font w:name="Liberation Sans">
    <w:altName w:val="Arial"/>
    <w:charset w:val="01"/>
    <w:family w:val="roman"/>
    <w:pitch w:val="variable"/>
  </w:font>
  <w:font w:name="Courier New">
    <w:charset w:val="01"/>
    <w:family w:val="roman"/>
    <w:pitch w:val="variable"/>
  </w:font>
  <w:font w:name="Verdana">
    <w:charset w:val="01"/>
    <w:family w:val="roman"/>
    <w:pitch w:val="variable"/>
  </w:font>
  <w:font w:name="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Tahom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2">
              <wp:simplePos x="0" y="0"/>
              <wp:positionH relativeFrom="margin">
                <wp:align>right</wp:align>
              </wp:positionH>
              <wp:positionV relativeFrom="paragraph">
                <wp:posOffset>635</wp:posOffset>
              </wp:positionV>
              <wp:extent cx="14605" cy="14605"/>
              <wp:effectExtent l="0" t="0" r="0" b="0"/>
              <wp:wrapSquare wrapText="bothSides"/>
              <wp:docPr id="1" name="Врезка3"/>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3"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575" w:hanging="0"/>
      <w:rPr/>
    </w:pPr>
    <w:r>
      <w:rPr/>
      <mc:AlternateContent>
        <mc:Choice Requires="wps">
          <w:drawing>
            <wp:anchor behindDoc="1" distT="0" distB="0" distL="0" distR="0" simplePos="0" locked="0" layoutInCell="0" allowOverlap="1" relativeHeight="40">
              <wp:simplePos x="0" y="0"/>
              <wp:positionH relativeFrom="page">
                <wp:posOffset>10033000</wp:posOffset>
              </wp:positionH>
              <wp:positionV relativeFrom="paragraph">
                <wp:posOffset>144780</wp:posOffset>
              </wp:positionV>
              <wp:extent cx="908685" cy="145415"/>
              <wp:effectExtent l="0" t="0" r="0" b="0"/>
              <wp:wrapSquare wrapText="bothSides"/>
              <wp:docPr id="3" name="Врезка4"/>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16</w:t>
                          </w:r>
                          <w:r>
                            <w:rPr>
                              <w:rStyle w:val="Pagenumber"/>
                              <w:color w:val="000000"/>
                            </w:rPr>
                            <w:fldChar w:fldCharType="end"/>
                          </w:r>
                        </w:p>
                      </w:txbxContent>
                    </wps:txbx>
                    <wps:bodyPr lIns="0" rIns="0" tIns="0" bIns="0" anchor="t">
                      <a:spAutoFit/>
                    </wps:bodyPr>
                  </wps:wsp>
                </a:graphicData>
              </a:graphic>
            </wp:anchor>
          </w:drawing>
        </mc:Choice>
        <mc:Fallback>
          <w:pict>
            <v:rect id="shape_0" ID="Врезка4" path="m0,0l-2147483645,0l-2147483645,-2147483646l0,-2147483646xe" stroked="f" o:allowincell="f" style="position:absolute;margin-left:790pt;margin-top:11.4pt;width:71.5pt;height:11.4pt;mso-wrap-style:square;v-text-anchor:top;mso-position-horizontal-relative:page">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16</w:t>
                    </w:r>
                    <w:r>
                      <w:rPr>
                        <w:rStyle w:val="Pagenumber"/>
                        <w:color w:val="000000"/>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575" w:hanging="0"/>
      <w:rPr/>
    </w:pPr>
    <w:r>
      <w:rPr/>
      <mc:AlternateContent>
        <mc:Choice Requires="wps">
          <w:drawing>
            <wp:anchor behindDoc="1" distT="0" distB="0" distL="0" distR="0" simplePos="0" locked="0" layoutInCell="0" allowOverlap="1" relativeHeight="40">
              <wp:simplePos x="0" y="0"/>
              <wp:positionH relativeFrom="page">
                <wp:posOffset>10033000</wp:posOffset>
              </wp:positionH>
              <wp:positionV relativeFrom="paragraph">
                <wp:posOffset>144780</wp:posOffset>
              </wp:positionV>
              <wp:extent cx="908685" cy="145415"/>
              <wp:effectExtent l="0" t="0" r="0" b="0"/>
              <wp:wrapSquare wrapText="bothSides"/>
              <wp:docPr id="5" name="Врезка4"/>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16</w:t>
                          </w:r>
                          <w:r>
                            <w:rPr>
                              <w:rStyle w:val="Pagenumber"/>
                              <w:color w:val="000000"/>
                            </w:rPr>
                            <w:fldChar w:fldCharType="end"/>
                          </w:r>
                        </w:p>
                      </w:txbxContent>
                    </wps:txbx>
                    <wps:bodyPr lIns="0" rIns="0" tIns="0" bIns="0" anchor="t">
                      <a:spAutoFit/>
                    </wps:bodyPr>
                  </wps:wsp>
                </a:graphicData>
              </a:graphic>
            </wp:anchor>
          </w:drawing>
        </mc:Choice>
        <mc:Fallback>
          <w:pict>
            <v:rect id="shape_0" ID="Врезка4" path="m0,0l-2147483645,0l-2147483645,-2147483646l0,-2147483646xe" stroked="f" o:allowincell="f" style="position:absolute;margin-left:790pt;margin-top:11.4pt;width:71.5pt;height:11.4pt;mso-wrap-style:square;v-text-anchor:top;mso-position-horizontal-relative:page">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16</w:t>
                    </w:r>
                    <w:r>
                      <w:rPr>
                        <w:rStyle w:val="Pagenumber"/>
                        <w:color w:val="000000"/>
                      </w:rPr>
                      <w:fldChar w:fldCharType="end"/>
                    </w:r>
                  </w:p>
                </w:txbxContent>
              </v:textbox>
              <w10:wrap type="squar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575" w:hanging="0"/>
      <w:rPr/>
    </w:pPr>
    <w:r>
      <w:rPr/>
      <mc:AlternateContent>
        <mc:Choice Requires="wps">
          <w:drawing>
            <wp:anchor behindDoc="1" distT="0" distB="0" distL="0" distR="0" simplePos="0" locked="0" layoutInCell="0" allowOverlap="1" relativeHeight="42">
              <wp:simplePos x="0" y="0"/>
              <wp:positionH relativeFrom="page">
                <wp:posOffset>10033000</wp:posOffset>
              </wp:positionH>
              <wp:positionV relativeFrom="paragraph">
                <wp:posOffset>144780</wp:posOffset>
              </wp:positionV>
              <wp:extent cx="908685" cy="145415"/>
              <wp:effectExtent l="0" t="0" r="0" b="0"/>
              <wp:wrapSquare wrapText="bothSides"/>
              <wp:docPr id="7" name="Врезка7"/>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20</w:t>
                          </w:r>
                          <w:r>
                            <w:rPr>
                              <w:rStyle w:val="Pagenumber"/>
                              <w:color w:val="000000"/>
                            </w:rPr>
                            <w:fldChar w:fldCharType="end"/>
                          </w:r>
                        </w:p>
                      </w:txbxContent>
                    </wps:txbx>
                    <wps:bodyPr lIns="0" rIns="0" tIns="0" bIns="0" anchor="t">
                      <a:spAutoFit/>
                    </wps:bodyPr>
                  </wps:wsp>
                </a:graphicData>
              </a:graphic>
            </wp:anchor>
          </w:drawing>
        </mc:Choice>
        <mc:Fallback>
          <w:pict>
            <v:rect id="shape_0" ID="Врезка7" path="m0,0l-2147483645,0l-2147483645,-2147483646l0,-2147483646xe" stroked="f" o:allowincell="f" style="position:absolute;margin-left:790pt;margin-top:11.4pt;width:71.5pt;height:11.4pt;mso-wrap-style:square;v-text-anchor:top;mso-position-horizontal-relative:page">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20</w:t>
                    </w:r>
                    <w:r>
                      <w:rPr>
                        <w:rStyle w:val="Pagenumber"/>
                        <w:color w:val="000000"/>
                      </w:rPr>
                      <w:fldChar w:fldCharType="end"/>
                    </w:r>
                  </w:p>
                </w:txbxContent>
              </v:textbox>
              <w10:wrap type="square"/>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9"/>
        </w:rPr>
        <w:footnoteRef/>
      </w:r>
      <w:r>
        <w:rPr/>
        <w:t xml:space="preserve"> </w:t>
      </w:r>
      <w:r>
        <w:rPr/>
        <w:t>НДС не облагается (уведомление о возможности применения упрощенной системы налогообложения №___________от___________) – в случае если контрагент применяет УСНО (форма ФНС № 26.2-2)</w:t>
      </w:r>
    </w:p>
  </w:footnote>
  <w:footnote w:id="3">
    <w:p>
      <w:pPr>
        <w:pStyle w:val="FootnoteText"/>
        <w:rPr/>
      </w:pPr>
      <w:r>
        <w:rPr>
          <w:rStyle w:val="Style9"/>
        </w:rPr>
        <w:footnoteRef/>
      </w:r>
      <w:r>
        <w:rPr/>
        <w:t xml:space="preserve"> </w:t>
      </w:r>
      <w:r>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p>
    <w:pPr>
      <w:pStyle w:val="Header"/>
      <w:jc w:val="right"/>
      <w:rPr/>
    </w:pPr>
    <w:r>
      <w:rPr/>
    </w:r>
  </w:p>
  <w:p>
    <w:pPr>
      <w:pStyle w:val="Header"/>
      <w:jc w:val="right"/>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p>
    <w:pPr>
      <w:pStyle w:val="Header"/>
      <w:jc w:val="right"/>
      <w:rPr/>
    </w:pPr>
    <w:r>
      <w:rPr/>
    </w:r>
  </w:p>
  <w:p>
    <w:pPr>
      <w:pStyle w:val="Header"/>
      <w:jc w:val="righ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2">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4">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5">
    <w:lvl w:ilvl="0">
      <w:start w:val="1"/>
      <w:numFmt w:val="bullet"/>
      <w:lvlText w:val=""/>
      <w:lvlJc w:val="left"/>
      <w:pPr>
        <w:tabs>
          <w:tab w:val="num" w:pos="927"/>
        </w:tabs>
        <w:ind w:left="927" w:hanging="360"/>
      </w:pPr>
      <w:rPr>
        <w:rFonts w:ascii="Symbol" w:hAnsi="Symbol" w:cs="Symbol" w:hint="default"/>
      </w:rPr>
    </w:lvl>
    <w:lvl w:ilvl="1">
      <w:start w:val="1"/>
      <w:numFmt w:val="bullet"/>
      <w:lvlText w:val="o"/>
      <w:lvlJc w:val="left"/>
      <w:pPr>
        <w:tabs>
          <w:tab w:val="num" w:pos="1014"/>
        </w:tabs>
        <w:ind w:left="1014" w:hanging="360"/>
      </w:pPr>
      <w:rPr>
        <w:rFonts w:ascii="Courier New" w:hAnsi="Courier New" w:cs="Courier New" w:hint="default"/>
      </w:rPr>
    </w:lvl>
    <w:lvl w:ilvl="2">
      <w:start w:val="1"/>
      <w:numFmt w:val="bullet"/>
      <w:lvlText w:val=""/>
      <w:lvlJc w:val="left"/>
      <w:pPr>
        <w:tabs>
          <w:tab w:val="num" w:pos="1734"/>
        </w:tabs>
        <w:ind w:left="1734" w:hanging="360"/>
      </w:pPr>
      <w:rPr>
        <w:rFonts w:ascii="Wingdings" w:hAnsi="Wingdings" w:cs="Wingdings" w:hint="default"/>
      </w:rPr>
    </w:lvl>
    <w:lvl w:ilvl="3">
      <w:start w:val="1"/>
      <w:numFmt w:val="bullet"/>
      <w:lvlText w:val=""/>
      <w:lvlJc w:val="left"/>
      <w:pPr>
        <w:tabs>
          <w:tab w:val="num" w:pos="2454"/>
        </w:tabs>
        <w:ind w:left="2454" w:hanging="360"/>
      </w:pPr>
      <w:rPr>
        <w:rFonts w:ascii="Symbol" w:hAnsi="Symbol" w:cs="Symbol" w:hint="default"/>
      </w:rPr>
    </w:lvl>
    <w:lvl w:ilvl="4">
      <w:start w:val="1"/>
      <w:numFmt w:val="bullet"/>
      <w:lvlText w:val="o"/>
      <w:lvlJc w:val="left"/>
      <w:pPr>
        <w:tabs>
          <w:tab w:val="num" w:pos="3174"/>
        </w:tabs>
        <w:ind w:left="3174" w:hanging="360"/>
      </w:pPr>
      <w:rPr>
        <w:rFonts w:ascii="Courier New" w:hAnsi="Courier New" w:cs="Courier New" w:hint="default"/>
      </w:rPr>
    </w:lvl>
    <w:lvl w:ilvl="5">
      <w:start w:val="1"/>
      <w:numFmt w:val="bullet"/>
      <w:lvlText w:val=""/>
      <w:lvlJc w:val="left"/>
      <w:pPr>
        <w:tabs>
          <w:tab w:val="num" w:pos="3894"/>
        </w:tabs>
        <w:ind w:left="3894" w:hanging="360"/>
      </w:pPr>
      <w:rPr>
        <w:rFonts w:ascii="Wingdings" w:hAnsi="Wingdings" w:cs="Wingdings" w:hint="default"/>
      </w:rPr>
    </w:lvl>
    <w:lvl w:ilvl="6">
      <w:start w:val="1"/>
      <w:numFmt w:val="bullet"/>
      <w:lvlText w:val=""/>
      <w:lvlJc w:val="left"/>
      <w:pPr>
        <w:tabs>
          <w:tab w:val="num" w:pos="4614"/>
        </w:tabs>
        <w:ind w:left="4614" w:hanging="360"/>
      </w:pPr>
      <w:rPr>
        <w:rFonts w:ascii="Symbol" w:hAnsi="Symbol" w:cs="Symbol" w:hint="default"/>
      </w:rPr>
    </w:lvl>
    <w:lvl w:ilvl="7">
      <w:start w:val="1"/>
      <w:numFmt w:val="bullet"/>
      <w:lvlText w:val="o"/>
      <w:lvlJc w:val="left"/>
      <w:pPr>
        <w:tabs>
          <w:tab w:val="num" w:pos="5334"/>
        </w:tabs>
        <w:ind w:left="5334" w:hanging="360"/>
      </w:pPr>
      <w:rPr>
        <w:rFonts w:ascii="Courier New" w:hAnsi="Courier New" w:cs="Courier New" w:hint="default"/>
      </w:rPr>
    </w:lvl>
    <w:lvl w:ilvl="8">
      <w:start w:val="1"/>
      <w:numFmt w:val="bullet"/>
      <w:lvlText w:val=""/>
      <w:lvlJc w:val="left"/>
      <w:pPr>
        <w:tabs>
          <w:tab w:val="num" w:pos="6054"/>
        </w:tabs>
        <w:ind w:left="6054" w:hanging="360"/>
      </w:pPr>
      <w:rPr>
        <w:rFonts w:ascii="Wingdings" w:hAnsi="Wingdings" w:cs="Wingdings" w:hint="default"/>
      </w:rPr>
    </w:lvl>
  </w:abstractNum>
  <w:abstractNum w:abstractNumId="6">
    <w:lvl w:ilvl="0">
      <w:start w:val="1"/>
      <w:numFmt w:val="decimal"/>
      <w:lvlText w:val="%1."/>
      <w:lvlJc w:val="left"/>
      <w:pPr>
        <w:tabs>
          <w:tab w:val="num" w:pos="5321"/>
        </w:tabs>
        <w:ind w:left="5321" w:hanging="360"/>
      </w:pPr>
      <w:rPr/>
    </w:lvl>
    <w:lvl w:ilvl="1">
      <w:start w:val="1"/>
      <w:numFmt w:val="decimal"/>
      <w:lvlText w:val="%1.%2."/>
      <w:lvlJc w:val="left"/>
      <w:pPr>
        <w:tabs>
          <w:tab w:val="num" w:pos="1708"/>
        </w:tabs>
        <w:ind w:left="1708" w:hanging="432"/>
      </w:pPr>
      <w:rPr>
        <w:sz w:val="24"/>
        <w:szCs w:val="24"/>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0">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5">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6">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7">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4"/>
    <w:lvlOverride w:ilvl="0">
      <w:startOverride w:val="1"/>
    </w:lvlOverride>
  </w:num>
  <w:num w:numId="20">
    <w:abstractNumId w:val="14"/>
  </w:num>
  <w:num w:numId="21">
    <w:abstractNumId w:val="14"/>
  </w:num>
  <w:num w:numId="22">
    <w:abstractNumId w:val="14"/>
  </w:num>
</w:numbering>
</file>

<file path=word/settings.xml><?xml version="1.0" encoding="utf-8"?>
<w:settings xmlns:w="http://schemas.openxmlformats.org/wordprocessingml/2006/main">
  <w:zoom w:percent="120"/>
  <w:embedSystemFonts/>
  <w:defaultTabStop w:val="720"/>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uiPriority="99"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uiPriority="20" w:qFormat="1"/>
    <w:lsdException w:name="Document Map" w:semiHidden="1" w:unhideWhenUsed="1"/>
    <w:lsdException w:name="Plain Text" w:uiPriority="99"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99"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42745"/>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link w:val="11"/>
    <w:qFormat/>
    <w:rsid w:val="00e42745"/>
    <w:pPr>
      <w:keepNext w:val="true"/>
      <w:outlineLvl w:val="0"/>
    </w:pPr>
    <w:rPr>
      <w:b/>
    </w:rPr>
  </w:style>
  <w:style w:type="paragraph" w:styleId="Heading2">
    <w:name w:val="Heading 2"/>
    <w:basedOn w:val="Normal"/>
    <w:next w:val="Normal"/>
    <w:link w:val="21"/>
    <w:qFormat/>
    <w:rsid w:val="00e42745"/>
    <w:pPr>
      <w:keepNext w:val="true"/>
      <w:jc w:val="both"/>
      <w:outlineLvl w:val="1"/>
    </w:pPr>
    <w:rPr>
      <w:b/>
    </w:rPr>
  </w:style>
  <w:style w:type="paragraph" w:styleId="Heading3">
    <w:name w:val="Heading 3"/>
    <w:basedOn w:val="Normal"/>
    <w:next w:val="Normal"/>
    <w:link w:val="31"/>
    <w:uiPriority w:val="9"/>
    <w:qFormat/>
    <w:rsid w:val="00e42745"/>
    <w:pPr>
      <w:keepNext w:val="true"/>
      <w:tabs>
        <w:tab w:val="clear" w:pos="720"/>
        <w:tab w:val="left" w:pos="0" w:leader="none"/>
      </w:tabs>
      <w:jc w:val="center"/>
      <w:outlineLvl w:val="2"/>
    </w:pPr>
    <w:rPr>
      <w:b/>
    </w:rPr>
  </w:style>
  <w:style w:type="paragraph" w:styleId="Heading4">
    <w:name w:val="Heading 4"/>
    <w:basedOn w:val="Normal"/>
    <w:next w:val="Normal"/>
    <w:link w:val="4"/>
    <w:uiPriority w:val="9"/>
    <w:qFormat/>
    <w:rsid w:val="00e42745"/>
    <w:pPr>
      <w:keepNext w:val="true"/>
      <w:numPr>
        <w:ilvl w:val="0"/>
        <w:numId w:val="1"/>
      </w:numPr>
      <w:ind w:left="3119" w:hanging="0"/>
      <w:outlineLvl w:val="3"/>
    </w:pPr>
    <w:rPr>
      <w:b/>
    </w:rPr>
  </w:style>
  <w:style w:type="paragraph" w:styleId="Heading5">
    <w:name w:val="Heading 5"/>
    <w:basedOn w:val="Normal"/>
    <w:next w:val="Normal"/>
    <w:qFormat/>
    <w:rsid w:val="00e42745"/>
    <w:pPr>
      <w:keepNext w:val="true"/>
      <w:numPr>
        <w:ilvl w:val="0"/>
        <w:numId w:val="2"/>
      </w:numPr>
      <w:jc w:val="center"/>
      <w:outlineLvl w:val="4"/>
    </w:pPr>
    <w:rPr>
      <w:b/>
    </w:rPr>
  </w:style>
  <w:style w:type="paragraph" w:styleId="Heading6">
    <w:name w:val="Heading 6"/>
    <w:basedOn w:val="Normal"/>
    <w:next w:val="Normal"/>
    <w:qFormat/>
    <w:rsid w:val="00e42745"/>
    <w:pPr>
      <w:keepNext w:val="true"/>
      <w:jc w:val="center"/>
      <w:outlineLvl w:val="5"/>
    </w:pPr>
    <w:rPr>
      <w:sz w:val="28"/>
    </w:rPr>
  </w:style>
  <w:style w:type="paragraph" w:styleId="Heading7">
    <w:name w:val="Heading 7"/>
    <w:basedOn w:val="Normal"/>
    <w:next w:val="Normal"/>
    <w:qFormat/>
    <w:rsid w:val="00e42745"/>
    <w:pPr>
      <w:keepNext w:val="true"/>
      <w:jc w:val="center"/>
      <w:outlineLvl w:val="6"/>
    </w:pPr>
    <w:rPr>
      <w:bCs/>
      <w:sz w:val="24"/>
    </w:rPr>
  </w:style>
  <w:style w:type="paragraph" w:styleId="Heading8">
    <w:name w:val="Heading 8"/>
    <w:basedOn w:val="Normal"/>
    <w:next w:val="Normal"/>
    <w:qFormat/>
    <w:rsid w:val="00e42745"/>
    <w:pPr>
      <w:keepNext w:val="true"/>
      <w:jc w:val="center"/>
      <w:outlineLvl w:val="7"/>
    </w:pPr>
    <w:rPr>
      <w:b/>
      <w:bCs/>
      <w:sz w:val="24"/>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e42745"/>
    <w:rPr/>
  </w:style>
  <w:style w:type="character" w:styleId="Style1" w:customStyle="1">
    <w:name w:val="Заголовок Знак"/>
    <w:qFormat/>
    <w:rsid w:val="00ba4a00"/>
    <w:rPr>
      <w:b/>
      <w:bCs/>
      <w:sz w:val="28"/>
      <w:szCs w:val="24"/>
    </w:rPr>
  </w:style>
  <w:style w:type="character" w:styleId="2" w:customStyle="1">
    <w:name w:val="Основной текст с отступом 2 Знак"/>
    <w:link w:val="BodyTextIndent2"/>
    <w:qFormat/>
    <w:rsid w:val="0066561f"/>
    <w:rPr>
      <w:sz w:val="24"/>
    </w:rPr>
  </w:style>
  <w:style w:type="character" w:styleId="Style2" w:customStyle="1">
    <w:name w:val="Текст выноски Знак"/>
    <w:link w:val="BalloonText"/>
    <w:uiPriority w:val="99"/>
    <w:qFormat/>
    <w:rsid w:val="0066561f"/>
    <w:rPr>
      <w:rFonts w:ascii="Tahoma" w:hAnsi="Tahoma" w:cs="Tahoma"/>
      <w:sz w:val="16"/>
      <w:szCs w:val="16"/>
    </w:rPr>
  </w:style>
  <w:style w:type="character" w:styleId="Style3" w:customStyle="1">
    <w:name w:val="Основной текст Знак"/>
    <w:qFormat/>
    <w:rsid w:val="0066561f"/>
    <w:rPr>
      <w:sz w:val="22"/>
    </w:rPr>
  </w:style>
  <w:style w:type="character" w:styleId="3" w:customStyle="1">
    <w:name w:val="Основной текст 3 Знак"/>
    <w:link w:val="BodyText3"/>
    <w:qFormat/>
    <w:rsid w:val="0066561f"/>
    <w:rPr>
      <w:sz w:val="28"/>
    </w:rPr>
  </w:style>
  <w:style w:type="character" w:styleId="Annotationreference">
    <w:name w:val="annotation reference"/>
    <w:uiPriority w:val="99"/>
    <w:qFormat/>
    <w:rsid w:val="0066561f"/>
    <w:rPr>
      <w:sz w:val="16"/>
      <w:szCs w:val="16"/>
    </w:rPr>
  </w:style>
  <w:style w:type="character" w:styleId="Style4" w:customStyle="1">
    <w:name w:val="Текст примечания Знак"/>
    <w:basedOn w:val="DefaultParagraphFont"/>
    <w:link w:val="Annotationtext"/>
    <w:uiPriority w:val="99"/>
    <w:qFormat/>
    <w:rsid w:val="0066561f"/>
    <w:rPr/>
  </w:style>
  <w:style w:type="character" w:styleId="Style5" w:customStyle="1">
    <w:name w:val="Тема примечания Знак"/>
    <w:link w:val="Annotationsubject"/>
    <w:uiPriority w:val="99"/>
    <w:qFormat/>
    <w:rsid w:val="0066561f"/>
    <w:rPr>
      <w:b/>
      <w:bCs/>
    </w:rPr>
  </w:style>
  <w:style w:type="character" w:styleId="31" w:customStyle="1">
    <w:name w:val="Заголовок 3 Знак"/>
    <w:uiPriority w:val="9"/>
    <w:qFormat/>
    <w:rsid w:val="0066561f"/>
    <w:rPr>
      <w:b/>
    </w:rPr>
  </w:style>
  <w:style w:type="character" w:styleId="Style6" w:customStyle="1">
    <w:name w:val="Основной текст с отступом Знак"/>
    <w:qFormat/>
    <w:rsid w:val="0066561f"/>
    <w:rPr>
      <w:sz w:val="22"/>
      <w:shd w:fill="FFFFFF" w:val="clear"/>
    </w:rPr>
  </w:style>
  <w:style w:type="character" w:styleId="Style7" w:customStyle="1">
    <w:name w:val="комментарий"/>
    <w:uiPriority w:val="99"/>
    <w:qFormat/>
    <w:rsid w:val="0066561f"/>
    <w:rPr>
      <w:rFonts w:cs="Times New Roman"/>
      <w:b/>
      <w:bCs/>
      <w:i/>
      <w:iCs/>
      <w:shd w:fill="FFFF99" w:val="clear"/>
    </w:rPr>
  </w:style>
  <w:style w:type="character" w:styleId="Style8" w:customStyle="1">
    <w:name w:val="Текст сноски Знак"/>
    <w:basedOn w:val="DefaultParagraphFont"/>
    <w:uiPriority w:val="99"/>
    <w:qFormat/>
    <w:rsid w:val="0066561f"/>
    <w:rPr/>
  </w:style>
  <w:style w:type="character" w:styleId="Style9">
    <w:name w:val="Символ сноски"/>
    <w:uiPriority w:val="99"/>
    <w:qFormat/>
    <w:rPr>
      <w:vertAlign w:val="superscript"/>
    </w:rPr>
  </w:style>
  <w:style w:type="character" w:styleId="FootnoteReference">
    <w:name w:val="Footnote Reference"/>
    <w:rPr>
      <w:vertAlign w:val="superscript"/>
    </w:rPr>
  </w:style>
  <w:style w:type="character" w:styleId="Style10" w:customStyle="1">
    <w:name w:val="Схема документа Знак"/>
    <w:link w:val="DocumentMap"/>
    <w:qFormat/>
    <w:rsid w:val="0066561f"/>
    <w:rPr>
      <w:rFonts w:ascii="Tahoma" w:hAnsi="Tahoma" w:cs="Tahoma"/>
      <w:shd w:fill="000080" w:val="clear"/>
    </w:rPr>
  </w:style>
  <w:style w:type="character" w:styleId="Style11" w:customStyle="1">
    <w:name w:val="Верхний колонтитул Знак"/>
    <w:basedOn w:val="DefaultParagraphFont"/>
    <w:qFormat/>
    <w:rsid w:val="0066561f"/>
    <w:rPr/>
  </w:style>
  <w:style w:type="character" w:styleId="Hyperlink">
    <w:name w:val="Hyperlink"/>
    <w:basedOn w:val="DefaultParagraphFont"/>
    <w:uiPriority w:val="99"/>
    <w:unhideWhenUsed/>
    <w:rsid w:val="0066722e"/>
    <w:rPr>
      <w:color w:val="0000FF" w:themeColor="hyperlink"/>
      <w:u w:val="single"/>
    </w:rPr>
  </w:style>
  <w:style w:type="character" w:styleId="Style12" w:customStyle="1">
    <w:name w:val="Абзац списка Знак"/>
    <w:link w:val="ListParagraph"/>
    <w:qFormat/>
    <w:locked/>
    <w:rsid w:val="00b11d27"/>
    <w:rPr/>
  </w:style>
  <w:style w:type="character" w:styleId="1" w:customStyle="1">
    <w:name w:val="1. Статья Знак"/>
    <w:link w:val="13"/>
    <w:qFormat/>
    <w:rsid w:val="00b11d27"/>
    <w:rPr>
      <w:sz w:val="24"/>
      <w:szCs w:val="24"/>
      <w:lang w:val="x-none" w:eastAsia="x-none"/>
    </w:rPr>
  </w:style>
  <w:style w:type="character" w:styleId="21" w:customStyle="1">
    <w:name w:val="Заголовок 2 Знак"/>
    <w:qFormat/>
    <w:rsid w:val="00c50ec8"/>
    <w:rPr>
      <w:b/>
    </w:rPr>
  </w:style>
  <w:style w:type="character" w:styleId="Style13" w:customStyle="1">
    <w:name w:val="Основной текст_"/>
    <w:link w:val="14"/>
    <w:uiPriority w:val="99"/>
    <w:qFormat/>
    <w:locked/>
    <w:rsid w:val="00c50ec8"/>
    <w:rPr>
      <w:sz w:val="28"/>
      <w:szCs w:val="28"/>
      <w:shd w:fill="FFFFFF" w:val="clear"/>
    </w:rPr>
  </w:style>
  <w:style w:type="character" w:styleId="Style14" w:customStyle="1">
    <w:name w:val="Основной текст + Малые прописные"/>
    <w:uiPriority w:val="99"/>
    <w:qFormat/>
    <w:rsid w:val="00c50ec8"/>
    <w:rPr>
      <w:rFonts w:ascii="Times New Roman" w:hAnsi="Times New Roman" w:cs="Times New Roman"/>
      <w:smallCaps/>
      <w:color w:val="000000"/>
      <w:spacing w:val="0"/>
      <w:w w:val="100"/>
      <w:sz w:val="28"/>
      <w:szCs w:val="28"/>
      <w:u w:val="none"/>
      <w:lang w:val="ru-RU" w:bidi="ar-SA"/>
    </w:rPr>
  </w:style>
  <w:style w:type="character" w:styleId="11" w:customStyle="1">
    <w:name w:val="Заголовок 1 Знак"/>
    <w:basedOn w:val="DefaultParagraphFont"/>
    <w:qFormat/>
    <w:rsid w:val="00844d51"/>
    <w:rPr>
      <w:b/>
    </w:rPr>
  </w:style>
  <w:style w:type="character" w:styleId="Apple-converted-space" w:customStyle="1">
    <w:name w:val="apple-converted-space"/>
    <w:basedOn w:val="DefaultParagraphFont"/>
    <w:qFormat/>
    <w:rsid w:val="0047198c"/>
    <w:rPr/>
  </w:style>
  <w:style w:type="character" w:styleId="Thname1" w:customStyle="1">
    <w:name w:val="thname1"/>
    <w:qFormat/>
    <w:rsid w:val="008e4c72"/>
    <w:rPr/>
  </w:style>
  <w:style w:type="character" w:styleId="Thvalue1" w:customStyle="1">
    <w:name w:val="thvalue1"/>
    <w:qFormat/>
    <w:rsid w:val="008e4c72"/>
    <w:rPr/>
  </w:style>
  <w:style w:type="character" w:styleId="Style15" w:customStyle="1">
    <w:name w:val="Текст Знак"/>
    <w:basedOn w:val="DefaultParagraphFont"/>
    <w:link w:val="PlainText"/>
    <w:uiPriority w:val="99"/>
    <w:semiHidden/>
    <w:qFormat/>
    <w:rsid w:val="008e4c72"/>
    <w:rPr>
      <w:rFonts w:ascii="Calibri" w:hAnsi="Calibri" w:eastAsia="Calibri"/>
      <w:sz w:val="22"/>
      <w:szCs w:val="21"/>
      <w:lang w:eastAsia="en-US"/>
    </w:rPr>
  </w:style>
  <w:style w:type="character" w:styleId="22" w:customStyle="1">
    <w:name w:val="Основной текст (2)_"/>
    <w:link w:val="24"/>
    <w:qFormat/>
    <w:locked/>
    <w:rsid w:val="008e4c72"/>
    <w:rPr>
      <w:sz w:val="23"/>
      <w:szCs w:val="23"/>
      <w:shd w:fill="FFFFFF" w:val="clear"/>
    </w:rPr>
  </w:style>
  <w:style w:type="character" w:styleId="Txt13" w:customStyle="1">
    <w:name w:val="txt_13"/>
    <w:qFormat/>
    <w:rsid w:val="008e4c72"/>
    <w:rPr/>
  </w:style>
  <w:style w:type="character" w:styleId="Emphasis">
    <w:name w:val="Emphasis"/>
    <w:uiPriority w:val="20"/>
    <w:qFormat/>
    <w:rsid w:val="008e4c72"/>
    <w:rPr>
      <w:i/>
      <w:iCs/>
    </w:rPr>
  </w:style>
  <w:style w:type="character" w:styleId="Strong">
    <w:name w:val="Strong"/>
    <w:qFormat/>
    <w:rsid w:val="008e4c72"/>
    <w:rPr>
      <w:b/>
      <w:bCs/>
    </w:rPr>
  </w:style>
  <w:style w:type="character" w:styleId="PlaceholderText">
    <w:name w:val="Placeholder Text"/>
    <w:basedOn w:val="DefaultParagraphFont"/>
    <w:uiPriority w:val="99"/>
    <w:semiHidden/>
    <w:qFormat/>
    <w:rsid w:val="00f135e9"/>
    <w:rPr>
      <w:color w:val="808080"/>
    </w:rPr>
  </w:style>
  <w:style w:type="character" w:styleId="4" w:customStyle="1">
    <w:name w:val="Заголовок 4 Знак"/>
    <w:basedOn w:val="DefaultParagraphFont"/>
    <w:uiPriority w:val="9"/>
    <w:qFormat/>
    <w:rsid w:val="004f4b87"/>
    <w:rPr>
      <w:b/>
    </w:rPr>
  </w:style>
  <w:style w:type="character" w:styleId="Style16">
    <w:name w:val="Основной шрифт абзаца"/>
    <w:qFormat/>
    <w:rPr/>
  </w:style>
  <w:style w:type="character" w:styleId="Style17">
    <w:name w:val="Символ концевой сноски"/>
    <w:qFormat/>
    <w:rPr>
      <w:vertAlign w:val="superscript"/>
    </w:rPr>
  </w:style>
  <w:style w:type="character" w:styleId="EndnoteReference">
    <w:name w:val="Endnote Reference"/>
    <w:rPr>
      <w:vertAlign w:val="superscript"/>
    </w:rPr>
  </w:style>
  <w:style w:type="paragraph" w:styleId="Style18">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3"/>
    <w:rsid w:val="00e42745"/>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9">
    <w:name w:val="Указатель"/>
    <w:basedOn w:val="Normal"/>
    <w:qFormat/>
    <w:pPr>
      <w:suppressLineNumbers/>
    </w:pPr>
    <w:rPr/>
  </w:style>
  <w:style w:type="paragraph" w:styleId="Title">
    <w:name w:val="Title"/>
    <w:basedOn w:val="Normal"/>
    <w:next w:val="BodyText"/>
    <w:link w:val="Style1"/>
    <w:qFormat/>
    <w:rsid w:val="00e42745"/>
    <w:pPr>
      <w:jc w:val="center"/>
    </w:pPr>
    <w:rPr>
      <w:b/>
      <w:bCs/>
      <w:sz w:val="28"/>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NormalWeb">
    <w:name w:val="Normal (Web)"/>
    <w:basedOn w:val="Normal"/>
    <w:uiPriority w:val="99"/>
    <w:qFormat/>
    <w:rsid w:val="00e42745"/>
    <w:pPr>
      <w:spacing w:beforeAutospacing="1" w:afterAutospacing="1"/>
      <w:ind w:right="150" w:hanging="0"/>
    </w:pPr>
    <w:rPr>
      <w:rFonts w:ascii="Tahoma" w:hAnsi="Tahoma" w:cs="Tahoma"/>
      <w:color w:val="000000"/>
    </w:rPr>
  </w:style>
  <w:style w:type="paragraph" w:styleId="BodyText2">
    <w:name w:val="Body Text 2"/>
    <w:basedOn w:val="Normal"/>
    <w:qFormat/>
    <w:rsid w:val="00e42745"/>
    <w:pPr>
      <w:jc w:val="both"/>
    </w:pPr>
    <w:rPr/>
  </w:style>
  <w:style w:type="paragraph" w:styleId="Style20" w:customStyle="1">
    <w:name w:val="Колонтитул"/>
    <w:basedOn w:val="Normal"/>
    <w:qFormat/>
    <w:pPr/>
    <w:rPr/>
  </w:style>
  <w:style w:type="paragraph" w:styleId="Footer">
    <w:name w:val="Footer"/>
    <w:basedOn w:val="Normal"/>
    <w:rsid w:val="00e42745"/>
    <w:pPr>
      <w:tabs>
        <w:tab w:val="clear" w:pos="720"/>
        <w:tab w:val="center" w:pos="4677" w:leader="none"/>
        <w:tab w:val="right" w:pos="9355" w:leader="none"/>
      </w:tabs>
    </w:pPr>
    <w:rPr/>
  </w:style>
  <w:style w:type="paragraph" w:styleId="12" w:customStyle="1">
    <w:name w:val="Текст1"/>
    <w:basedOn w:val="Normal"/>
    <w:qFormat/>
    <w:rsid w:val="00e42745"/>
    <w:pPr>
      <w:spacing w:before="0" w:after="120"/>
      <w:jc w:val="both"/>
    </w:pPr>
    <w:rPr>
      <w:rFonts w:ascii="Courier New" w:hAnsi="Courier New"/>
      <w:sz w:val="22"/>
      <w:lang w:eastAsia="en-US"/>
    </w:rPr>
  </w:style>
  <w:style w:type="paragraph" w:styleId="BodyText3">
    <w:name w:val="Body Text 3"/>
    <w:basedOn w:val="Normal"/>
    <w:link w:val="3"/>
    <w:qFormat/>
    <w:rsid w:val="00e42745"/>
    <w:pPr>
      <w:jc w:val="both"/>
    </w:pPr>
    <w:rPr>
      <w:sz w:val="28"/>
    </w:rPr>
  </w:style>
  <w:style w:type="paragraph" w:styleId="BodyTextIndent">
    <w:name w:val="Body Text Indent"/>
    <w:basedOn w:val="Normal"/>
    <w:link w:val="Style6"/>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21" w:customStyle="1">
    <w:name w:val="Таблицы (моноширинный)"/>
    <w:basedOn w:val="Normal"/>
    <w:next w:val="Normal"/>
    <w:qFormat/>
    <w:rsid w:val="0066561f"/>
    <w:pPr>
      <w:widowControl w:val="false"/>
      <w:jc w:val="both"/>
    </w:pPr>
    <w:rPr>
      <w:rFonts w:ascii="Courier New" w:hAnsi="Courier New" w:cs="Courier New"/>
    </w:rPr>
  </w:style>
  <w:style w:type="paragraph" w:styleId="BodyTextIndent2">
    <w:name w:val="Body Text Indent 2"/>
    <w:basedOn w:val="Normal"/>
    <w:link w:val="2"/>
    <w:qFormat/>
    <w:rsid w:val="0066561f"/>
    <w:pPr>
      <w:widowControl w:val="false"/>
      <w:ind w:left="1843" w:hanging="0"/>
      <w:jc w:val="both"/>
    </w:pPr>
    <w:rPr>
      <w:sz w:val="24"/>
    </w:rPr>
  </w:style>
  <w:style w:type="paragraph" w:styleId="BalloonText">
    <w:name w:val="Balloon Text"/>
    <w:basedOn w:val="Normal"/>
    <w:link w:val="Style2"/>
    <w:uiPriority w:val="99"/>
    <w:qFormat/>
    <w:rsid w:val="0066561f"/>
    <w:pPr>
      <w:widowControl w:val="false"/>
    </w:pPr>
    <w:rPr>
      <w:rFonts w:ascii="Tahoma" w:hAnsi="Tahoma" w:cs="Tahoma"/>
      <w:sz w:val="16"/>
      <w:szCs w:val="16"/>
    </w:rPr>
  </w:style>
  <w:style w:type="paragraph" w:styleId="Annotationtext">
    <w:name w:val="annotation text"/>
    <w:basedOn w:val="Normal"/>
    <w:link w:val="Style4"/>
    <w:uiPriority w:val="99"/>
    <w:qFormat/>
    <w:rsid w:val="0066561f"/>
    <w:pPr>
      <w:widowControl w:val="false"/>
    </w:pPr>
    <w:rPr/>
  </w:style>
  <w:style w:type="paragraph" w:styleId="Annotationsubject">
    <w:name w:val="annotation subject"/>
    <w:basedOn w:val="Annotationtext"/>
    <w:next w:val="Annotationtext"/>
    <w:link w:val="Style5"/>
    <w:uiPriority w:val="99"/>
    <w:qFormat/>
    <w:rsid w:val="0066561f"/>
    <w:pPr/>
    <w:rPr>
      <w:b/>
      <w:bCs/>
    </w:rPr>
  </w:style>
  <w:style w:type="paragraph" w:styleId="ListParagraph">
    <w:name w:val="List Paragraph"/>
    <w:basedOn w:val="Normal"/>
    <w:link w:val="Style12"/>
    <w:uiPriority w:val="34"/>
    <w:qFormat/>
    <w:rsid w:val="0066561f"/>
    <w:pPr>
      <w:widowControl w:val="false"/>
      <w:spacing w:before="0" w:after="0"/>
      <w:ind w:left="720" w:hanging="0"/>
      <w:contextualSpacing/>
    </w:pPr>
    <w:rPr/>
  </w:style>
  <w:style w:type="paragraph" w:styleId="Style22"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23"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Style24"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Style8"/>
    <w:uiPriority w:val="99"/>
    <w:rsid w:val="0066561f"/>
    <w:pPr>
      <w:widowControl w:val="false"/>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left="851" w:hanging="851"/>
      <w:jc w:val="both"/>
    </w:pPr>
    <w:rPr>
      <w:rFonts w:eastAsia="Calibri"/>
      <w:sz w:val="28"/>
      <w:szCs w:val="28"/>
    </w:rPr>
  </w:style>
  <w:style w:type="paragraph" w:styleId="DocumentMap">
    <w:name w:val="Document Map"/>
    <w:basedOn w:val="Normal"/>
    <w:link w:val="Style10"/>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rsid w:val="0066561f"/>
    <w:pPr>
      <w:widowControl w:val="false"/>
      <w:tabs>
        <w:tab w:val="clear" w:pos="720"/>
        <w:tab w:val="center" w:pos="4677" w:leader="none"/>
        <w:tab w:val="right" w:pos="9355" w:leader="none"/>
      </w:tabs>
    </w:pPr>
    <w:rPr/>
  </w:style>
  <w:style w:type="paragraph" w:styleId="13" w:customStyle="1">
    <w:name w:val="1. Статья"/>
    <w:basedOn w:val="Heading3"/>
    <w:link w:val="1"/>
    <w:qFormat/>
    <w:rsid w:val="00b11d27"/>
    <w:pPr>
      <w:keepNext w:val="false"/>
      <w:widowControl w:val="false"/>
      <w:numPr>
        <w:ilvl w:val="0"/>
        <w:numId w:val="10"/>
      </w:numPr>
      <w:tabs>
        <w:tab w:val="left" w:pos="0" w:leader="none"/>
        <w:tab w:val="left" w:pos="2340" w:leader="none"/>
      </w:tabs>
      <w:overflowPunct w:val="false"/>
      <w:ind w:right="1462" w:hanging="0"/>
      <w:textAlignment w:val="baseline"/>
    </w:pPr>
    <w:rPr>
      <w:b w:val="false"/>
      <w:sz w:val="24"/>
      <w:szCs w:val="24"/>
      <w:lang w:val="x-none" w:eastAsia="x-none"/>
    </w:rPr>
  </w:style>
  <w:style w:type="paragraph" w:styleId="23" w:customStyle="1">
    <w:name w:val="2. Пункт"/>
    <w:basedOn w:val="Heading3"/>
    <w:qFormat/>
    <w:rsid w:val="00b11d27"/>
    <w:pPr>
      <w:keepNext w:val="false"/>
      <w:widowControl w:val="false"/>
      <w:numPr>
        <w:ilvl w:val="1"/>
        <w:numId w:val="10"/>
      </w:numPr>
      <w:overflowPunct w:val="false"/>
      <w:jc w:val="both"/>
      <w:textAlignment w:val="baseline"/>
    </w:pPr>
    <w:rPr>
      <w:b w:val="false"/>
      <w:sz w:val="24"/>
      <w:szCs w:val="24"/>
      <w:lang w:val="x-none" w:eastAsia="x-none"/>
    </w:rPr>
  </w:style>
  <w:style w:type="paragraph" w:styleId="32" w:customStyle="1">
    <w:name w:val="3. Подпункт"/>
    <w:basedOn w:val="Heading3"/>
    <w:qFormat/>
    <w:rsid w:val="00b11d27"/>
    <w:pPr>
      <w:keepNext w:val="false"/>
      <w:widowControl w:val="false"/>
      <w:numPr>
        <w:ilvl w:val="2"/>
        <w:numId w:val="10"/>
      </w:numPr>
      <w:tabs>
        <w:tab w:val="left" w:pos="0" w:leader="none"/>
        <w:tab w:val="left" w:pos="1620" w:leader="none"/>
      </w:tabs>
      <w:overflowPunct w:val="false"/>
      <w:jc w:val="both"/>
      <w:textAlignment w:val="baseline"/>
    </w:pPr>
    <w:rPr>
      <w:bCs/>
      <w:sz w:val="24"/>
      <w:szCs w:val="24"/>
      <w:lang w:val="x-none" w:eastAsia="x-none"/>
    </w:rPr>
  </w:style>
  <w:style w:type="paragraph" w:styleId="Default" w:customStyle="1">
    <w:name w:val="Default"/>
    <w:qFormat/>
    <w:rsid w:val="000466f3"/>
    <w:pPr>
      <w:widowControl/>
      <w:suppressAutoHyphens w:val="true"/>
      <w:bidi w:val="0"/>
      <w:spacing w:before="0" w:after="0"/>
      <w:jc w:val="left"/>
    </w:pPr>
    <w:rPr>
      <w:rFonts w:ascii="Tahoma" w:hAnsi="Tahoma" w:eastAsia="Times New Roman" w:cs="Tahoma"/>
      <w:color w:val="000000"/>
      <w:kern w:val="0"/>
      <w:sz w:val="24"/>
      <w:szCs w:val="24"/>
      <w:lang w:val="ru-RU" w:eastAsia="ru-RU" w:bidi="ar-SA"/>
    </w:rPr>
  </w:style>
  <w:style w:type="paragraph" w:styleId="14" w:customStyle="1">
    <w:name w:val="Основной текст1"/>
    <w:basedOn w:val="Normal"/>
    <w:link w:val="Style13"/>
    <w:uiPriority w:val="99"/>
    <w:qFormat/>
    <w:rsid w:val="00c50ec8"/>
    <w:pPr>
      <w:widowControl w:val="false"/>
      <w:shd w:val="clear" w:color="auto" w:fill="FFFFFF"/>
      <w:spacing w:lineRule="exact" w:line="302"/>
    </w:pPr>
    <w:rPr>
      <w:sz w:val="28"/>
      <w:szCs w:val="28"/>
    </w:rPr>
  </w:style>
  <w:style w:type="paragraph" w:styleId="15" w:customStyle="1">
    <w:name w:val="Абзац списка1"/>
    <w:basedOn w:val="Normal"/>
    <w:qFormat/>
    <w:rsid w:val="00ca3068"/>
    <w:pPr>
      <w:widowControl w:val="false"/>
      <w:spacing w:lineRule="auto" w:line="276" w:before="0" w:after="200"/>
      <w:ind w:left="720" w:firstLine="709"/>
    </w:pPr>
    <w:rPr>
      <w:rFonts w:ascii="Calibri" w:hAnsi="Calibri" w:eastAsia="Calibri"/>
      <w:sz w:val="22"/>
      <w:szCs w:val="22"/>
      <w:lang w:eastAsia="ar-SA"/>
    </w:rPr>
  </w:style>
  <w:style w:type="paragraph" w:styleId="NoSpacing">
    <w:name w:val="No Spacing"/>
    <w:uiPriority w:val="1"/>
    <w:qFormat/>
    <w:rsid w:val="00844d51"/>
    <w:pPr>
      <w:widowControl/>
      <w:suppressAutoHyphens w:val="tru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PlainText">
    <w:name w:val="Plain Text"/>
    <w:basedOn w:val="Normal"/>
    <w:link w:val="Style15"/>
    <w:uiPriority w:val="99"/>
    <w:semiHidden/>
    <w:unhideWhenUsed/>
    <w:qFormat/>
    <w:rsid w:val="008e4c72"/>
    <w:pPr/>
    <w:rPr>
      <w:rFonts w:ascii="Calibri" w:hAnsi="Calibri" w:eastAsia="Calibri"/>
      <w:sz w:val="22"/>
      <w:szCs w:val="21"/>
      <w:lang w:eastAsia="en-US"/>
    </w:rPr>
  </w:style>
  <w:style w:type="paragraph" w:styleId="24" w:customStyle="1">
    <w:name w:val="Основной текст (2)"/>
    <w:basedOn w:val="Normal"/>
    <w:link w:val="22"/>
    <w:qFormat/>
    <w:rsid w:val="008e4c72"/>
    <w:pPr>
      <w:shd w:val="clear" w:color="auto" w:fill="FFFFFF"/>
      <w:spacing w:lineRule="atLeast" w:line="0"/>
    </w:pPr>
    <w:rPr>
      <w:sz w:val="23"/>
      <w:szCs w:val="23"/>
    </w:rPr>
  </w:style>
  <w:style w:type="paragraph" w:styleId="WW-" w:customStyle="1">
    <w:name w:val="WW-Базовый"/>
    <w:qFormat/>
    <w:rsid w:val="008e4c72"/>
    <w:pPr>
      <w:widowControl/>
      <w:suppressAutoHyphens w:val="true"/>
      <w:bidi w:val="0"/>
      <w:spacing w:before="280" w:after="280"/>
      <w:ind w:left="720" w:hanging="0"/>
      <w:jc w:val="left"/>
    </w:pPr>
    <w:rPr>
      <w:rFonts w:ascii="Calibri" w:hAnsi="Calibri" w:eastAsia="Arial Unicode MS" w:cs="Arial Unicode MS"/>
      <w:color w:val="000000"/>
      <w:kern w:val="2"/>
      <w:sz w:val="22"/>
      <w:szCs w:val="22"/>
      <w:lang w:val="ru-RU" w:eastAsia="ar-SA" w:bidi="ar-SA"/>
    </w:rPr>
  </w:style>
  <w:style w:type="paragraph" w:styleId="16" w:customStyle="1">
    <w:name w:val="Обычный1"/>
    <w:qFormat/>
    <w:rsid w:val="008e4c72"/>
    <w:pPr>
      <w:widowControl/>
      <w:suppressAutoHyphens w:val="true"/>
      <w:bidi w:val="0"/>
      <w:spacing w:before="0" w:after="0"/>
      <w:jc w:val="left"/>
    </w:pPr>
    <w:rPr>
      <w:rFonts w:ascii="Times New Roman" w:hAnsi="Times New Roman" w:eastAsia="Arial" w:cs="Times New Roman"/>
      <w:color w:val="000000"/>
      <w:kern w:val="0"/>
      <w:sz w:val="20"/>
      <w:szCs w:val="20"/>
      <w:lang w:val="ru-RU" w:eastAsia="ar-SA" w:bidi="ar-SA"/>
    </w:rPr>
  </w:style>
  <w:style w:type="paragraph" w:styleId="25" w:customStyle="1">
    <w:name w:val="Абзац списка2"/>
    <w:basedOn w:val="Normal"/>
    <w:qFormat/>
    <w:rsid w:val="008e4c72"/>
    <w:pPr>
      <w:spacing w:lineRule="auto" w:line="276" w:before="0" w:after="200"/>
      <w:ind w:left="720" w:hanging="0"/>
    </w:pPr>
    <w:rPr>
      <w:rFonts w:ascii="Calibri" w:hAnsi="Calibri" w:eastAsia="Calibri"/>
      <w:sz w:val="22"/>
      <w:szCs w:val="22"/>
      <w:lang w:eastAsia="ar-SA"/>
    </w:rPr>
  </w:style>
  <w:style w:type="paragraph" w:styleId="Style25" w:customStyle="1">
    <w:name w:val="Содержимое врезки"/>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f1">
    <w:name w:val="Table Grid"/>
    <w:basedOn w:val="a1"/>
    <w:uiPriority w:val="39"/>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
    <w:name w:val="Сетка таблицы1"/>
    <w:basedOn w:val="a1"/>
    <w:uiPriority w:val="39"/>
    <w:rsid w:val="004f4b87"/>
    <w:rPr>
      <w:rFonts w:asciiTheme="minorHAnsi" w:hAnsiTheme="minorHAnsi" w:eastAsiaTheme="minorHAnsi" w:cstheme="minorBidi"/>
      <w:lang w:eastAsia="en-US"/>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notes" Target="footnotes.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Relationship Id="rId18"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009F54-5D0A-436C-A87A-586B8F1F6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Application>AlterOffice/3.4.0.9$Linux_X86_64 LibreOffice_project/b8daf9e823b1a5463a2f48435ddc2e8696e7d4fc</Application>
  <AppVersion>15.0000</AppVersion>
  <Pages>20</Pages>
  <Words>6723</Words>
  <Characters>47421</Characters>
  <CharactersWithSpaces>53884</CharactersWithSpaces>
  <Paragraphs>313</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2026-10-21T09:20:00Z</dcterms:created>
  <dc:creator>Света &amp; Алла (Twix)</dc:creator>
  <dc:description/>
  <dc:language>ru-RU</dc:language>
  <cp:lastModifiedBy>mastrikovaes@corp.gidroogk.com</cp:lastModifiedBy>
  <cp:lastPrinted>2018-10-08T04:06:00Z</cp:lastPrinted>
  <dcterms:modified xsi:type="dcterms:W3CDTF">2026-10-30T10:23:12Z</dcterms:modified>
  <cp:revision>8</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