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center"/>
        <w:spacing w:before="411" w:after="274" w:line="343" w:lineRule="atLeast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12" w:space="1"/>
        </w:pBd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Обоснование начальной (максимальной) цены договора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343" w:lineRule="atLeast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  <w:pBdr>
          <w:bottom w:val="single" w:color="000000" w:sz="12" w:space="1"/>
        </w:pBdr>
        <w:outlineLvl w:val="1"/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Оказание услуг по проведению ТО пожарной сигнализации на объектах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Южных электрических сетей 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филиала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ПАО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Россети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Московский регион»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в 2026 году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851"/>
        <w:jc w:val="center"/>
        <w:spacing w:after="0" w:line="343" w:lineRule="atLeast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  <w:t xml:space="preserve">(указывается предмет закупки)</w:t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vertAlign w:val="superscript"/>
          <w:lang w:eastAsia="ru-RU"/>
        </w:rPr>
      </w:r>
    </w:p>
    <w:tbl>
      <w:tblPr>
        <w:tblW w:w="5000" w:type="pct"/>
        <w:jc w:val="center"/>
        <w:tblBorders>
          <w:top w:val="single" w:color="DADADA" w:sz="6" w:space="0"/>
          <w:left w:val="single" w:color="DADADA" w:sz="6" w:space="0"/>
          <w:bottom w:val="single" w:color="DADADA" w:sz="6" w:space="0"/>
          <w:right w:val="single" w:color="DADADA" w:sz="6" w:space="0"/>
        </w:tblBorders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4565"/>
        <w:gridCol w:w="4774"/>
      </w:tblGrid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Начальная (максимальная) цена договора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406 943,55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руб.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без  НДС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22%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496 471,13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руб.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с  НДС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22%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Используемый метод определения начальной (максимальной) цены договора  с обоснованием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Метод сопоставимых рыночных цен (анализа рынка)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Организационно-распорядительный документ Заказчика, требования которого применялись при формировании начальной (максимальной) цены договора (при наличии)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w:hyperlink r:id="rId11" w:tooltip="https://rossetimr.ru/zakupki/prav_obesp/2021/2021-29-06-prikaz-479.zip" w:history="1">
              <w:r>
                <w:rPr>
                  <w:rFonts w:ascii="Times New Roman" w:hAnsi="Times New Roman" w:eastAsia="Times New Roman" w:cs="Times New Roman"/>
                  <w:sz w:val="28"/>
                  <w:szCs w:val="28"/>
                  <w:lang w:eastAsia="ru-RU"/>
                </w:rPr>
                <w:t xml:space="preserve">Приказ №479 от 18.05.2021 г. 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«Об утверждении Инструкции по прохождению ценового контроля, формированию и согласованию начальной (максимальной) цены лота по операционной деятельности Общества в новой редакции»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/>
            <w:hyperlink r:id="rId12" w:tooltip="https://rossetimr.ru/zakupki/prav_obesp/" w:history="1">
              <w:r>
                <w:rPr>
                  <w:rFonts w:ascii="Times New Roman" w:hAnsi="Times New Roman" w:eastAsia="Times New Roman" w:cs="Times New Roman"/>
                  <w:sz w:val="28"/>
                  <w:szCs w:val="28"/>
                  <w:lang w:eastAsia="ru-RU"/>
                </w:rPr>
                <w:t xml:space="preserve">https://rossetimr.ru/zakupki/prav_obesp/</w:t>
              </w:r>
            </w:hyperlink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Расчет начальной (максимальной) цены договора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single" w:color="DADADA" w:sz="6" w:space="0"/>
              <w:left w:val="single" w:color="DADADA" w:sz="6" w:space="0"/>
              <w:bottom w:val="single" w:color="DADADA" w:sz="6" w:space="0"/>
              <w:right w:val="single" w:color="DADADA" w:sz="6" w:space="0"/>
            </w:tcBorders>
            <w:tcMar>
              <w:left w:w="120" w:type="dxa"/>
              <w:top w:w="60" w:type="dxa"/>
              <w:right w:w="120" w:type="dxa"/>
              <w:bottom w:w="60" w:type="dxa"/>
            </w:tcMar>
            <w:tcW w:w="2500" w:type="pct"/>
            <w:textDirection w:val="lrTb"/>
            <w:noWrap w:val="false"/>
          </w:tcPr>
          <w:p>
            <w:pPr>
              <w:spacing w:after="30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Представлен отдельным файлом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ind w:firstLine="851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pStyle w:val="953"/>
        <w:ind w:right="3402" w:firstLine="0"/>
        <w:spacing w:line="24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55"/>
        <w:jc w:val="center"/>
        <w:spacing w:after="0"/>
        <w:tabs>
          <w:tab w:val="left" w:pos="1134" w:leader="none"/>
          <w:tab w:val="left" w:pos="1680" w:leader="none"/>
        </w:tabs>
        <w:rPr>
          <w:b/>
          <w:sz w:val="28"/>
          <w:szCs w:val="28"/>
        </w:rPr>
      </w:pPr>
      <w:r/>
      <w:bookmarkStart w:id="0" w:name="_Toc478632342"/>
      <w:r/>
      <w:bookmarkStart w:id="1" w:name="_Toc481653523"/>
      <w:r>
        <w:rPr>
          <w:b/>
          <w:sz w:val="28"/>
          <w:szCs w:val="28"/>
        </w:rPr>
        <w:t xml:space="preserve">Расчет начальной (плановой) стоимости  закупки</w:t>
      </w:r>
      <w:bookmarkEnd w:id="0"/>
      <w:r/>
      <w:bookmarkEnd w:id="1"/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55"/>
        <w:jc w:val="center"/>
        <w:spacing w:after="0"/>
        <w:tabs>
          <w:tab w:val="left" w:pos="1134" w:leader="none"/>
          <w:tab w:val="left" w:pos="168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9623" w:type="dxa"/>
        <w:tblInd w:w="-490" w:type="dxa"/>
        <w:tblLayout w:type="fixed"/>
        <w:tblLook w:val="04A0" w:firstRow="1" w:lastRow="0" w:firstColumn="1" w:lastColumn="0" w:noHBand="0" w:noVBand="1"/>
      </w:tblPr>
      <w:tblGrid>
        <w:gridCol w:w="735"/>
        <w:gridCol w:w="2934"/>
        <w:gridCol w:w="2480"/>
        <w:gridCol w:w="1756"/>
        <w:gridCol w:w="1718"/>
      </w:tblGrid>
      <w:tr>
        <w:tblPrEx/>
        <w:trPr>
          <w:trHeight w:val="137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п/п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закупаемой услуги/ продукции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менование поставщика /подрядчика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по ТКП, или прайс-листу, или мониторингу рынка, тыс. руб. без НДС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Расчетная цена закупки на основе анализа  стоимости, тыс. руб. без НДС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17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5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18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074"/>
        </w:trPr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 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top w:val="single" w:color="auto" w:sz="4" w:space="0"/>
              <w:left w:val="none" w:color="000000" w:sz="4" w:space="0"/>
              <w:right w:val="single" w:color="auto" w:sz="4" w:space="0"/>
            </w:tcBorders>
            <w:tcW w:w="29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Техническое обслуживание пожарной сигнализации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году на объектах Южных электрических сетей - филиала  ПАО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Россети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Московский регион»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Контрагент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5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406943,55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8" w:type="dxa"/>
            <w:vAlign w:val="center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406943,55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07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 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left w:val="none" w:color="000000" w:sz="4" w:space="0"/>
              <w:right w:val="single" w:color="auto" w:sz="4" w:space="0"/>
            </w:tcBorders>
            <w:tcW w:w="293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24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Контрагент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5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474285,71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8" w:type="dxa"/>
            <w:vAlign w:val="center"/>
            <w:vMerge w:val="continue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116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 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Borders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93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8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Контрагент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1755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409241,81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8" w:type="dxa"/>
            <w:vAlign w:val="center"/>
            <w:vMerge w:val="continue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>
          <w:trHeight w:val="545"/>
        </w:trPr>
        <w:tc>
          <w:tcPr>
            <w:gridSpan w:val="4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905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Итого: Наименьшее значение по строкам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718" w:type="dxa"/>
            <w:vAlign w:val="center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406943,55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jc w:val="both"/>
        <w:tabs>
          <w:tab w:val="left" w:pos="-108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both"/>
        <w:tabs>
          <w:tab w:val="left" w:pos="-108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-108" w:leader="none"/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-108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erReference w:type="defaul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00506000000020000"/>
  </w:font>
  <w:font w:name="Segoe UI">
    <w:panose1 w:val="020B0502040504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096281251"/>
      <w:docPartObj>
        <w:docPartGallery w:val="Page Numbers (Bottom of Page)"/>
        <w:docPartUnique w:val="true"/>
      </w:docPartObj>
      <w:rPr/>
    </w:sdtPr>
    <w:sdtContent>
      <w:p>
        <w:pPr>
          <w:pStyle w:val="932"/>
        </w:pPr>
        <w:r>
          <w:rPr>
            <w:lang w:eastAsia="ru-RU"/>
          </w:rPr>
          <mc:AlternateContent>
            <mc:Choice Requires="wpg">
              <w:drawing>
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1" name="Группа 3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 bwMode="auto">
                          <a:xfrm>
                            <a:off x="0" y="0"/>
                            <a:ext cx="7753338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0" name="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t xml:space="preserve">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  <w:r/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  <wpg:grpSp>
                          <wpg:cNvGrpSpPr/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1" name=""/>
                            <wps:cNvSpPr/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"/>
                            <wps:cNvSpPr/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 0" o:spid="_x0000_s0000" style="position:absolute;z-index:251659264;o:allowoverlap:true;o:allowincell:true;mso-position-horizontal-relative:page;mso-position-horizontal:center;mso-position-vertical-relative:bottom-margin-area;mso-position-vertical:center;width:612.75pt;height:15.00pt;mso-wrap-distance-left:9.00pt;mso-wrap-distance-top:0.00pt;mso-wrap-distance-right:9.00pt;mso-wrap-distance-bottom:0.00pt;" coordorigin="0,149" coordsize="122,3">
                  <v:shape id="shape 1" o:spid="_x0000_s1" o:spt="202" type="#_x0000_t202" style="position:absolute;left:7;top:149;width:6;height:2;v-text-anchor:top;visibility:visible;" filled="f">
                    <v:textbox inset="0,0,0,0">
                      <w:txbxContent>
                        <w:p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8c8c8c" w:themeColor="background1" w:themeShade="8C"/>
                            </w:rPr>
                            <w:t xml:space="preserve">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  <w:r/>
                        </w:p>
                      </w:txbxContent>
                    </v:textbox>
                  </v:shape>
                  <v:group id="group 2" o:spid="_x0000_s0000" style="position:absolute;left:0;top:149;width:122;height:2;" coordorigin="0,149" coordsize="122,2">
                    <v:shape id="shape 3" o:spid="_x0000_s3" o:spt="34" type="#_x0000_t34" style="position:absolute;left:0;top:149;width:12;height:2;flip:y;visibility:visible;" filled="f" strokecolor="#A5A5A5" strokeweight="0.75pt"/>
                    <v:shape id="shape 4" o:spid="_x0000_s4" o:spt="34" type="#_x0000_t34" style="position:absolute;left:12;top:149;width:109;height:2;rotation:180;visibility:visible;" filled="f" strokecolor="#A5A5A5" strokeweight="0.75pt"/>
                  </v:group>
                </v:group>
              </w:pict>
            </mc:Fallback>
          </mc:AlternateContent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86" w:hanging="43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6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ascii="Times New Roman" w:hAnsi="Times New Roman" w:cs="Times New Roman"/>
        <w:b w:val="0"/>
        <w:sz w:val="22"/>
        <w:szCs w:val="22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 w:ascii="Times New Roman" w:hAnsi="Times New Roman" w:cs="Times New Roman"/>
        <w:sz w:val="22"/>
        <w:szCs w:val="22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9"/>
      </w:pPr>
      <w:rPr>
        <w:rFonts w:hint="default" w:ascii="Times New Roman" w:hAnsi="Times New Roman" w:eastAsia="Calibri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852"/>
      </w:pPr>
      <w:rPr>
        <w:rFonts w:hint="default" w:ascii="Times New Roman" w:hAnsi="Times New Roman" w:eastAsia="Calibri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russianLower"/>
      <w:isLgl w:val="false"/>
      <w:suff w:val="tab"/>
      <w:lvlText w:val="%3)"/>
      <w:lvlJc w:val="left"/>
      <w:pPr>
        <w:ind w:left="1970"/>
      </w:pPr>
      <w:rPr>
        <w:rFonts w:hint="default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08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180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252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24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396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468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isLgl w:val="false"/>
      <w:suff w:val="tab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6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 w:eastAsia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russianLower"/>
      <w:isLgl w:val="false"/>
      <w:suff w:val="tab"/>
      <w:lvlText w:val="%3)"/>
      <w:lvlJc w:val="left"/>
      <w:pPr>
        <w:ind w:left="1429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6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 w:eastAsia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660" w:hanging="660"/>
      </w:pPr>
      <w:rPr>
        <w:rFonts w:hint="default"/>
        <w:b/>
      </w:rPr>
    </w:lvl>
    <w:lvl w:ilvl="1">
      <w:start w:val="3"/>
      <w:numFmt w:val="decimal"/>
      <w:isLgl w:val="false"/>
      <w:suff w:val="tab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russianLower"/>
      <w:isLgl w:val="false"/>
      <w:suff w:val="tab"/>
      <w:lvlText w:val="%3)"/>
      <w:lvlJc w:val="left"/>
      <w:pPr>
        <w:ind w:left="3274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 w:eastAsia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abstractNum w:abstractNumId="13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954" w:hanging="600"/>
      </w:pPr>
      <w:rPr>
        <w:rFonts w:hint="default"/>
      </w:rPr>
    </w:lvl>
    <w:lvl w:ilvl="2">
      <w:start w:val="5"/>
      <w:numFmt w:val="decimal"/>
      <w:isLgl w:val="false"/>
      <w:suff w:val="tab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9"/>
      </w:pPr>
      <w:rPr>
        <w:rFonts w:hint="default" w:ascii="Times New Roman" w:hAnsi="Times New Roman" w:eastAsia="Calibri" w:cs="Times New Roman"/>
        <w:b/>
        <w:bCs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"/>
      <w:lvlJc w:val="left"/>
      <w:pPr>
        <w:ind w:left="852"/>
      </w:pPr>
      <w:rPr>
        <w:rFonts w:hint="default" w:ascii="Times New Roman" w:hAnsi="Times New Roman" w:eastAsia="Calibri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isLgl w:val="false"/>
      <w:suff w:val="tab"/>
      <w:lvlText w:val="%1.%2.%3"/>
      <w:lvlJc w:val="left"/>
      <w:pPr>
        <w:ind w:left="1970"/>
      </w:pPr>
      <w:rPr>
        <w:rFonts w:hint="default" w:ascii="Times New Roman" w:hAnsi="Times New Roman" w:eastAsia="Calibri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108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180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252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324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396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4680"/>
      </w:pPr>
      <w:rPr>
        <w:rFonts w:ascii="Calibri" w:hAnsi="Calibri" w:eastAsia="Calibri" w:cs="Calibri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7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29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31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 w:eastAsia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 w:eastAsia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 w:eastAsia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 w:eastAsia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 w:eastAsia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 w:eastAsia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 w:eastAsia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 w:eastAsia="Times New Roman"/>
      </w:rPr>
    </w:lvl>
  </w:abstractNum>
  <w:num w:numId="1">
    <w:abstractNumId w:val="7"/>
  </w:num>
  <w:num w:numId="2">
    <w:abstractNumId w:val="18"/>
  </w:num>
  <w:num w:numId="3">
    <w:abstractNumId w:val="12"/>
  </w:num>
  <w:num w:numId="4">
    <w:abstractNumId w:val="3"/>
  </w:num>
  <w:num w:numId="5">
    <w:abstractNumId w:val="13"/>
  </w:num>
  <w:num w:numId="6">
    <w:abstractNumId w:val="1"/>
  </w:num>
  <w:num w:numId="7">
    <w:abstractNumId w:val="10"/>
  </w:num>
  <w:num w:numId="8">
    <w:abstractNumId w:val="16"/>
  </w:num>
  <w:num w:numId="9">
    <w:abstractNumId w:val="5"/>
  </w:num>
  <w:num w:numId="10">
    <w:abstractNumId w:val="11"/>
  </w:num>
  <w:num w:numId="11">
    <w:abstractNumId w:val="8"/>
  </w:num>
  <w:num w:numId="12">
    <w:abstractNumId w:val="4"/>
  </w:num>
  <w:num w:numId="13">
    <w:abstractNumId w:val="14"/>
  </w:num>
  <w:num w:numId="14">
    <w:abstractNumId w:val="9"/>
  </w:num>
  <w:num w:numId="15">
    <w:abstractNumId w:val="6"/>
  </w:num>
  <w:num w:numId="16">
    <w:abstractNumId w:val="15"/>
  </w:num>
  <w:num w:numId="17">
    <w:abstractNumId w:val="0"/>
  </w:num>
  <w:num w:numId="18">
    <w:abstractNumId w:val="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5">
    <w:name w:val="Heading 1"/>
    <w:basedOn w:val="926"/>
    <w:next w:val="926"/>
    <w:link w:val="7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6">
    <w:name w:val="Heading 1 Char"/>
    <w:basedOn w:val="927"/>
    <w:link w:val="755"/>
    <w:uiPriority w:val="9"/>
    <w:rPr>
      <w:rFonts w:ascii="Arial" w:hAnsi="Arial" w:eastAsia="Arial" w:cs="Arial"/>
      <w:sz w:val="40"/>
      <w:szCs w:val="40"/>
    </w:rPr>
  </w:style>
  <w:style w:type="paragraph" w:styleId="757">
    <w:name w:val="Heading 2"/>
    <w:basedOn w:val="926"/>
    <w:next w:val="926"/>
    <w:link w:val="7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8">
    <w:name w:val="Heading 2 Char"/>
    <w:basedOn w:val="927"/>
    <w:link w:val="757"/>
    <w:uiPriority w:val="9"/>
    <w:rPr>
      <w:rFonts w:ascii="Arial" w:hAnsi="Arial" w:eastAsia="Arial" w:cs="Arial"/>
      <w:sz w:val="34"/>
    </w:rPr>
  </w:style>
  <w:style w:type="paragraph" w:styleId="759">
    <w:name w:val="Heading 3"/>
    <w:basedOn w:val="926"/>
    <w:next w:val="926"/>
    <w:link w:val="7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0">
    <w:name w:val="Heading 3 Char"/>
    <w:basedOn w:val="927"/>
    <w:link w:val="759"/>
    <w:uiPriority w:val="9"/>
    <w:rPr>
      <w:rFonts w:ascii="Arial" w:hAnsi="Arial" w:eastAsia="Arial" w:cs="Arial"/>
      <w:sz w:val="30"/>
      <w:szCs w:val="30"/>
    </w:rPr>
  </w:style>
  <w:style w:type="paragraph" w:styleId="761">
    <w:name w:val="Heading 4"/>
    <w:basedOn w:val="926"/>
    <w:next w:val="926"/>
    <w:link w:val="7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2">
    <w:name w:val="Heading 4 Char"/>
    <w:basedOn w:val="927"/>
    <w:link w:val="761"/>
    <w:uiPriority w:val="9"/>
    <w:rPr>
      <w:rFonts w:ascii="Arial" w:hAnsi="Arial" w:eastAsia="Arial" w:cs="Arial"/>
      <w:b/>
      <w:bCs/>
      <w:sz w:val="26"/>
      <w:szCs w:val="26"/>
    </w:rPr>
  </w:style>
  <w:style w:type="paragraph" w:styleId="763">
    <w:name w:val="Heading 5"/>
    <w:basedOn w:val="926"/>
    <w:next w:val="926"/>
    <w:link w:val="7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4">
    <w:name w:val="Heading 5 Char"/>
    <w:basedOn w:val="927"/>
    <w:link w:val="763"/>
    <w:uiPriority w:val="9"/>
    <w:rPr>
      <w:rFonts w:ascii="Arial" w:hAnsi="Arial" w:eastAsia="Arial" w:cs="Arial"/>
      <w:b/>
      <w:bCs/>
      <w:sz w:val="24"/>
      <w:szCs w:val="24"/>
    </w:rPr>
  </w:style>
  <w:style w:type="paragraph" w:styleId="765">
    <w:name w:val="Heading 6"/>
    <w:basedOn w:val="926"/>
    <w:next w:val="926"/>
    <w:link w:val="7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6">
    <w:name w:val="Heading 6 Char"/>
    <w:basedOn w:val="927"/>
    <w:link w:val="765"/>
    <w:uiPriority w:val="9"/>
    <w:rPr>
      <w:rFonts w:ascii="Arial" w:hAnsi="Arial" w:eastAsia="Arial" w:cs="Arial"/>
      <w:b/>
      <w:bCs/>
      <w:sz w:val="22"/>
      <w:szCs w:val="22"/>
    </w:rPr>
  </w:style>
  <w:style w:type="paragraph" w:styleId="767">
    <w:name w:val="Heading 7"/>
    <w:basedOn w:val="926"/>
    <w:next w:val="926"/>
    <w:link w:val="7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8">
    <w:name w:val="Heading 7 Char"/>
    <w:basedOn w:val="927"/>
    <w:link w:val="7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9">
    <w:name w:val="Heading 8"/>
    <w:basedOn w:val="926"/>
    <w:next w:val="926"/>
    <w:link w:val="7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0">
    <w:name w:val="Heading 8 Char"/>
    <w:basedOn w:val="927"/>
    <w:link w:val="769"/>
    <w:uiPriority w:val="9"/>
    <w:rPr>
      <w:rFonts w:ascii="Arial" w:hAnsi="Arial" w:eastAsia="Arial" w:cs="Arial"/>
      <w:i/>
      <w:iCs/>
      <w:sz w:val="22"/>
      <w:szCs w:val="22"/>
    </w:rPr>
  </w:style>
  <w:style w:type="paragraph" w:styleId="771">
    <w:name w:val="Heading 9"/>
    <w:basedOn w:val="926"/>
    <w:next w:val="926"/>
    <w:link w:val="7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2">
    <w:name w:val="Heading 9 Char"/>
    <w:basedOn w:val="927"/>
    <w:link w:val="771"/>
    <w:uiPriority w:val="9"/>
    <w:rPr>
      <w:rFonts w:ascii="Arial" w:hAnsi="Arial" w:eastAsia="Arial" w:cs="Arial"/>
      <w:i/>
      <w:iCs/>
      <w:sz w:val="21"/>
      <w:szCs w:val="21"/>
    </w:rPr>
  </w:style>
  <w:style w:type="paragraph" w:styleId="773">
    <w:name w:val="No Spacing"/>
    <w:uiPriority w:val="1"/>
    <w:qFormat/>
    <w:pPr>
      <w:spacing w:before="0" w:after="0" w:line="240" w:lineRule="auto"/>
    </w:pPr>
  </w:style>
  <w:style w:type="paragraph" w:styleId="774">
    <w:name w:val="Title"/>
    <w:basedOn w:val="926"/>
    <w:next w:val="926"/>
    <w:link w:val="7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5">
    <w:name w:val="Title Char"/>
    <w:basedOn w:val="927"/>
    <w:link w:val="774"/>
    <w:uiPriority w:val="10"/>
    <w:rPr>
      <w:sz w:val="48"/>
      <w:szCs w:val="48"/>
    </w:rPr>
  </w:style>
  <w:style w:type="paragraph" w:styleId="776">
    <w:name w:val="Subtitle"/>
    <w:basedOn w:val="926"/>
    <w:next w:val="926"/>
    <w:link w:val="777"/>
    <w:uiPriority w:val="11"/>
    <w:qFormat/>
    <w:pPr>
      <w:spacing w:before="200" w:after="200"/>
    </w:pPr>
    <w:rPr>
      <w:sz w:val="24"/>
      <w:szCs w:val="24"/>
    </w:rPr>
  </w:style>
  <w:style w:type="character" w:styleId="777">
    <w:name w:val="Subtitle Char"/>
    <w:basedOn w:val="927"/>
    <w:link w:val="776"/>
    <w:uiPriority w:val="11"/>
    <w:rPr>
      <w:sz w:val="24"/>
      <w:szCs w:val="24"/>
    </w:rPr>
  </w:style>
  <w:style w:type="paragraph" w:styleId="778">
    <w:name w:val="Quote"/>
    <w:basedOn w:val="926"/>
    <w:next w:val="926"/>
    <w:link w:val="779"/>
    <w:uiPriority w:val="29"/>
    <w:qFormat/>
    <w:pPr>
      <w:ind w:left="720" w:right="720"/>
    </w:pPr>
    <w:rPr>
      <w:i/>
    </w:rPr>
  </w:style>
  <w:style w:type="character" w:styleId="779">
    <w:name w:val="Quote Char"/>
    <w:link w:val="778"/>
    <w:uiPriority w:val="29"/>
    <w:rPr>
      <w:i/>
    </w:rPr>
  </w:style>
  <w:style w:type="paragraph" w:styleId="780">
    <w:name w:val="Intense Quote"/>
    <w:basedOn w:val="926"/>
    <w:next w:val="926"/>
    <w:link w:val="7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1">
    <w:name w:val="Intense Quote Char"/>
    <w:link w:val="780"/>
    <w:uiPriority w:val="30"/>
    <w:rPr>
      <w:i/>
    </w:rPr>
  </w:style>
  <w:style w:type="character" w:styleId="782">
    <w:name w:val="Header Char"/>
    <w:basedOn w:val="927"/>
    <w:link w:val="936"/>
    <w:uiPriority w:val="99"/>
  </w:style>
  <w:style w:type="character" w:styleId="783">
    <w:name w:val="Footer Char"/>
    <w:basedOn w:val="927"/>
    <w:link w:val="932"/>
    <w:uiPriority w:val="99"/>
  </w:style>
  <w:style w:type="character" w:styleId="784">
    <w:name w:val="Caption Char"/>
    <w:basedOn w:val="951"/>
    <w:link w:val="932"/>
    <w:uiPriority w:val="99"/>
  </w:style>
  <w:style w:type="table" w:styleId="785">
    <w:name w:val="Table Grid"/>
    <w:basedOn w:val="9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6">
    <w:name w:val="Table Grid Light"/>
    <w:basedOn w:val="9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7">
    <w:name w:val="Plain Table 1"/>
    <w:basedOn w:val="9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>
    <w:name w:val="Plain Table 2"/>
    <w:basedOn w:val="9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9">
    <w:name w:val="Plain Table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0">
    <w:name w:val="Plain Table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Plain Table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2">
    <w:name w:val="Grid Table 1 Light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1 Light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Grid Table 1 Light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Grid Table 1 Light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Grid Table 1 Light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2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2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2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2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3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3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3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4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4">
    <w:name w:val="Grid Table 4 - Accent 1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5">
    <w:name w:val="Grid Table 4 - Accent 2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Grid Table 4 - Accent 3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7">
    <w:name w:val="Grid Table 4 - Accent 4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Grid Table 4 - Accent 5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9">
    <w:name w:val="Grid Table 4 - Accent 6"/>
    <w:basedOn w:val="9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0">
    <w:name w:val="Grid Table 5 Dark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1">
    <w:name w:val="Grid Table 5 Dark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2">
    <w:name w:val="Grid Table 5 Dark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3">
    <w:name w:val="Grid Table 5 Dark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4">
    <w:name w:val="Grid Table 5 Dark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5">
    <w:name w:val="Grid Table 5 Dark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7">
    <w:name w:val="Grid Table 6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8">
    <w:name w:val="Grid Table 6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9">
    <w:name w:val="Grid Table 6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0">
    <w:name w:val="Grid Table 6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1">
    <w:name w:val="Grid Table 6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2">
    <w:name w:val="Grid Table 6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3">
    <w:name w:val="Grid Table 6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4">
    <w:name w:val="Grid Table 7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7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7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Grid Table 7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Grid Table 7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1 Light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List Table 1 Light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List Table 1 Light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9">
    <w:name w:val="List Table 2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0">
    <w:name w:val="List Table 2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1">
    <w:name w:val="List Table 2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2">
    <w:name w:val="List Table 2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3">
    <w:name w:val="List Table 2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4">
    <w:name w:val="List Table 2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5">
    <w:name w:val="List Table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3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3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3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3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4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4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5 Dark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0">
    <w:name w:val="List Table 5 Dark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1">
    <w:name w:val="List Table 5 Dark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2">
    <w:name w:val="List Table 5 Dark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3">
    <w:name w:val="List Table 5 Dark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6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7">
    <w:name w:val="List Table 6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8">
    <w:name w:val="List Table 6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9">
    <w:name w:val="List Table 6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0">
    <w:name w:val="List Table 6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1">
    <w:name w:val="List Table 6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2">
    <w:name w:val="List Table 6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3">
    <w:name w:val="List Table 7 Colorful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4">
    <w:name w:val="List Table 7 Colorful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5">
    <w:name w:val="List Table 7 Colorful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86">
    <w:name w:val="List Table 7 Colorful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7">
    <w:name w:val="List Table 7 Colorful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8">
    <w:name w:val="List Table 7 Colorful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9">
    <w:name w:val="List Table 7 Colorful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0">
    <w:name w:val="Lined - Accent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1">
    <w:name w:val="Lined - Accent 1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2">
    <w:name w:val="Lined - Accent 2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3">
    <w:name w:val="Lined - Accent 3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4">
    <w:name w:val="Lined - Accent 4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5">
    <w:name w:val="Lined - Accent 5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6">
    <w:name w:val="Lined - Accent 6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7">
    <w:name w:val="Bordered &amp; Lined - Accent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8">
    <w:name w:val="Bordered &amp; Lined - Accent 1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9">
    <w:name w:val="Bordered &amp; Lined - Accent 2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0">
    <w:name w:val="Bordered &amp; Lined - Accent 3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1">
    <w:name w:val="Bordered &amp; Lined - Accent 4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2">
    <w:name w:val="Bordered &amp; Lined - Accent 5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3">
    <w:name w:val="Bordered &amp; Lined - Accent 6"/>
    <w:basedOn w:val="9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4">
    <w:name w:val="Bordered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5">
    <w:name w:val="Bordered - Accent 1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6">
    <w:name w:val="Bordered - Accent 2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7">
    <w:name w:val="Bordered - Accent 3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8">
    <w:name w:val="Bordered - Accent 4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9">
    <w:name w:val="Bordered - Accent 5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0">
    <w:name w:val="Bordered - Accent 6"/>
    <w:basedOn w:val="9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1">
    <w:name w:val="Footnote Text Char"/>
    <w:link w:val="948"/>
    <w:uiPriority w:val="99"/>
    <w:rPr>
      <w:sz w:val="18"/>
    </w:rPr>
  </w:style>
  <w:style w:type="paragraph" w:styleId="912">
    <w:name w:val="endnote text"/>
    <w:basedOn w:val="926"/>
    <w:link w:val="913"/>
    <w:uiPriority w:val="99"/>
    <w:semiHidden/>
    <w:unhideWhenUsed/>
    <w:pPr>
      <w:spacing w:after="0" w:line="240" w:lineRule="auto"/>
    </w:pPr>
    <w:rPr>
      <w:sz w:val="20"/>
    </w:rPr>
  </w:style>
  <w:style w:type="character" w:styleId="913">
    <w:name w:val="Endnote Text Char"/>
    <w:link w:val="912"/>
    <w:uiPriority w:val="99"/>
    <w:rPr>
      <w:sz w:val="20"/>
    </w:rPr>
  </w:style>
  <w:style w:type="character" w:styleId="914">
    <w:name w:val="endnote reference"/>
    <w:basedOn w:val="927"/>
    <w:uiPriority w:val="99"/>
    <w:semiHidden/>
    <w:unhideWhenUsed/>
    <w:rPr>
      <w:vertAlign w:val="superscript"/>
    </w:rPr>
  </w:style>
  <w:style w:type="paragraph" w:styleId="915">
    <w:name w:val="toc 1"/>
    <w:basedOn w:val="926"/>
    <w:next w:val="926"/>
    <w:uiPriority w:val="39"/>
    <w:unhideWhenUsed/>
    <w:pPr>
      <w:ind w:left="0" w:right="0" w:firstLine="0"/>
      <w:spacing w:after="57"/>
    </w:pPr>
  </w:style>
  <w:style w:type="paragraph" w:styleId="916">
    <w:name w:val="toc 2"/>
    <w:basedOn w:val="926"/>
    <w:next w:val="926"/>
    <w:uiPriority w:val="39"/>
    <w:unhideWhenUsed/>
    <w:pPr>
      <w:ind w:left="283" w:right="0" w:firstLine="0"/>
      <w:spacing w:after="57"/>
    </w:pPr>
  </w:style>
  <w:style w:type="paragraph" w:styleId="917">
    <w:name w:val="toc 3"/>
    <w:basedOn w:val="926"/>
    <w:next w:val="926"/>
    <w:uiPriority w:val="39"/>
    <w:unhideWhenUsed/>
    <w:pPr>
      <w:ind w:left="567" w:right="0" w:firstLine="0"/>
      <w:spacing w:after="57"/>
    </w:pPr>
  </w:style>
  <w:style w:type="paragraph" w:styleId="918">
    <w:name w:val="toc 4"/>
    <w:basedOn w:val="926"/>
    <w:next w:val="926"/>
    <w:uiPriority w:val="39"/>
    <w:unhideWhenUsed/>
    <w:pPr>
      <w:ind w:left="850" w:right="0" w:firstLine="0"/>
      <w:spacing w:after="57"/>
    </w:pPr>
  </w:style>
  <w:style w:type="paragraph" w:styleId="919">
    <w:name w:val="toc 5"/>
    <w:basedOn w:val="926"/>
    <w:next w:val="926"/>
    <w:uiPriority w:val="39"/>
    <w:unhideWhenUsed/>
    <w:pPr>
      <w:ind w:left="1134" w:right="0" w:firstLine="0"/>
      <w:spacing w:after="57"/>
    </w:pPr>
  </w:style>
  <w:style w:type="paragraph" w:styleId="920">
    <w:name w:val="toc 6"/>
    <w:basedOn w:val="926"/>
    <w:next w:val="926"/>
    <w:uiPriority w:val="39"/>
    <w:unhideWhenUsed/>
    <w:pPr>
      <w:ind w:left="1417" w:right="0" w:firstLine="0"/>
      <w:spacing w:after="57"/>
    </w:pPr>
  </w:style>
  <w:style w:type="paragraph" w:styleId="921">
    <w:name w:val="toc 7"/>
    <w:basedOn w:val="926"/>
    <w:next w:val="926"/>
    <w:uiPriority w:val="39"/>
    <w:unhideWhenUsed/>
    <w:pPr>
      <w:ind w:left="1701" w:right="0" w:firstLine="0"/>
      <w:spacing w:after="57"/>
    </w:pPr>
  </w:style>
  <w:style w:type="paragraph" w:styleId="922">
    <w:name w:val="toc 8"/>
    <w:basedOn w:val="926"/>
    <w:next w:val="926"/>
    <w:uiPriority w:val="39"/>
    <w:unhideWhenUsed/>
    <w:pPr>
      <w:ind w:left="1984" w:right="0" w:firstLine="0"/>
      <w:spacing w:after="57"/>
    </w:pPr>
  </w:style>
  <w:style w:type="paragraph" w:styleId="923">
    <w:name w:val="toc 9"/>
    <w:basedOn w:val="926"/>
    <w:next w:val="926"/>
    <w:uiPriority w:val="39"/>
    <w:unhideWhenUsed/>
    <w:pPr>
      <w:ind w:left="2268" w:right="0" w:firstLine="0"/>
      <w:spacing w:after="57"/>
    </w:pPr>
  </w:style>
  <w:style w:type="paragraph" w:styleId="924">
    <w:name w:val="TOC Heading"/>
    <w:uiPriority w:val="39"/>
    <w:unhideWhenUsed/>
  </w:style>
  <w:style w:type="paragraph" w:styleId="925">
    <w:name w:val="table of figures"/>
    <w:basedOn w:val="926"/>
    <w:next w:val="926"/>
    <w:uiPriority w:val="99"/>
    <w:unhideWhenUsed/>
    <w:pPr>
      <w:spacing w:after="0" w:afterAutospacing="0"/>
    </w:pPr>
  </w:style>
  <w:style w:type="paragraph" w:styleId="926" w:default="1">
    <w:name w:val="Normal"/>
    <w:qFormat/>
  </w:style>
  <w:style w:type="character" w:styleId="927" w:default="1">
    <w:name w:val="Default Paragraph Font"/>
    <w:uiPriority w:val="1"/>
    <w:semiHidden/>
    <w:unhideWhenUsed/>
  </w:style>
  <w:style w:type="table" w:styleId="9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29" w:default="1">
    <w:name w:val="No List"/>
    <w:uiPriority w:val="99"/>
    <w:semiHidden/>
    <w:unhideWhenUsed/>
  </w:style>
  <w:style w:type="paragraph" w:styleId="930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931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932">
    <w:name w:val="Footer"/>
    <w:basedOn w:val="926"/>
    <w:link w:val="93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3" w:customStyle="1">
    <w:name w:val="Нижний колонтитул Знак"/>
    <w:basedOn w:val="927"/>
    <w:link w:val="932"/>
    <w:uiPriority w:val="99"/>
  </w:style>
  <w:style w:type="paragraph" w:styleId="934">
    <w:name w:val="List Paragraph"/>
    <w:basedOn w:val="926"/>
    <w:uiPriority w:val="34"/>
    <w:qFormat/>
    <w:pPr>
      <w:contextualSpacing/>
      <w:ind w:left="720"/>
    </w:pPr>
  </w:style>
  <w:style w:type="paragraph" w:styleId="935">
    <w:name w:val="Normal (Web)"/>
    <w:basedOn w:val="926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6">
    <w:name w:val="Header"/>
    <w:basedOn w:val="926"/>
    <w:link w:val="937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7" w:customStyle="1">
    <w:name w:val="Верхний колонтитул Знак"/>
    <w:basedOn w:val="927"/>
    <w:link w:val="936"/>
    <w:uiPriority w:val="99"/>
  </w:style>
  <w:style w:type="paragraph" w:styleId="938" w:customStyle="1">
    <w:name w:val="dt-p"/>
    <w:basedOn w:val="92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39" w:customStyle="1">
    <w:name w:val="dt-m"/>
    <w:basedOn w:val="927"/>
  </w:style>
  <w:style w:type="character" w:styleId="940">
    <w:name w:val="annotation reference"/>
    <w:basedOn w:val="927"/>
    <w:semiHidden/>
    <w:unhideWhenUsed/>
    <w:rPr>
      <w:sz w:val="16"/>
      <w:szCs w:val="16"/>
    </w:rPr>
  </w:style>
  <w:style w:type="paragraph" w:styleId="941">
    <w:name w:val="annotation text"/>
    <w:basedOn w:val="926"/>
    <w:link w:val="942"/>
    <w:semiHidden/>
    <w:unhideWhenUsed/>
    <w:pPr>
      <w:spacing w:line="240" w:lineRule="auto"/>
    </w:pPr>
    <w:rPr>
      <w:sz w:val="20"/>
      <w:szCs w:val="20"/>
    </w:rPr>
  </w:style>
  <w:style w:type="character" w:styleId="942" w:customStyle="1">
    <w:name w:val="Текст примечания Знак"/>
    <w:basedOn w:val="927"/>
    <w:link w:val="941"/>
    <w:semiHidden/>
    <w:rPr>
      <w:sz w:val="20"/>
      <w:szCs w:val="20"/>
    </w:rPr>
  </w:style>
  <w:style w:type="paragraph" w:styleId="943">
    <w:name w:val="annotation subject"/>
    <w:basedOn w:val="941"/>
    <w:next w:val="941"/>
    <w:link w:val="944"/>
    <w:uiPriority w:val="99"/>
    <w:semiHidden/>
    <w:unhideWhenUsed/>
    <w:rPr>
      <w:b/>
      <w:bCs/>
    </w:rPr>
  </w:style>
  <w:style w:type="character" w:styleId="944" w:customStyle="1">
    <w:name w:val="Тема примечания Знак"/>
    <w:basedOn w:val="942"/>
    <w:link w:val="943"/>
    <w:uiPriority w:val="99"/>
    <w:semiHidden/>
    <w:rPr>
      <w:b/>
      <w:bCs/>
      <w:sz w:val="20"/>
      <w:szCs w:val="20"/>
    </w:rPr>
  </w:style>
  <w:style w:type="paragraph" w:styleId="945">
    <w:name w:val="Balloon Text"/>
    <w:basedOn w:val="926"/>
    <w:link w:val="94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46" w:customStyle="1">
    <w:name w:val="Текст выноски Знак"/>
    <w:basedOn w:val="927"/>
    <w:link w:val="945"/>
    <w:uiPriority w:val="99"/>
    <w:semiHidden/>
    <w:rPr>
      <w:rFonts w:ascii="Segoe UI" w:hAnsi="Segoe UI" w:cs="Segoe UI"/>
      <w:sz w:val="18"/>
      <w:szCs w:val="18"/>
    </w:rPr>
  </w:style>
  <w:style w:type="character" w:styleId="947">
    <w:name w:val="Hyperlink"/>
    <w:basedOn w:val="927"/>
    <w:uiPriority w:val="99"/>
    <w:semiHidden/>
    <w:unhideWhenUsed/>
    <w:rPr>
      <w:color w:val="0000ff"/>
      <w:u w:val="single"/>
    </w:rPr>
  </w:style>
  <w:style w:type="paragraph" w:styleId="948">
    <w:name w:val="footnote text"/>
    <w:basedOn w:val="926"/>
    <w:link w:val="94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49" w:customStyle="1">
    <w:name w:val="Текст сноски Знак"/>
    <w:basedOn w:val="927"/>
    <w:link w:val="948"/>
    <w:uiPriority w:val="99"/>
    <w:semiHidden/>
    <w:rPr>
      <w:sz w:val="20"/>
      <w:szCs w:val="20"/>
    </w:rPr>
  </w:style>
  <w:style w:type="character" w:styleId="950">
    <w:name w:val="footnote reference"/>
    <w:basedOn w:val="927"/>
    <w:uiPriority w:val="99"/>
    <w:semiHidden/>
    <w:unhideWhenUsed/>
    <w:rPr>
      <w:vertAlign w:val="superscript"/>
    </w:rPr>
  </w:style>
  <w:style w:type="paragraph" w:styleId="951">
    <w:name w:val="Caption"/>
    <w:basedOn w:val="926"/>
    <w:next w:val="926"/>
    <w:link w:val="784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952">
    <w:name w:val="FollowedHyperlink"/>
    <w:basedOn w:val="927"/>
    <w:uiPriority w:val="99"/>
    <w:semiHidden/>
    <w:unhideWhenUsed/>
    <w:rPr>
      <w:color w:val="800080" w:themeColor="followedHyperlink"/>
      <w:u w:val="single"/>
    </w:rPr>
  </w:style>
  <w:style w:type="paragraph" w:styleId="953">
    <w:name w:val="Body Text Indent 2"/>
    <w:basedOn w:val="926"/>
    <w:link w:val="954"/>
    <w:unhideWhenUsed/>
    <w:pPr>
      <w:ind w:firstLine="709"/>
      <w:jc w:val="both"/>
      <w:spacing w:after="0" w:line="336" w:lineRule="auto"/>
    </w:pPr>
    <w:rPr>
      <w:rFonts w:ascii="Times New Roman" w:hAnsi="Times New Roman" w:eastAsia="SimSun" w:cs="Times New Roman"/>
      <w:sz w:val="28"/>
      <w:szCs w:val="28"/>
      <w:lang w:eastAsia="ru-RU"/>
    </w:rPr>
  </w:style>
  <w:style w:type="character" w:styleId="954" w:customStyle="1">
    <w:name w:val="Основной текст с отступом 2 Знак"/>
    <w:basedOn w:val="927"/>
    <w:link w:val="953"/>
    <w:rPr>
      <w:rFonts w:ascii="Times New Roman" w:hAnsi="Times New Roman" w:eastAsia="SimSun" w:cs="Times New Roman"/>
      <w:sz w:val="28"/>
      <w:szCs w:val="28"/>
      <w:lang w:eastAsia="ru-RU"/>
    </w:rPr>
  </w:style>
  <w:style w:type="paragraph" w:styleId="955">
    <w:name w:val="Body Text"/>
    <w:basedOn w:val="926"/>
    <w:link w:val="956"/>
    <w:uiPriority w:val="99"/>
    <w:unhideWhenUsed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56" w:customStyle="1">
    <w:name w:val="Основной текст Знак"/>
    <w:basedOn w:val="927"/>
    <w:link w:val="955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rossetimr.ru/zakupki/prav_obesp/2021/2021-29-06-prikaz-479.zip" TargetMode="External"/><Relationship Id="rId12" Type="http://schemas.openxmlformats.org/officeDocument/2006/relationships/hyperlink" Target="https://rossetimr.ru/zakupki/prav_obesp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7D16-03E5-4604-8258-DBD5DA64E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MOESK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Svetlana</dc:creator>
  <cp:lastModifiedBy>bobryashovaia</cp:lastModifiedBy>
  <cp:revision>8</cp:revision>
  <dcterms:created xsi:type="dcterms:W3CDTF">2024-03-04T10:23:00Z</dcterms:created>
  <dcterms:modified xsi:type="dcterms:W3CDTF">2026-10-28T14:33:11Z</dcterms:modified>
</cp:coreProperties>
</file>