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spacing w:before="40" w:after="40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  <w:r>
        <w:rPr>
          <w:rFonts w:eastAsia="Calibri"/>
          <w:b/>
          <w:sz w:val="26"/>
          <w:szCs w:val="26"/>
        </w:rPr>
        <w:t>на оказание услуг</w:t>
      </w:r>
    </w:p>
    <w:p>
      <w:pPr>
        <w:pStyle w:val="Normal"/>
        <w:keepNext w:val="true"/>
        <w:keepLines/>
        <w:jc w:val="center"/>
        <w:rPr/>
      </w:pPr>
      <w:r>
        <w:rPr/>
        <w:t>ОКПД 2: 71.20.14.000 Оказание услуг по проведению технического осмотра транспортных средств на территории Камчатского края для нужд Камчатского филиала АО "ТК РусГидро"</w:t>
      </w:r>
    </w:p>
    <w:p>
      <w:pPr>
        <w:pStyle w:val="Normal"/>
        <w:keepNext w:val="true"/>
        <w:keepLines/>
        <w:jc w:val="center"/>
        <w:rPr/>
      </w:pPr>
      <w:r>
        <w:rPr/>
        <w:t>Лот №2064-ТО ПРОД-2027-ТК-КФ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tbl>
      <w:tblPr>
        <w:tblStyle w:val="affff8"/>
        <w:tblW w:w="991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20"/>
        <w:gridCol w:w="694"/>
      </w:tblGrid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b/>
                <w:iCs/>
                <w:kern w:val="0"/>
                <w:sz w:val="24"/>
                <w:lang w:val="ru-RU" w:eastAsia="x-none" w:bidi="ar-SA"/>
              </w:rPr>
              <w:t>1. Общие сведения……………………………………………………………………………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3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1.1. Обозначения и сокращения………………………………………………………………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3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1.2. Наименование закупаемой продукции………………………………………………….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3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1.3. Цель оказания услуг……………………………………………………………………...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3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1.4. Существующее положение………………………………………………………………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x-none" w:bidi="ar-SA"/>
              </w:rPr>
              <w:t>3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iCs/>
                <w:sz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Таблица 1. Перечень объектов заказчика………………………………………………...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x-none" w:bidi="ar-SA"/>
              </w:rPr>
              <w:t>3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договора)…………………………….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4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b/>
                <w:iCs/>
                <w:kern w:val="0"/>
                <w:sz w:val="24"/>
                <w:lang w:val="ru-RU" w:eastAsia="x-none" w:bidi="ar-SA"/>
              </w:rPr>
              <w:t>2. Требования к продукции…………………………………………………………………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2.1. Требования к объемам и срокам оказания услуг……………………………………….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4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2.1.1. Требования к перечню и объему услуг………………………………………………..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4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b/>
                <w:iCs/>
                <w:kern w:val="0"/>
                <w:sz w:val="24"/>
                <w:lang w:val="ru-RU" w:eastAsia="x-none" w:bidi="ar-SA"/>
              </w:rPr>
              <w:t>Таблица 2. Перечень и объем оказываемых услуг………………………………………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4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2.1.2.Требования к срокам оказания услуг…………………………………………………..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4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b/>
                <w:iCs/>
                <w:kern w:val="0"/>
                <w:sz w:val="24"/>
                <w:lang w:val="ru-RU" w:eastAsia="x-none" w:bidi="ar-SA"/>
              </w:rPr>
              <w:t>Таблица 3. Требования к срокам оказания услуг……………………………………….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4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2.2. Требования к качеству услуг…………………………………………………………….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5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b/>
                <w:iCs/>
                <w:kern w:val="0"/>
                <w:sz w:val="24"/>
                <w:lang w:val="ru-RU" w:eastAsia="x-none" w:bidi="ar-SA"/>
              </w:rPr>
              <w:t>Таблица 4. Требования к качеству услуг…………………………………………………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5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b/>
                <w:iCs/>
                <w:kern w:val="0"/>
                <w:sz w:val="24"/>
                <w:lang w:val="ru-RU" w:eastAsia="x-none" w:bidi="ar-SA"/>
              </w:rPr>
              <w:t>3. Требования к документации по ценообразованию на этапе закупки……………...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9</w:t>
            </w:r>
          </w:p>
        </w:tc>
      </w:tr>
      <w:tr>
        <w:trPr/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b/>
                <w:iCs/>
                <w:kern w:val="0"/>
                <w:sz w:val="24"/>
                <w:lang w:val="ru-RU" w:eastAsia="x-none" w:bidi="ar-SA"/>
              </w:rPr>
              <w:t>4. Требования к документации по ценообразованию на этапе заключения (исполнения) договора ……………………………………………………………………...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0"/>
              <w:jc w:val="left"/>
              <w:rPr>
                <w:rFonts w:eastAsia="Calibri"/>
                <w:iCs/>
                <w:sz w:val="24"/>
                <w:lang w:eastAsia="x-none"/>
              </w:rPr>
            </w:pPr>
            <w:r>
              <w:rPr>
                <w:rFonts w:eastAsia="Calibri" w:cs="Times New Roman"/>
                <w:iCs/>
                <w:kern w:val="0"/>
                <w:sz w:val="24"/>
                <w:lang w:val="ru-RU" w:eastAsia="x-none" w:bidi="ar-SA"/>
              </w:rPr>
              <w:t>9</w:t>
            </w:r>
          </w:p>
        </w:tc>
      </w:tr>
    </w:tbl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142558679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142558680"/>
      <w:bookmarkStart w:id="2" w:name="_Toc46743505"/>
      <w:r>
        <w:rPr/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54"/>
        <w:gridCol w:w="7528"/>
      </w:tblGrid>
      <w:tr>
        <w:trPr>
          <w:cantSplit w:val="true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</w:tabs>
              <w:spacing w:before="120" w:after="60"/>
              <w:ind w:hanging="432" w:left="432"/>
              <w:jc w:val="center"/>
              <w:rPr>
                <w:b w:val="false"/>
                <w:sz w:val="22"/>
                <w:szCs w:val="22"/>
              </w:rPr>
            </w:pPr>
            <w:bookmarkStart w:id="3" w:name="_Toc142558681"/>
            <w:bookmarkStart w:id="4" w:name="_Toc135752676"/>
            <w:bookmarkStart w:id="5" w:name="_Toc135753769"/>
            <w:r>
              <w:rPr>
                <w:b w:val="false"/>
                <w:sz w:val="22"/>
                <w:szCs w:val="22"/>
              </w:rPr>
              <w:t>АО «ТК РусГидро»</w:t>
            </w:r>
            <w:bookmarkEnd w:id="3"/>
            <w:bookmarkEnd w:id="4"/>
            <w:bookmarkEnd w:id="5"/>
          </w:p>
        </w:tc>
        <w:tc>
          <w:tcPr>
            <w:tcW w:w="7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</w:tabs>
              <w:spacing w:before="120" w:after="60"/>
              <w:ind w:hanging="0" w:left="0"/>
              <w:rPr>
                <w:b w:val="false"/>
                <w:sz w:val="22"/>
                <w:szCs w:val="22"/>
              </w:rPr>
            </w:pPr>
            <w:bookmarkStart w:id="6" w:name="_Toc135752677"/>
            <w:bookmarkStart w:id="7" w:name="_Toc135753770"/>
            <w:bookmarkStart w:id="8" w:name="_Toc142558682"/>
            <w:r>
              <w:rPr>
                <w:b w:val="false"/>
                <w:sz w:val="22"/>
                <w:szCs w:val="22"/>
              </w:rPr>
              <w:t>Акционерное Общество «Транспортная компания РусГидро»</w:t>
            </w:r>
            <w:bookmarkEnd w:id="6"/>
            <w:bookmarkEnd w:id="7"/>
            <w:bookmarkEnd w:id="8"/>
          </w:p>
        </w:tc>
      </w:tr>
      <w:tr>
        <w:trPr>
          <w:cantSplit w:val="true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</w:tabs>
              <w:spacing w:before="120" w:after="60"/>
              <w:ind w:hanging="432" w:left="432"/>
              <w:jc w:val="center"/>
              <w:rPr>
                <w:b w:val="false"/>
                <w:sz w:val="22"/>
                <w:szCs w:val="22"/>
                <w:lang w:val="ru-RU"/>
              </w:rPr>
            </w:pPr>
            <w:r>
              <w:rPr>
                <w:b w:val="false"/>
                <w:sz w:val="22"/>
                <w:szCs w:val="22"/>
                <w:lang w:val="ru-RU"/>
              </w:rPr>
              <w:t>ТС</w:t>
            </w:r>
          </w:p>
        </w:tc>
        <w:tc>
          <w:tcPr>
            <w:tcW w:w="7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</w:tabs>
              <w:spacing w:before="120" w:after="60"/>
              <w:ind w:hanging="0" w:left="0"/>
              <w:rPr>
                <w:b w:val="false"/>
                <w:sz w:val="22"/>
                <w:szCs w:val="22"/>
                <w:lang w:val="ru-RU"/>
              </w:rPr>
            </w:pPr>
            <w:r>
              <w:rPr>
                <w:b w:val="false"/>
                <w:sz w:val="22"/>
                <w:szCs w:val="22"/>
                <w:lang w:val="ru-RU"/>
              </w:rPr>
              <w:t>Транспортное средство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>
          <w:lang w:val="ru-RU"/>
        </w:rPr>
      </w:pPr>
      <w:bookmarkStart w:id="9" w:name="_Toc142558683"/>
      <w:r>
        <w:rPr/>
        <w:t xml:space="preserve">Наименование </w:t>
      </w:r>
      <w:r>
        <w:rPr>
          <w:lang w:val="ru-RU"/>
        </w:rPr>
        <w:t>оказываемых услуг</w:t>
      </w:r>
      <w:bookmarkEnd w:id="9"/>
    </w:p>
    <w:p>
      <w:pPr>
        <w:pStyle w:val="Normal"/>
        <w:rPr>
          <w:sz w:val="24"/>
          <w:szCs w:val="24"/>
          <w:lang w:eastAsia="x-none"/>
        </w:rPr>
      </w:pPr>
      <w:bookmarkStart w:id="10" w:name="_Toc142558684"/>
      <w:r>
        <w:rPr>
          <w:sz w:val="24"/>
          <w:szCs w:val="24"/>
        </w:rPr>
        <w:t>ОКПД 2: 71.20.14.000 Оказание услуг по проведению технического осмотра транспортных средств на территории Камчатского края для нужд Камчатского филиала АО "ТК РусГидро"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1" w:name="_Toc46743507"/>
      <w:r>
        <w:rPr/>
        <w:t xml:space="preserve">Цель </w:t>
      </w:r>
      <w:bookmarkEnd w:id="11"/>
      <w:r>
        <w:rPr>
          <w:lang w:val="ru-RU"/>
        </w:rPr>
        <w:t>оказания услуг</w:t>
      </w:r>
      <w:bookmarkEnd w:id="10"/>
      <w:r>
        <w:rPr/>
        <w:t xml:space="preserve"> 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Обеспечение гарантии беспрепятственного перемещения транспортных средств по дорогам общего пользования в соответствии с ПДД РФ.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2" w:name="_Toc142558685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2"/>
    </w:p>
    <w:tbl>
      <w:tblPr>
        <w:tblW w:w="10066" w:type="dxa"/>
        <w:jc w:val="left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92"/>
        <w:gridCol w:w="1747"/>
        <w:gridCol w:w="3049"/>
        <w:gridCol w:w="2551"/>
        <w:gridCol w:w="2127"/>
      </w:tblGrid>
      <w:tr>
        <w:trPr>
          <w:trHeight w:val="1404" w:hRule="atLeast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r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74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объекта</w:t>
            </w:r>
          </w:p>
        </w:tc>
        <w:tc>
          <w:tcPr>
            <w:tcW w:w="3049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Расположение объекта (место оказания услуг)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основного средства(в отношении которого оказываются услуги)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Примечания</w:t>
            </w:r>
          </w:p>
        </w:tc>
      </w:tr>
      <w:tr>
        <w:trPr>
          <w:trHeight w:val="300" w:hRule="atLeast"/>
        </w:trPr>
        <w:tc>
          <w:tcPr>
            <w:tcW w:w="592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7" w:type="dxa"/>
            <w:tcBorders>
              <w:top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49" w:type="dxa"/>
            <w:tcBorders>
              <w:top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>
        <w:trPr>
          <w:trHeight w:val="1020" w:hRule="atLeast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по проведению технического осмотра ТС</w:t>
            </w:r>
          </w:p>
        </w:tc>
        <w:tc>
          <w:tcPr>
            <w:tcW w:w="30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«Камчатские ТЭЦ» (КТЭЦ)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 участка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1020" w:hRule="atLeast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по проведению технического осмотра ТС</w:t>
            </w:r>
          </w:p>
        </w:tc>
        <w:tc>
          <w:tcPr>
            <w:tcW w:w="30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«Центральные электрические сети» (СЭС)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 участка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1020" w:hRule="atLeast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по проведению технического осмотра ТС</w:t>
            </w:r>
          </w:p>
        </w:tc>
        <w:tc>
          <w:tcPr>
            <w:tcW w:w="30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«Участок транспортировки топлива и технологического присоединения» (УТТ и ТП)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 участка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1020" w:hRule="atLeast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по проведению технического осмотра ТС</w:t>
            </w:r>
          </w:p>
        </w:tc>
        <w:tc>
          <w:tcPr>
            <w:tcW w:w="30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«Возобновляемая энергетика» (ВЭ)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 участка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1020" w:hRule="atLeast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по проведению технического осмотра ТС</w:t>
            </w:r>
          </w:p>
        </w:tc>
        <w:tc>
          <w:tcPr>
            <w:tcW w:w="30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«Коммунальная энергетика» (КЭ)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 участка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1020" w:hRule="atLeast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по проведению технического осмотра ТС</w:t>
            </w:r>
          </w:p>
        </w:tc>
        <w:tc>
          <w:tcPr>
            <w:tcW w:w="30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«Елизовский»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 участка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ListParagraph"/>
        <w:numPr>
          <w:ilvl w:val="1"/>
          <w:numId w:val="3"/>
        </w:numPr>
        <w:jc w:val="both"/>
        <w:rPr>
          <w:b/>
          <w:lang w:eastAsia="x-none"/>
        </w:rPr>
      </w:pPr>
      <w:bookmarkStart w:id="13" w:name="_Hlk49857604"/>
      <w:bookmarkStart w:id="14" w:name="_Toc46743509"/>
      <w:r>
        <w:rPr>
          <w:b/>
          <w:lang w:eastAsia="x-none"/>
        </w:rPr>
        <w:t xml:space="preserve">Информация в отношении исполнения договора, </w:t>
      </w:r>
      <w:bookmarkStart w:id="15" w:name="_Hlk46492347"/>
      <w:r>
        <w:rPr>
          <w:b/>
          <w:lang w:eastAsia="x-none"/>
        </w:rPr>
        <w:t xml:space="preserve">которая должна быть учтена при подготовке заявки </w:t>
      </w:r>
      <w:bookmarkEnd w:id="15"/>
      <w:r>
        <w:rPr>
          <w:b/>
          <w:lang w:eastAsia="x-none"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13"/>
      <w:bookmarkEnd w:id="14"/>
    </w:p>
    <w:p>
      <w:pPr>
        <w:pStyle w:val="Heading3"/>
        <w:numPr>
          <w:ilvl w:val="2"/>
          <w:numId w:val="3"/>
        </w:numPr>
        <w:spacing w:before="0" w:after="0"/>
        <w:ind w:firstLine="720" w:left="0"/>
        <w:jc w:val="both"/>
        <w:rPr>
          <w:b w:val="false"/>
          <w:lang w:val="ru-RU"/>
        </w:rPr>
      </w:pPr>
      <w:r>
        <w:rPr>
          <w:b w:val="false"/>
          <w:lang w:val="ru-RU"/>
        </w:rPr>
        <w:t xml:space="preserve">Объем выполняемых работ по техническому осмотру </w:t>
      </w:r>
      <w:r>
        <w:rPr>
          <w:b w:val="false"/>
          <w:lang w:val="ru-RU"/>
        </w:rPr>
        <w:t xml:space="preserve">ТС </w:t>
      </w:r>
      <w:r>
        <w:rPr>
          <w:b w:val="false"/>
          <w:lang w:val="ru-RU"/>
        </w:rPr>
        <w:t xml:space="preserve">осуществляется в соответствии с </w:t>
      </w:r>
      <w:hyperlink r:id="rId2">
        <w:r>
          <w:rPr>
            <w:b w:val="false"/>
            <w:lang w:val="ru-RU"/>
          </w:rPr>
          <w:t>Федеральным законом от 01.07.2011 N 170-ФЗ  "О техническом осмотре транспортных средств и о внесении изменений в отдельные законодательные акты Российской Федерации"</w:t>
        </w:r>
      </w:hyperlink>
      <w:r>
        <w:rPr>
          <w:b w:val="false"/>
          <w:lang w:val="ru-RU"/>
        </w:rPr>
        <w:t>.</w:t>
      </w:r>
    </w:p>
    <w:p>
      <w:pPr>
        <w:pStyle w:val="Heading3"/>
        <w:numPr>
          <w:ilvl w:val="2"/>
          <w:numId w:val="3"/>
        </w:numPr>
        <w:spacing w:before="0" w:after="0"/>
        <w:ind w:firstLine="720" w:left="0"/>
        <w:jc w:val="both"/>
        <w:rPr>
          <w:b w:val="false"/>
          <w:lang w:val="ru-RU"/>
        </w:rPr>
      </w:pPr>
      <w:r>
        <w:rPr>
          <w:b w:val="false"/>
          <w:lang w:val="ru-RU"/>
        </w:rPr>
        <w:t xml:space="preserve">Перечень оказываемых услуг по техническому осмотру </w:t>
      </w:r>
      <w:r>
        <w:rPr>
          <w:b w:val="false"/>
          <w:lang w:val="ru-RU"/>
        </w:rPr>
        <w:t xml:space="preserve">ТС </w:t>
      </w:r>
      <w:r>
        <w:rPr>
          <w:b w:val="false"/>
          <w:lang w:val="ru-RU"/>
        </w:rPr>
        <w:t>для нужд Камчатского филиала АО «ТК РусГидро» осуществляется в соответствии с Таблицей №2 «Перечень и объём оказываемых услуг».</w:t>
      </w:r>
    </w:p>
    <w:p>
      <w:pPr>
        <w:pStyle w:val="Heading3"/>
        <w:numPr>
          <w:ilvl w:val="2"/>
          <w:numId w:val="3"/>
        </w:numPr>
        <w:spacing w:before="0" w:after="0"/>
        <w:ind w:firstLine="720" w:left="0"/>
        <w:jc w:val="both"/>
        <w:rPr>
          <w:b w:val="false"/>
          <w:lang w:val="ru-RU"/>
        </w:rPr>
      </w:pPr>
      <w:r>
        <w:rPr>
          <w:b w:val="false"/>
          <w:lang w:val="ru-RU"/>
        </w:rPr>
        <w:t xml:space="preserve">При возникновении необходимости оказания услуг Заказчик уведомляет об этом Исполнителя путем направления заявки </w:t>
      </w:r>
      <w:r>
        <w:rPr>
          <w:b w:val="false"/>
          <w:lang w:val="ru-RU"/>
        </w:rPr>
        <w:t>в соответствии с порядком, определенным Договором</w:t>
      </w:r>
      <w:r>
        <w:rPr>
          <w:b w:val="false"/>
          <w:lang w:val="ru-RU"/>
        </w:rPr>
        <w:t>.</w:t>
      </w:r>
    </w:p>
    <w:p>
      <w:pPr>
        <w:pStyle w:val="Heading3"/>
        <w:numPr>
          <w:ilvl w:val="2"/>
          <w:numId w:val="3"/>
        </w:numPr>
        <w:spacing w:before="0" w:after="0"/>
        <w:ind w:firstLine="720" w:left="0"/>
        <w:jc w:val="both"/>
        <w:rPr>
          <w:b w:val="false"/>
          <w:lang w:val="ru-RU"/>
        </w:rPr>
      </w:pPr>
      <w:r>
        <w:rPr>
          <w:b w:val="false"/>
          <w:lang w:val="ru-RU"/>
        </w:rPr>
        <w:t>Сроки оказания услуг подлежат продлению в случае необходимости привлечения дополнительного персонала Исполнителя или использования дополнительных запасных частей. При отсутствии запасных частей/расходных материалов на складе Заказчика, Исполнителя или на заводе-изготовителе срок исполнения обязательств соразмерно продлевается на срок, необходимый для поставки запасных частей/расходных материалов, который в любом случае не может составлять менее срока производства соответствующих запасных частей/расходных материалов на заводе-изготовителе, увеличенного на срок её доставки в место оказания услуг/выполнения работ.</w:t>
      </w:r>
    </w:p>
    <w:p>
      <w:pPr>
        <w:pStyle w:val="Normal"/>
        <w:rPr>
          <w:rFonts w:eastAsia="Calibri"/>
          <w:lang w:val="x-none" w:eastAsia="x-none"/>
        </w:rPr>
      </w:pPr>
      <w:r>
        <w:rPr>
          <w:rFonts w:eastAsia="Calibri"/>
          <w:lang w:val="x-none" w:eastAsia="x-none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6" w:name="_Toc46743510"/>
      <w:bookmarkStart w:id="17" w:name="_Toc50125126"/>
      <w:bookmarkStart w:id="18" w:name="_Toc51339693"/>
      <w:bookmarkStart w:id="19" w:name="_Toc142558689"/>
      <w:bookmarkEnd w:id="17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8"/>
      <w:bookmarkEnd w:id="19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20" w:name="_Toc142558690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>
      <w:pPr>
        <w:pStyle w:val="Heading3"/>
        <w:numPr>
          <w:ilvl w:val="2"/>
          <w:numId w:val="3"/>
        </w:numPr>
        <w:spacing w:before="0" w:after="0"/>
        <w:jc w:val="both"/>
        <w:rPr>
          <w:lang w:val="ru-RU"/>
        </w:rPr>
      </w:pPr>
      <w:bookmarkStart w:id="21" w:name="_Toc142558691"/>
      <w:r>
        <w:rPr>
          <w:lang w:val="ru-RU"/>
        </w:rPr>
        <w:t>Требования к перечню и объему услуг</w:t>
      </w:r>
      <w:bookmarkEnd w:id="21"/>
    </w:p>
    <w:p>
      <w:pPr>
        <w:pStyle w:val="Heading1"/>
        <w:keepLines/>
        <w:numPr>
          <w:ilvl w:val="0"/>
          <w:numId w:val="0"/>
        </w:numPr>
        <w:spacing w:before="0" w:after="0"/>
        <w:ind w:hanging="0" w:left="0"/>
        <w:rPr>
          <w:sz w:val="24"/>
          <w:szCs w:val="24"/>
          <w:lang w:val="ru-RU"/>
        </w:rPr>
      </w:pPr>
      <w:bookmarkStart w:id="22" w:name="_Toc142558692"/>
      <w:bookmarkStart w:id="2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3"/>
      <w:r>
        <w:rPr>
          <w:sz w:val="24"/>
          <w:szCs w:val="24"/>
          <w:lang w:val="ru-RU"/>
        </w:rPr>
        <w:t>и объем оказываемых услуг</w:t>
      </w:r>
      <w:bookmarkEnd w:id="22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37"/>
        <w:gridCol w:w="6095"/>
        <w:gridCol w:w="1419"/>
        <w:gridCol w:w="1558"/>
      </w:tblGrid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>
        <w:trPr>
          <w:trHeight w:val="252" w:hRule="atLeast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Пассажирские автомобили легковые до 8 посадочных мест (М1)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110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Пассажирские автомобили более 8 посадочных мест, технически допустимая максимальная масса которых не превышает 5 тонн (М2)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5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  <w:t>15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Пассажирские автомобили более 8 посадочных мест, технически допустимая максимальная масса которая превышает 5 тонн (М3)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15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Грузовые автомобили имеющие технически допустимую максимальную массу не более 3,5 тонн (N1)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20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Грузовые автомобили имеющие технически допустимую максимальную массу свыше 3,5 тонн, но не более 12 тонн (N2)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55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Грузовые автомобили имеющие технически допустимую максимальную массу более 12 тонн (N3)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5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70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90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Грузовые автомобили имеющие технически допустимую максимальную массу более 12 тонн, специализированные для перевозки нефтепродуктов (N3)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24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Прицепы и полуприцепы грузовые технически допустимая максимальная масса которых от 0,75 до 3,5 тонн (О2)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5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Прицепы и полуприцепы грузовые технически допустимая  максимальная масса которых свыше 10 тонн (О4)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5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60" w:leader="none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 допустимая  максимальная масса которых свыше 10 тонн, специализированные для перевозки нефтепродуктов (О4)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bookmarkStart w:id="24" w:name="_GoBack_Копия_1"/>
            <w:bookmarkEnd w:id="24"/>
            <w:r>
              <w:rPr>
                <w:color w:val="000000"/>
                <w:sz w:val="24"/>
                <w:szCs w:val="22"/>
              </w:rPr>
              <w:t>4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Toc142558693"/>
      <w:bookmarkStart w:id="26" w:name="_Toc51339696"/>
      <w:r>
        <w:rPr>
          <w:lang w:val="ru-RU"/>
        </w:rPr>
        <w:t xml:space="preserve">Требования </w:t>
      </w:r>
      <w:bookmarkEnd w:id="26"/>
      <w:r>
        <w:rPr>
          <w:lang w:val="ru-RU"/>
        </w:rPr>
        <w:t>к срокам оказания услуг</w:t>
      </w:r>
      <w:bookmarkEnd w:id="25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7" w:name="_Toc50125126"/>
      <w:bookmarkStart w:id="28" w:name="_Toc142558694"/>
      <w:bookmarkStart w:id="29" w:name="_Toc50125127"/>
      <w:bookmarkStart w:id="30" w:name="_Toc51339697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1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9"/>
      <w:bookmarkEnd w:id="30"/>
      <w:bookmarkEnd w:id="31"/>
      <w:r>
        <w:rPr>
          <w:sz w:val="24"/>
          <w:szCs w:val="24"/>
          <w:lang w:val="ru-RU"/>
        </w:rPr>
        <w:t>оказания услуг</w:t>
      </w:r>
      <w:bookmarkEnd w:id="28"/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2834"/>
        <w:gridCol w:w="2981"/>
        <w:gridCol w:w="3256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32" w:name="_Toc46743510"/>
            <w:r>
              <w:rPr>
                <w:b/>
                <w:sz w:val="24"/>
                <w:szCs w:val="24"/>
              </w:rPr>
              <w:t>4</w:t>
            </w:r>
            <w:bookmarkEnd w:id="32"/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по проведению технического осмотра транспортных средств на территории Камчатского края для нужд Камчатского филиала АО "ТК РусГидро"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3" w:name="_Toc51339698"/>
      <w:bookmarkStart w:id="34" w:name="_Toc142558695"/>
      <w:bookmarkStart w:id="35" w:name="_Toc46743511"/>
      <w:r>
        <w:rPr/>
        <w:t xml:space="preserve">Требования к </w:t>
      </w:r>
      <w:bookmarkEnd w:id="35"/>
      <w:r>
        <w:rPr>
          <w:lang w:val="ru-RU"/>
        </w:rPr>
        <w:t xml:space="preserve">качеству </w:t>
      </w:r>
      <w:bookmarkEnd w:id="34"/>
      <w:r>
        <w:rPr>
          <w:lang w:val="ru-RU"/>
        </w:rPr>
        <w:t>продукции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36" w:name="_Toc14255869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3"/>
      <w:r>
        <w:rPr>
          <w:sz w:val="24"/>
          <w:szCs w:val="24"/>
          <w:lang w:val="ru-RU"/>
        </w:rPr>
        <w:t xml:space="preserve">качеству </w:t>
      </w:r>
      <w:bookmarkEnd w:id="36"/>
      <w:r>
        <w:rPr>
          <w:sz w:val="24"/>
          <w:szCs w:val="24"/>
          <w:lang w:val="ru-RU"/>
        </w:rPr>
        <w:t>продукции</w:t>
      </w:r>
    </w:p>
    <w:p>
      <w:pPr>
        <w:pStyle w:val="Normal"/>
        <w:rPr>
          <w:lang w:val="x-none" w:eastAsia="x-none"/>
        </w:rPr>
      </w:pPr>
      <w:r>
        <w:rPr>
          <w:b/>
          <w:bCs/>
          <w:sz w:val="24"/>
          <w:szCs w:val="24"/>
        </w:rPr>
        <w:t>Наименование услуг/этапа услуг:</w:t>
      </w:r>
      <w:r>
        <w:rPr/>
        <w:t xml:space="preserve"> </w:t>
      </w:r>
      <w:r>
        <w:rPr>
          <w:bCs/>
          <w:sz w:val="24"/>
          <w:szCs w:val="24"/>
        </w:rPr>
        <w:t>ОКПД 2: 71.20.14.000 Оказание услуг по проведению технического осмотра транспортных средств на территории Камчатского края для нужд Камчатского филиала АО "ТК РусГидро"</w:t>
      </w:r>
    </w:p>
    <w:tbl>
      <w:tblPr>
        <w:tblStyle w:val="affff8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2266"/>
        <w:gridCol w:w="6947"/>
        <w:gridCol w:w="5243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94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2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94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2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7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7"/>
          </w:p>
        </w:tc>
        <w:tc>
          <w:tcPr>
            <w:tcW w:w="2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9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52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52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52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соблюдению при выполнении работ норм и правил нормативно-технических документов</w:t>
            </w:r>
          </w:p>
        </w:tc>
        <w:tc>
          <w:tcPr>
            <w:tcW w:w="6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обязательны для соблюдения операторами технического осмотра, а также лицами, претендующими на получение аттестата аккредитации оператора технического осмотра в соответствии со статьей 11 Федерального закона от 1 июля 2011 г. № 170-ФЗ «О техническом осмотре транспортных средств и о внесении изменений в отдельные законодательные акты Российской Федерации» (далее - Федеральный закон № 170-ФЗ).</w:t>
            </w:r>
          </w:p>
        </w:tc>
        <w:tc>
          <w:tcPr>
            <w:tcW w:w="5243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22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составу, содержанию услуг.</w:t>
            </w:r>
          </w:p>
        </w:tc>
        <w:tc>
          <w:tcPr>
            <w:tcW w:w="6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по техническому осмотру ТС согласно Таблице №2 настоящих Технических требований должны быть оказаны в полном объёме.</w:t>
            </w:r>
          </w:p>
        </w:tc>
        <w:tc>
          <w:tcPr>
            <w:tcW w:w="5243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5243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оборудованию и материалам, используемым при выполнении услуг</w:t>
            </w:r>
          </w:p>
        </w:tc>
        <w:tc>
          <w:tcPr>
            <w:tcW w:w="694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Оказание услуг по проведению технического осмотра ТС должны проводиться с использованием специализированного оборудования, инструментов и материалов, предназначенных для выполнения данных работ.</w:t>
            </w:r>
          </w:p>
        </w:tc>
        <w:tc>
          <w:tcPr>
            <w:tcW w:w="5243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оказать услуги с использованием собственных инструментов и оборудования на ремонтной базе Исполнителя.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диагностическим линиям</w:t>
            </w:r>
          </w:p>
        </w:tc>
        <w:tc>
          <w:tcPr>
            <w:tcW w:w="6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Диагностическая линия должна быть укомплектована средствами технического диагностирования и гаражным оборудованием, необходимыми для проведения в полном объеме технического осмотра определенных категорий транспортных средств или видов городского наземного электрического транспорта в зависимости от массово-габаритных характеристик проверяемых транспортных средств.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Допускается укомплектование отдельных диагностических линий средствами технического диагностирования, необходимыми для проведения в полном объеме технического осмотра части категорий транспортных средств, включенных в область аккредитации пункта технического осмотра в случае применения двух и более диагностических линий.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Специалисты, выполняющие работы, связанные с оказанием услуг по проведению технического осмотра ТС должны иметь соответствующую квалификацию и опыт работы.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 оказания услуг</w:t>
            </w:r>
          </w:p>
        </w:tc>
        <w:tc>
          <w:tcPr>
            <w:tcW w:w="6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Подтверждение соответствия фактического технического состояния транспортных средств требованиям нормативных документов, регламентирующих допуск транспортных средств к эксплуатации путём оформления диагностической карты.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соответствию оказанных услуг обязательным, установленным законодательством</w:t>
            </w:r>
          </w:p>
        </w:tc>
        <w:tc>
          <w:tcPr>
            <w:tcW w:w="6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должны быть оказаны с соблюдением всех требований и стандартов, установленны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Федеральным законом от 01.07.2011 N 170-ФЗ "О техническом осмотре транспортных средств и о внесении изменений в отдельные законодательные акты Российской Федерации".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Заказчик проверяет с участием Исполнителя объем и качество оказанных услуг и принимает оказанную услугу с оформлением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документов, установленных проектом Договора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6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По окончании оказания услуг/выполнения работ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оформляется документация в соответствии с проектом Договора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Ответственность сторон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представлен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разделе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5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роекта Договора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13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соисполнителям, привлекаемым к оказанию услуг</w:t>
            </w:r>
          </w:p>
        </w:tc>
        <w:tc>
          <w:tcPr>
            <w:tcW w:w="69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привлечения к оказанию услуг соисполнителей,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услуг.</w:t>
            </w:r>
          </w:p>
        </w:tc>
        <w:tc>
          <w:tcPr>
            <w:tcW w:w="524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numPr>
          <w:ilvl w:val="0"/>
          <w:numId w:val="12"/>
        </w:numPr>
        <w:suppressAutoHyphens w:val="false"/>
        <w:spacing w:before="60" w:after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Требования к документации по ценообразованию на этапе закупки.</w:t>
      </w:r>
    </w:p>
    <w:p>
      <w:pPr>
        <w:pStyle w:val="ListParagraph"/>
        <w:ind w:firstLine="709" w:left="0"/>
        <w:jc w:val="both"/>
        <w:rPr/>
      </w:pPr>
      <w:r>
        <w:rPr/>
        <w:t>3.1 В обоснование стоимости своей заявки Участник предоставляет Коммерческое предложение по форме Приложения №1 к настоящим техническим требованиям  (с указанием единого понижающего коэффициента).</w:t>
      </w:r>
    </w:p>
    <w:p>
      <w:pPr>
        <w:pStyle w:val="ListParagraph"/>
        <w:ind w:firstLine="709" w:left="0"/>
        <w:jc w:val="both"/>
        <w:rPr/>
      </w:pPr>
      <w:r>
        <w:rPr/>
      </w:r>
    </w:p>
    <w:p>
      <w:pPr>
        <w:pStyle w:val="ListParagraph"/>
        <w:ind w:firstLine="709" w:left="0"/>
        <w:jc w:val="both"/>
        <w:rPr>
          <w:lang w:eastAsia="x-none"/>
        </w:rPr>
      </w:pPr>
      <w:r>
        <w:rPr/>
        <w:t>3.</w:t>
      </w:r>
      <w:r>
        <w:rPr/>
        <w:t>2</w:t>
      </w:r>
      <w:r>
        <w:rPr/>
        <w:t>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договора.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Heading1"/>
        <w:keepLines/>
        <w:numPr>
          <w:ilvl w:val="0"/>
          <w:numId w:val="0"/>
        </w:numPr>
        <w:tabs>
          <w:tab w:val="left" w:pos="708" w:leader="none"/>
        </w:tabs>
        <w:ind w:hanging="0" w:left="357"/>
        <w:jc w:val="center"/>
        <w:rPr>
          <w:rFonts w:eastAsia="Times New Roman"/>
          <w:color w:val="000000"/>
          <w:sz w:val="24"/>
          <w:szCs w:val="24"/>
          <w:lang w:eastAsia="ru-RU"/>
        </w:rPr>
      </w:pPr>
      <w:bookmarkStart w:id="38" w:name="_Toc238051691"/>
      <w:r>
        <w:rPr>
          <w:rFonts w:eastAsia="Times New Roman"/>
          <w:color w:val="000000"/>
          <w:sz w:val="24"/>
          <w:szCs w:val="24"/>
          <w:lang w:eastAsia="ru-RU"/>
        </w:rPr>
        <w:t xml:space="preserve">4. </w:t>
      </w:r>
      <w:bookmarkStart w:id="39" w:name="_Toc150444158"/>
      <w:bookmarkStart w:id="40" w:name="_Toc54281228"/>
      <w:r>
        <w:rPr>
          <w:rFonts w:eastAsia="Times New Roman"/>
          <w:color w:val="000000"/>
          <w:sz w:val="24"/>
          <w:szCs w:val="24"/>
          <w:lang w:eastAsia="ru-RU"/>
        </w:rPr>
        <w:t>Требования к документации по ценообразованию на этапе заключения (исполнения) договора</w:t>
      </w:r>
      <w:bookmarkEnd w:id="38"/>
      <w:bookmarkEnd w:id="39"/>
      <w:bookmarkEnd w:id="40"/>
    </w:p>
    <w:p>
      <w:pPr>
        <w:pStyle w:val="Normal"/>
        <w:keepNext w:val="true"/>
        <w:keepLines/>
        <w:numPr>
          <w:ilvl w:val="0"/>
          <w:numId w:val="0"/>
        </w:numPr>
        <w:suppressAutoHyphens w:val="false"/>
        <w:spacing w:before="120" w:after="60"/>
        <w:ind w:firstLine="567"/>
        <w:jc w:val="both"/>
        <w:outlineLvl w:val="0"/>
        <w:rPr>
          <w:sz w:val="24"/>
          <w:szCs w:val="24"/>
        </w:rPr>
      </w:pPr>
      <w:bookmarkStart w:id="41" w:name="__RefHeading___Toc10483_1506096587"/>
      <w:bookmarkStart w:id="42" w:name="_Toc238051692"/>
      <w:bookmarkStart w:id="43" w:name="_Toc207898766"/>
      <w:bookmarkEnd w:id="41"/>
      <w:r>
        <w:rPr>
          <w:sz w:val="24"/>
          <w:szCs w:val="24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продукции), предложенными в заявке                                   Победителем.</w:t>
      </w:r>
      <w:bookmarkEnd w:id="42"/>
      <w:bookmarkEnd w:id="43"/>
    </w:p>
    <w:p>
      <w:pPr>
        <w:pStyle w:val="Normal"/>
        <w:keepNext w:val="true"/>
        <w:keepLines/>
        <w:numPr>
          <w:ilvl w:val="0"/>
          <w:numId w:val="0"/>
        </w:numPr>
        <w:spacing w:before="120" w:after="60"/>
        <w:ind w:firstLine="567"/>
        <w:jc w:val="both"/>
        <w:outlineLvl w:val="0"/>
        <w:rPr>
          <w:rFonts w:eastAsia="Calibri"/>
          <w:lang w:eastAsia="x-none"/>
        </w:rPr>
      </w:pPr>
      <w:bookmarkStart w:id="44" w:name="_Toc238051693"/>
      <w:bookmarkStart w:id="45" w:name="_Toc207898767"/>
      <w:r>
        <w:rPr>
          <w:sz w:val="24"/>
          <w:szCs w:val="24"/>
        </w:rPr>
        <w:t>4.2. Порядок формирования на этапе исполнения договора стоимости выполняемых услуг по заявке заказчика установлен в Проекте договора</w:t>
      </w:r>
      <w:bookmarkEnd w:id="44"/>
      <w:bookmarkEnd w:id="45"/>
      <w:r>
        <w:rPr>
          <w:sz w:val="24"/>
          <w:szCs w:val="24"/>
        </w:rPr>
        <w:t>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3"/>
        </w:numPr>
        <w:rPr/>
      </w:pPr>
      <w:r>
        <w:rPr/>
        <w:t>Форма коммерческого предложения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bookmarkStart w:id="46" w:name="_GoBack"/>
      <w:bookmarkStart w:id="47" w:name="_GoBack"/>
      <w:bookmarkEnd w:id="47"/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68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9"/>
    <w:lvlOverride w:ilvl="0">
      <w:startOverride w:val="3"/>
    </w:lvlOverride>
  </w:num>
  <w:num w:numId="13">
    <w:abstractNumId w:val="10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50a40"/>
    <w:rPr>
      <w:color w:val="954F72"/>
      <w:u w:val="single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a50a40"/>
    <w:pPr>
      <w:spacing w:beforeAutospacing="1" w:afterAutospacing="1"/>
    </w:pPr>
    <w:rPr>
      <w:sz w:val="24"/>
      <w:szCs w:val="24"/>
    </w:rPr>
  </w:style>
  <w:style w:type="paragraph" w:styleId="Font5" w:customStyle="1">
    <w:name w:val="font5"/>
    <w:basedOn w:val="Normal"/>
    <w:qFormat/>
    <w:rsid w:val="00a50a40"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Font6" w:customStyle="1">
    <w:name w:val="font6"/>
    <w:basedOn w:val="Normal"/>
    <w:qFormat/>
    <w:rsid w:val="00a50a40"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Xl66" w:customStyle="1">
    <w:name w:val="xl66"/>
    <w:basedOn w:val="Normal"/>
    <w:qFormat/>
    <w:rsid w:val="00a50a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7" w:customStyle="1">
    <w:name w:val="xl67"/>
    <w:basedOn w:val="Normal"/>
    <w:qFormat/>
    <w:rsid w:val="00a50a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68" w:customStyle="1">
    <w:name w:val="xl68"/>
    <w:basedOn w:val="Normal"/>
    <w:qFormat/>
    <w:rsid w:val="00a50a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9" w:customStyle="1">
    <w:name w:val="xl69"/>
    <w:basedOn w:val="Normal"/>
    <w:qFormat/>
    <w:rsid w:val="00a50a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rsid w:val="00a50a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rsid w:val="00a50a4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rsid w:val="00a50a40"/>
    <w:pPr>
      <w:pBdr>
        <w:top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a50a4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a50a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a50a40"/>
    <w:pPr>
      <w:spacing w:beforeAutospacing="1" w:afterAutospacing="1"/>
      <w:jc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a50a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77" w:customStyle="1">
    <w:name w:val="xl77"/>
    <w:basedOn w:val="Normal"/>
    <w:qFormat/>
    <w:rsid w:val="00a50a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78" w:customStyle="1">
    <w:name w:val="xl78"/>
    <w:basedOn w:val="Normal"/>
    <w:qFormat/>
    <w:rsid w:val="00a50a4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a50a40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a50a40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rsid w:val="00a50a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82" w:customStyle="1">
    <w:name w:val="xl82"/>
    <w:basedOn w:val="Normal"/>
    <w:qFormat/>
    <w:rsid w:val="001e3ec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styleId="Xl83" w:customStyle="1">
    <w:name w:val="xl83"/>
    <w:basedOn w:val="Normal"/>
    <w:qFormat/>
    <w:rsid w:val="001e3ec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styleId="Xl84" w:customStyle="1">
    <w:name w:val="xl84"/>
    <w:basedOn w:val="Normal"/>
    <w:qFormat/>
    <w:rsid w:val="001e3ec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styleId="Xl85" w:customStyle="1">
    <w:name w:val="xl85"/>
    <w:basedOn w:val="Normal"/>
    <w:qFormat/>
    <w:rsid w:val="001e3ec2"/>
    <w:pPr>
      <w:pBdr>
        <w:top w:val="single" w:sz="8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styleId="Xl86" w:customStyle="1">
    <w:name w:val="xl86"/>
    <w:basedOn w:val="Normal"/>
    <w:qFormat/>
    <w:rsid w:val="001e3ec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styleId="Xl64" w:customStyle="1">
    <w:name w:val="xl64"/>
    <w:basedOn w:val="Normal"/>
    <w:qFormat/>
    <w:rsid w:val="00835a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styleId="Xl65" w:customStyle="1">
    <w:name w:val="xl65"/>
    <w:basedOn w:val="Normal"/>
    <w:qFormat/>
    <w:rsid w:val="00835a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sultant.ru/document/cons_doc_LAW_115853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BB1AA-8432-4762-BE96-1EB2BE9F3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3195</TotalTime>
  <Application>AlterOffice/2026.2.0.0$Linux_X86_64 LibreOffice_project/bc4ef1adf80b36c7a6365f8ed6cbf29021361edd</Application>
  <AppVersion>15.0000</AppVersion>
  <Pages>9</Pages>
  <Words>1478</Words>
  <Characters>10476</Characters>
  <CharactersWithSpaces>11738</CharactersWithSpaces>
  <Paragraphs>241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/>
  <cp:lastPrinted>2026-06-02T14:23:00Z</cp:lastPrinted>
  <dcterms:modified xsi:type="dcterms:W3CDTF">2026-10-30T17:38:55Z</dcterms:modified>
  <cp:revision>91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