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b/>
          <w:bCs/>
          <w:sz w:val="24"/>
          <w:szCs w:val="24"/>
        </w:rPr>
        <w:t xml:space="preserve">ТЕХНИЧЕСКИЕ ТРЕБОВАНИЯ </w:t>
      </w:r>
    </w:p>
    <w:p>
      <w:pPr>
        <w:pStyle w:val="ListNum"/>
        <w:spacing w:before="0" w:after="0"/>
        <w:ind w:firstLine="709"/>
        <w:jc w:val="center"/>
        <w:rPr>
          <w:sz w:val="24"/>
        </w:rPr>
      </w:pPr>
      <w:r>
        <w:rPr>
          <w:b/>
          <w:bCs/>
          <w:sz w:val="24"/>
          <w:lang w:eastAsia="ru-RU"/>
        </w:rPr>
        <w:t>ОКПД2  95.11.10.000 Оказание услуг на обслуживание вычислительной техники структурного подразделения "Северные  электрические сети" филиала "Амурские электрические сети"</w:t>
      </w:r>
    </w:p>
    <w:p>
      <w:pPr>
        <w:pStyle w:val="ListNum"/>
        <w:numPr>
          <w:ilvl w:val="0"/>
          <w:numId w:val="2"/>
        </w:numPr>
        <w:ind w:left="0" w:hanging="0"/>
        <w:rPr>
          <w:b/>
          <w:b/>
          <w:sz w:val="24"/>
        </w:rPr>
      </w:pPr>
      <w:r>
        <w:rPr>
          <w:b/>
          <w:sz w:val="24"/>
        </w:rPr>
        <w:t>Место оказания услуг</w:t>
      </w:r>
    </w:p>
    <w:p>
      <w:pPr>
        <w:pStyle w:val="13"/>
        <w:numPr>
          <w:ilvl w:val="0"/>
          <w:numId w:val="3"/>
        </w:numPr>
        <w:spacing w:lineRule="auto" w:line="240" w:before="0" w:after="0"/>
        <w:ind w:left="0" w:firstLine="709"/>
        <w:rPr>
          <w:sz w:val="24"/>
          <w:szCs w:val="24"/>
        </w:rPr>
      </w:pPr>
      <w:r>
        <w:rPr>
          <w:bCs/>
          <w:sz w:val="24"/>
          <w:szCs w:val="24"/>
        </w:rPr>
        <w:t>Адрес: 675243, Амурская область, г. Зея, пер. Лаврушенский, 3</w:t>
      </w:r>
      <w:r>
        <w:rPr>
          <w:sz w:val="24"/>
          <w:szCs w:val="24"/>
        </w:rPr>
        <w:t>.</w:t>
      </w:r>
    </w:p>
    <w:p>
      <w:pPr>
        <w:pStyle w:val="13"/>
        <w:numPr>
          <w:ilvl w:val="0"/>
          <w:numId w:val="3"/>
        </w:numPr>
        <w:spacing w:lineRule="auto" w:line="240" w:before="0" w:after="0"/>
        <w:ind w:left="0" w:firstLine="709"/>
        <w:rPr>
          <w:sz w:val="24"/>
          <w:szCs w:val="24"/>
        </w:rPr>
      </w:pPr>
      <w:r>
        <w:rPr>
          <w:sz w:val="24"/>
          <w:szCs w:val="24"/>
        </w:rPr>
        <w:t xml:space="preserve">Грузополучатель: </w:t>
      </w:r>
      <w:r>
        <w:rPr>
          <w:bCs/>
          <w:sz w:val="24"/>
          <w:szCs w:val="24"/>
        </w:rPr>
        <w:t xml:space="preserve">Филиал Акционерного общества «Дальневосточная распределительная сетевая компания» «Амурские электрические сети».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numPr>
          <w:ilvl w:val="0"/>
          <w:numId w:val="2"/>
        </w:numPr>
        <w:tabs>
          <w:tab w:val="left" w:pos="426" w:leader="none"/>
        </w:tabs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Требования к закупаемой продукции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(технические и иные характеристики)</w:t>
      </w:r>
    </w:p>
    <w:p>
      <w:pPr>
        <w:pStyle w:val="Normal"/>
        <w:widowControl w:val="false"/>
        <w:tabs>
          <w:tab w:val="left" w:pos="426" w:leader="none"/>
        </w:tabs>
        <w:jc w:val="both"/>
        <w:rPr>
          <w:b/>
          <w:b/>
          <w:sz w:val="24"/>
          <w:szCs w:val="24"/>
        </w:rPr>
      </w:pPr>
      <w:r>
        <w:rPr>
          <w:rFonts w:eastAsia="Calibri"/>
          <w:bCs/>
          <w:sz w:val="24"/>
          <w:szCs w:val="24"/>
          <w:lang w:eastAsia="en-US"/>
        </w:rPr>
        <w:t>2.1 Участник должен представить техническое предложение по форме, предусмотренной Документацией о закупке, в котором будет содержаться информация в объеме не менее, чем указано в таблице № 1 настоящих Технических требований. В техническом предложении Участник должен представить свое предложение по каждому из требований Заказчика, перечисленных в указанных таблице и пунктах. В случае неисполнения данного требования, в соответствии с Документацией о закупке, Участник будет не допущен к дальнейшему участию.</w:t>
      </w:r>
    </w:p>
    <w:p>
      <w:pPr>
        <w:pStyle w:val="Normal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>
      <w:pPr>
        <w:pStyle w:val="Normal"/>
        <w:ind w:firstLine="709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tabs>
          <w:tab w:val="left" w:pos="0" w:leader="none"/>
        </w:tabs>
        <w:jc w:val="right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Таблица № 1</w:t>
      </w:r>
    </w:p>
    <w:p>
      <w:pPr>
        <w:pStyle w:val="Normal"/>
        <w:tabs>
          <w:tab w:val="left" w:pos="0" w:leader="none"/>
        </w:tabs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Спецификация продукции</w:t>
      </w:r>
    </w:p>
    <w:p>
      <w:pPr>
        <w:pStyle w:val="Normal"/>
        <w:tabs>
          <w:tab w:val="left" w:pos="0" w:leader="none"/>
        </w:tabs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tbl>
      <w:tblPr>
        <w:tblStyle w:val="af8"/>
        <w:tblW w:w="10022" w:type="dxa"/>
        <w:jc w:val="left"/>
        <w:tblInd w:w="112" w:type="dxa"/>
        <w:tblCellMar>
          <w:top w:w="0" w:type="dxa"/>
          <w:left w:w="83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31"/>
        <w:gridCol w:w="2597"/>
        <w:gridCol w:w="5920"/>
        <w:gridCol w:w="973"/>
      </w:tblGrid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продукции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Техническая характеристика продукции (модель)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Кол-во, шт.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suppressAutoHyphens w:val="false"/>
              <w:rPr>
                <w:rFonts w:eastAsia="Calibri"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eastAsiaTheme="minorHAnsi"/>
                <w:color w:val="000000"/>
                <w:sz w:val="22"/>
                <w:szCs w:val="22"/>
                <w:lang w:eastAsia="en-US"/>
              </w:rPr>
              <w:t xml:space="preserve">Техническое обслуживание </w:t>
            </w:r>
          </w:p>
          <w:p>
            <w:pPr>
              <w:pStyle w:val="Normal"/>
              <w:suppressAutoHyphens w:val="false"/>
              <w:rPr>
                <w:rFonts w:eastAsia="Calibri"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eastAsiaTheme="minorHAnsi"/>
                <w:color w:val="000000"/>
                <w:sz w:val="22"/>
                <w:szCs w:val="22"/>
                <w:lang w:eastAsia="en-US"/>
              </w:rPr>
              <w:t>1 категории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замена конструктивно простых и легкосъёмных элементов не связанная с разборкой вычислительной техники, тестирование, настройка пользовательского меню</w:t>
            </w:r>
          </w:p>
          <w:p>
            <w:pPr>
              <w:pStyle w:val="Normal"/>
              <w:widowControl w:val="fals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 течении 1-го рабочего дня (при наличии з/ч)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suppressAutoHyphens w:val="false"/>
              <w:rPr>
                <w:rFonts w:eastAsia="Calibri"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eastAsiaTheme="minorHAnsi"/>
                <w:color w:val="000000"/>
                <w:sz w:val="22"/>
                <w:szCs w:val="22"/>
                <w:lang w:eastAsia="en-US"/>
              </w:rPr>
              <w:t xml:space="preserve">Техническое обслуживание  </w:t>
            </w:r>
          </w:p>
          <w:p>
            <w:pPr>
              <w:pStyle w:val="Normal"/>
              <w:suppressAutoHyphens w:val="false"/>
              <w:rPr>
                <w:rFonts w:eastAsia="Calibri"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eastAsiaTheme="minorHAnsi"/>
                <w:color w:val="000000"/>
                <w:sz w:val="22"/>
                <w:szCs w:val="22"/>
                <w:lang w:eastAsia="en-US"/>
              </w:rPr>
              <w:t>2 категории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замена узлов и блоков вычислительной техники, работы связанные с разборкой вычислительной техники, регулировка, тестирование узлов, работа в сервисном меню, 2 и более видов работ 1-го уровня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 течении 2-хо рабочих дня (при наличии з/ч)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suppressAutoHyphens w:val="false"/>
              <w:rPr>
                <w:rFonts w:eastAsia="Calibri"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eastAsiaTheme="minorHAnsi"/>
                <w:color w:val="000000"/>
                <w:sz w:val="22"/>
                <w:szCs w:val="22"/>
                <w:lang w:eastAsia="en-US"/>
              </w:rPr>
              <w:t xml:space="preserve">Техническое обслуживание  </w:t>
            </w:r>
          </w:p>
          <w:p>
            <w:pPr>
              <w:pStyle w:val="Normal"/>
              <w:suppressAutoHyphens w:val="false"/>
              <w:rPr>
                <w:rFonts w:eastAsia="Calibri"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eastAsiaTheme="minorHAnsi"/>
                <w:color w:val="000000"/>
                <w:sz w:val="22"/>
                <w:szCs w:val="22"/>
                <w:lang w:eastAsia="en-US"/>
              </w:rPr>
              <w:t>3 категории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замена конструктивно сложных элементов вычислительной техники, работы, производимые на детальном уровне, связанные с разборкой узлов и блоков вычислительной техники,  замена электронных плат, регулировка, 2 и более видов работ 2-го уровня.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 течении 3-х рабочих дня (при наличии з/ч)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suppressAutoHyphens w:val="false"/>
              <w:rPr>
                <w:sz w:val="22"/>
                <w:szCs w:val="22"/>
              </w:rPr>
            </w:pPr>
            <w:r>
              <w:rPr>
                <w:rFonts w:eastAsia="Calibri" w:eastAsiaTheme="minorHAnsi"/>
                <w:color w:val="000000"/>
                <w:sz w:val="22"/>
                <w:szCs w:val="22"/>
                <w:lang w:eastAsia="en-US"/>
              </w:rPr>
              <w:t xml:space="preserve">Профилактика принтера, МФУ формата А4  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Согласно регламента обслуживания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течении 1-го рабочего дня </w:t>
            </w:r>
            <w:r>
              <w:rPr>
                <w:bCs/>
                <w:sz w:val="22"/>
                <w:szCs w:val="22"/>
              </w:rPr>
              <w:t>(при наличии з/ч)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rFonts w:eastAsia="Calibri" w:eastAsiaTheme="minorHAnsi"/>
                <w:color w:val="000000"/>
                <w:sz w:val="22"/>
                <w:szCs w:val="22"/>
                <w:lang w:eastAsia="en-US"/>
              </w:rPr>
              <w:t xml:space="preserve">Профилактика принтера, МФУ формата А3 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Согласно регламента обслуживания</w:t>
            </w:r>
          </w:p>
          <w:p>
            <w:pPr>
              <w:pStyle w:val="Normal"/>
              <w:widowControl w:val="false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 течении 1-го рабочего дня</w:t>
            </w:r>
            <w:r>
              <w:rPr>
                <w:bCs/>
                <w:sz w:val="22"/>
                <w:szCs w:val="22"/>
              </w:rPr>
              <w:t>(при наличии з/ч)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Диагностика вычислительной техники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Поиск и локализация неисправностей в компьютере, ноутбуке, сервере и других устройствах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рабочих часов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Выезд специалиста по обслуживанию техники на месте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Выезд специалиста по обслуживанию техники на месте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Заправка типового картриджа лазерного принтера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диагностика, удаление отработанного тонера, чистка, заправка тонером, обслуживание, профилактика </w:t>
            </w:r>
          </w:p>
          <w:p>
            <w:pPr>
              <w:pStyle w:val="Normal"/>
              <w:widowControl w:val="false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 часа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Восстановление картриджа лазерного принтера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Замена конструктивных частей</w:t>
            </w:r>
          </w:p>
          <w:p>
            <w:pPr>
              <w:pStyle w:val="Normal"/>
              <w:widowControl w:val="false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4 часа (при наличии з/ч) 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Canon 6030 Тонер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Оригинал или эквивалент. Должен быть совместим с указанной маркой оборудования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HP LJ 2015 Тонер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b/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Оригинал или эквивалент. Должен быть совместим с указанной маркой оборудования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HP LJ 1005 Тонер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spacing w:lineRule="auto" w:line="276"/>
              <w:rPr>
                <w:b/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Оригинал или эквивалент. Должен быть совместим с указанной маркой оборудования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Canon 6030 Картридж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b/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Оригинал или эквивалент. Должен быть совместим с указанной маркой оборудования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HP LJ 2015 картридж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spacing w:lineRule="auto" w:line="276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Оригинал или эквивалент. Должен быть совместим с указанной маркой оборудования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spacing w:lineRule="auto" w:line="27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HP LJ 1005 картридж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spacing w:lineRule="auto" w:line="276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Оригинал или эквивалент. Должен быть совместим с указанной маркой оборудования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spacing w:lineRule="auto" w:line="27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Kyocera TK-1140 картридж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spacing w:lineRule="auto" w:line="276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Без эквивалента, должен быть совместим с действующим оборудованием Kyocera ECOSYS M2035dn.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Kyocera TK-3190 картридж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en-US"/>
              </w:rPr>
              <w:t>Без эквивалента, должен быть совместим с действующим оборудованием Kyocera ECOSYS M3655idn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Kyocera TK-1170 картридж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en-US"/>
              </w:rPr>
              <w:t>Без эквивалента, должен быть совместим с действующим оборудованием Kyocera ECOSYS M2040dn.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Kyocera TK-1270 картридж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en-US"/>
              </w:rPr>
              <w:t>Без эквивалента, должен быть совместим с действующим оборудованием Kyocera ECOSYS MA4000x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Kyocera TK-3430 картридж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en-US"/>
              </w:rPr>
              <w:t>Без эквивалента, должен быть совместим с действующим оборудованием Kyocera ECOSYS MA5500ifx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31" w:type="dxa"/>
            <w:tcBorders/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97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Kyocera TK-7300 картридж</w:t>
            </w:r>
          </w:p>
        </w:tc>
        <w:tc>
          <w:tcPr>
            <w:tcW w:w="5920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Без эквивалента, должен быть совместим с действующим оборудованием Kyocera ECOSYS </w:t>
            </w:r>
            <w:r>
              <w:rPr>
                <w:bCs/>
                <w:sz w:val="22"/>
                <w:szCs w:val="22"/>
              </w:rPr>
              <w:t>P4040dn</w:t>
            </w:r>
          </w:p>
        </w:tc>
        <w:tc>
          <w:tcPr>
            <w:tcW w:w="973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3"/>
        <w:spacing w:lineRule="auto" w:line="240" w:before="0" w:after="0"/>
        <w:rPr>
          <w:sz w:val="24"/>
          <w:szCs w:val="24"/>
        </w:rPr>
      </w:pPr>
      <w:r>
        <w:rPr>
          <w:b/>
          <w:sz w:val="24"/>
          <w:szCs w:val="24"/>
        </w:rPr>
        <w:t xml:space="preserve">2.2. </w:t>
      </w:r>
      <w:r>
        <w:rPr>
          <w:b/>
          <w:bCs/>
          <w:sz w:val="24"/>
          <w:szCs w:val="24"/>
        </w:rPr>
        <w:t>Условия поставки эквивалентной продукции.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2.2.1 Допускаются эквиваленты при условии соответствия технических характеристик и качества заявляемой продукции. Участник должен принять во внимание, что ссылка на ТУ, марку (тип) продукции, носит описательный, а не обязательный характер. В случае если Участником предлагаются эквиваленты требуемой Заказчику продукции, или ее составных частей в составе своего предложения он должен в обязательном порядке предоставить подробное техническое описание предлагаемого к поставке эквивалента.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2.2.2 Эквивалентная продукция - это продукция, которая по техническим и функциональным характеристикам не уступает характеристикам, заявленным в документации о закупке, в том числе по гарантийным срокам и срокам эксплуатации. </w:t>
      </w:r>
      <w:r>
        <w:rPr>
          <w:color w:val="000000"/>
          <w:spacing w:val="-1"/>
          <w:sz w:val="24"/>
          <w:szCs w:val="24"/>
        </w:rPr>
        <w:t xml:space="preserve">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2.2.3 </w:t>
      </w:r>
      <w:r>
        <w:rPr>
          <w:color w:val="000000"/>
          <w:spacing w:val="-1"/>
          <w:sz w:val="24"/>
          <w:szCs w:val="24"/>
        </w:rPr>
        <w:t>Для оценки возможности использования предлагаемого эквивалентного оборудования, предложение Участника должно содержать полную (подробную) техническую информацию в объеме данных, указанных в таблицы 1 технических требованиях.</w:t>
      </w:r>
    </w:p>
    <w:p>
      <w:pPr>
        <w:pStyle w:val="Normal"/>
        <w:jc w:val="both"/>
        <w:rPr>
          <w:color w:val="000000"/>
          <w:spacing w:val="-1"/>
          <w:sz w:val="24"/>
          <w:szCs w:val="24"/>
          <w:lang w:eastAsia="zh-CN"/>
        </w:rPr>
      </w:pPr>
      <w:r>
        <w:rPr>
          <w:color w:val="000000"/>
          <w:spacing w:val="-1"/>
          <w:sz w:val="24"/>
          <w:szCs w:val="24"/>
        </w:rPr>
        <w:t>2.2.4 Параметры эквивалентности приведены в таблице 1 технических требований.</w:t>
      </w:r>
    </w:p>
    <w:p>
      <w:pPr>
        <w:pStyle w:val="Style24"/>
        <w:tabs>
          <w:tab w:val="left" w:pos="1134" w:leader="none"/>
          <w:tab w:val="left" w:pos="1985" w:leader="none"/>
        </w:tabs>
        <w:spacing w:lineRule="auto" w:line="240"/>
        <w:ind w:left="0" w:hanging="0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24"/>
        <w:tabs>
          <w:tab w:val="left" w:pos="1134" w:leader="none"/>
          <w:tab w:val="left" w:pos="1985" w:leader="none"/>
        </w:tabs>
        <w:spacing w:lineRule="auto" w:line="240"/>
        <w:ind w:left="0" w:hanging="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3. Требования к оформлению документов заявки Участника.</w:t>
      </w:r>
    </w:p>
    <w:p>
      <w:pPr>
        <w:pStyle w:val="Style24"/>
        <w:tabs>
          <w:tab w:val="left" w:pos="1134" w:leader="none"/>
          <w:tab w:val="left" w:pos="1985" w:leader="none"/>
        </w:tabs>
        <w:spacing w:lineRule="auto" w:line="240"/>
        <w:ind w:left="0" w:hanging="0"/>
        <w:rPr>
          <w:sz w:val="24"/>
          <w:szCs w:val="24"/>
        </w:rPr>
      </w:pPr>
      <w:r>
        <w:rPr>
          <w:sz w:val="24"/>
          <w:szCs w:val="24"/>
        </w:rPr>
        <w:t>Участник должен представить Коммерческое предложение с обязательным указанием Производителя продукции.</w:t>
      </w:r>
    </w:p>
    <w:p>
      <w:pPr>
        <w:pStyle w:val="Style24"/>
        <w:tabs>
          <w:tab w:val="left" w:pos="1134" w:leader="none"/>
          <w:tab w:val="left" w:pos="1985" w:leader="none"/>
        </w:tabs>
        <w:spacing w:lineRule="auto" w:line="240"/>
        <w:ind w:left="0" w:hanging="0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24"/>
        <w:tabs>
          <w:tab w:val="left" w:pos="1134" w:leader="none"/>
          <w:tab w:val="left" w:pos="1985" w:leader="none"/>
        </w:tabs>
        <w:spacing w:lineRule="auto" w:line="240"/>
        <w:ind w:left="0" w:hanging="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4. Общие условия.</w:t>
      </w:r>
    </w:p>
    <w:p>
      <w:pPr>
        <w:pStyle w:val="Style24"/>
        <w:tabs>
          <w:tab w:val="left" w:pos="709" w:leader="none"/>
          <w:tab w:val="left" w:pos="1985" w:leader="none"/>
        </w:tabs>
        <w:spacing w:lineRule="auto" w:line="240"/>
        <w:ind w:left="0" w:hanging="0"/>
        <w:rPr>
          <w:sz w:val="24"/>
          <w:szCs w:val="24"/>
        </w:rPr>
      </w:pPr>
      <w:r>
        <w:rPr>
          <w:sz w:val="24"/>
          <w:szCs w:val="24"/>
        </w:rPr>
        <w:t>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</w:r>
    </w:p>
    <w:p>
      <w:pPr>
        <w:pStyle w:val="ListNum"/>
        <w:tabs>
          <w:tab w:val="left" w:pos="284" w:leader="none"/>
          <w:tab w:val="left" w:pos="708" w:leader="none"/>
          <w:tab w:val="left" w:pos="1008" w:leader="none"/>
        </w:tabs>
        <w:spacing w:before="0" w:after="0"/>
        <w:rPr>
          <w:b/>
          <w:b/>
          <w:sz w:val="24"/>
        </w:rPr>
      </w:pPr>
      <w:r>
        <w:rPr>
          <w:b/>
          <w:sz w:val="24"/>
        </w:rPr>
      </w:r>
    </w:p>
    <w:p>
      <w:pPr>
        <w:pStyle w:val="ListNum"/>
        <w:spacing w:before="0" w:after="0"/>
        <w:ind w:left="360" w:hanging="360"/>
        <w:rPr>
          <w:sz w:val="24"/>
        </w:rPr>
      </w:pPr>
      <w:r>
        <w:rPr>
          <w:b/>
          <w:sz w:val="24"/>
        </w:rPr>
        <w:t>5. Сроки поставки Товара:</w:t>
      </w:r>
      <w:r>
        <w:rPr>
          <w:sz w:val="24"/>
        </w:rPr>
        <w:t xml:space="preserve"> </w:t>
      </w:r>
    </w:p>
    <w:p>
      <w:pPr>
        <w:pStyle w:val="Normal"/>
        <w:jc w:val="both"/>
        <w:rPr/>
      </w:pPr>
      <w:r>
        <w:rPr>
          <w:sz w:val="24"/>
          <w:szCs w:val="24"/>
        </w:rPr>
        <w:t>Сроки (периоды) поставки товара с 11.01.2027 по 31.12.2027</w:t>
      </w:r>
    </w:p>
    <w:p>
      <w:pPr>
        <w:pStyle w:val="13"/>
        <w:tabs>
          <w:tab w:val="left" w:pos="7838" w:leader="none"/>
        </w:tabs>
        <w:spacing w:lineRule="auto" w:line="240" w:before="0" w:after="0"/>
        <w:rPr/>
      </w:pPr>
      <w:r>
        <w:rPr/>
      </w:r>
    </w:p>
    <w:sectPr>
      <w:type w:val="nextPage"/>
      <w:pgSz w:w="11906" w:h="16838"/>
      <w:pgMar w:left="1134" w:right="567" w:header="0" w:top="1134" w:footer="0" w:bottom="1134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lvl w:ilvl="0">
      <w:start w:val="1"/>
      <w:numFmt w:val="decimal"/>
      <w:lvlText w:val="%1."/>
      <w:lvlJc w:val="left"/>
      <w:pPr>
        <w:ind w:left="644" w:hanging="360"/>
      </w:pPr>
      <w:rPr>
        <w:sz w:val="24"/>
        <w:b/>
        <w:szCs w:val="24"/>
      </w:rPr>
    </w:lvl>
    <w:lvl w:ilvl="1">
      <w:start w:val="1"/>
      <w:numFmt w:val="decimal"/>
      <w:lvlText w:val="%1.%2."/>
      <w:lvlJc w:val="left"/>
      <w:pPr>
        <w:ind w:left="1076" w:hanging="432"/>
      </w:p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abstractNum w:abstractNumId="3"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sz w:val="24"/>
        <w:szCs w:val="22"/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21b2a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eastAsia="ru-RU" w:val="ru-RU" w:bidi="ar-SA"/>
    </w:rPr>
  </w:style>
  <w:style w:type="paragraph" w:styleId="1">
    <w:name w:val="Heading 1"/>
    <w:basedOn w:val="Normal"/>
    <w:qFormat/>
    <w:rsid w:val="00321b2a"/>
    <w:pPr>
      <w:keepNext w:val="true"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2">
    <w:name w:val="Heading 2"/>
    <w:basedOn w:val="Normal"/>
    <w:link w:val="20"/>
    <w:uiPriority w:val="9"/>
    <w:semiHidden/>
    <w:unhideWhenUsed/>
    <w:qFormat/>
    <w:rsid w:val="00b473b3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3">
    <w:name w:val="Heading 3"/>
    <w:basedOn w:val="Normal"/>
    <w:link w:val="30"/>
    <w:uiPriority w:val="9"/>
    <w:semiHidden/>
    <w:unhideWhenUsed/>
    <w:qFormat/>
    <w:rsid w:val="00f22cc4"/>
    <w:pPr>
      <w:keepNext w:val="true"/>
      <w:keepLines/>
      <w:spacing w:before="40" w:after="0"/>
      <w:outlineLvl w:val="2"/>
    </w:pPr>
    <w:rPr>
      <w:rFonts w:ascii="Cambria" w:hAnsi="Cambria" w:eastAsia="" w:cs="" w:asciiTheme="majorHAnsi" w:cstheme="majorBidi" w:eastAsiaTheme="majorEastAsia" w:hAnsiTheme="majorHAnsi"/>
      <w:color w:val="243F60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a3"/>
    <w:qFormat/>
    <w:rsid w:val="00321b2a"/>
    <w:rPr>
      <w:rFonts w:ascii="Cambria" w:hAnsi="Cambria" w:eastAsia="Times New Roman" w:cs="Times New Roman"/>
      <w:b/>
      <w:bCs/>
      <w:sz w:val="32"/>
      <w:szCs w:val="32"/>
      <w:lang w:eastAsia="ru-RU"/>
    </w:rPr>
  </w:style>
  <w:style w:type="character" w:styleId="Bl1" w:customStyle="1">
    <w:name w:val="bl1"/>
    <w:basedOn w:val="DefaultParagraphFont"/>
    <w:qFormat/>
    <w:rsid w:val="007e20c5"/>
    <w:rPr>
      <w:color w:val="4288B8"/>
    </w:rPr>
  </w:style>
  <w:style w:type="character" w:styleId="Style11" w:customStyle="1">
    <w:name w:val="Текст выноски Знак"/>
    <w:basedOn w:val="DefaultParagraphFont"/>
    <w:uiPriority w:val="99"/>
    <w:semiHidden/>
    <w:qFormat/>
    <w:rsid w:val="007e20c5"/>
    <w:rPr>
      <w:rFonts w:ascii="Tahoma" w:hAnsi="Tahoma" w:eastAsia="Times New Roman" w:cs="Tahoma"/>
      <w:sz w:val="16"/>
      <w:szCs w:val="16"/>
      <w:lang w:eastAsia="ru-RU"/>
    </w:rPr>
  </w:style>
  <w:style w:type="character" w:styleId="Haspopover4" w:customStyle="1">
    <w:name w:val="haspopover4"/>
    <w:basedOn w:val="DefaultParagraphFont"/>
    <w:qFormat/>
    <w:rsid w:val="00b868eb"/>
    <w:rPr/>
  </w:style>
  <w:style w:type="character" w:styleId="Strong">
    <w:name w:val="Strong"/>
    <w:basedOn w:val="DefaultParagraphFont"/>
    <w:uiPriority w:val="22"/>
    <w:qFormat/>
    <w:rsid w:val="0041440a"/>
    <w:rPr>
      <w:b/>
      <w:bCs/>
    </w:rPr>
  </w:style>
  <w:style w:type="character" w:styleId="Style12" w:customStyle="1">
    <w:name w:val="Интернет-ссылка"/>
    <w:basedOn w:val="DefaultParagraphFont"/>
    <w:uiPriority w:val="99"/>
    <w:semiHidden/>
    <w:unhideWhenUsed/>
    <w:rsid w:val="0057056e"/>
    <w:rPr>
      <w:color w:val="1C81B7"/>
      <w:u w:val="single"/>
    </w:rPr>
  </w:style>
  <w:style w:type="character" w:styleId="Delimiter1" w:customStyle="1">
    <w:name w:val="delimiter1"/>
    <w:basedOn w:val="DefaultParagraphFont"/>
    <w:qFormat/>
    <w:rsid w:val="0057056e"/>
    <w:rPr/>
  </w:style>
  <w:style w:type="character" w:styleId="Style13" w:customStyle="1">
    <w:name w:val="Абзац списка Знак"/>
    <w:uiPriority w:val="34"/>
    <w:qFormat/>
    <w:locked/>
    <w:rsid w:val="0069050f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4" w:customStyle="1">
    <w:name w:val="Основной текст Знак"/>
    <w:basedOn w:val="DefaultParagraphFont"/>
    <w:qFormat/>
    <w:rsid w:val="00426223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21" w:customStyle="1">
    <w:name w:val="Заголовок 2 Знак"/>
    <w:basedOn w:val="DefaultParagraphFont"/>
    <w:link w:val="2"/>
    <w:uiPriority w:val="9"/>
    <w:semiHidden/>
    <w:qFormat/>
    <w:rsid w:val="00b473b3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  <w:lang w:eastAsia="ru-RU"/>
    </w:rPr>
  </w:style>
  <w:style w:type="character" w:styleId="Nproductspecnameinner" w:customStyle="1">
    <w:name w:val="n-product-spec__name-inner"/>
    <w:basedOn w:val="DefaultParagraphFont"/>
    <w:qFormat/>
    <w:rsid w:val="00b473b3"/>
    <w:rPr/>
  </w:style>
  <w:style w:type="character" w:styleId="Nproductspecvalueinner" w:customStyle="1">
    <w:name w:val="n-product-spec__value-inner"/>
    <w:basedOn w:val="DefaultParagraphFont"/>
    <w:qFormat/>
    <w:rsid w:val="00b473b3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225ac1"/>
    <w:rPr>
      <w:sz w:val="16"/>
      <w:szCs w:val="16"/>
    </w:rPr>
  </w:style>
  <w:style w:type="character" w:styleId="Style15" w:customStyle="1">
    <w:name w:val="Текст примечания Знак"/>
    <w:basedOn w:val="DefaultParagraphFont"/>
    <w:uiPriority w:val="99"/>
    <w:semiHidden/>
    <w:qFormat/>
    <w:rsid w:val="00225ac1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6" w:customStyle="1">
    <w:name w:val="Тема примечания Знак"/>
    <w:basedOn w:val="Style15"/>
    <w:uiPriority w:val="99"/>
    <w:semiHidden/>
    <w:qFormat/>
    <w:rsid w:val="00225ac1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yle17" w:customStyle="1">
    <w:name w:val="Текст Знак"/>
    <w:basedOn w:val="DefaultParagraphFont"/>
    <w:uiPriority w:val="99"/>
    <w:semiHidden/>
    <w:qFormat/>
    <w:rsid w:val="00977908"/>
    <w:rPr>
      <w:rFonts w:ascii="Calibri" w:hAnsi="Calibri"/>
      <w:szCs w:val="21"/>
    </w:rPr>
  </w:style>
  <w:style w:type="character" w:styleId="12" w:customStyle="1">
    <w:name w:val="Пункт Знак1"/>
    <w:qFormat/>
    <w:locked/>
    <w:rsid w:val="009618c5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31" w:customStyle="1">
    <w:name w:val="Заголовок 3 Знак"/>
    <w:basedOn w:val="DefaultParagraphFont"/>
    <w:link w:val="3"/>
    <w:uiPriority w:val="9"/>
    <w:semiHidden/>
    <w:qFormat/>
    <w:rsid w:val="00f22cc4"/>
    <w:rPr>
      <w:rFonts w:ascii="Cambria" w:hAnsi="Cambria" w:eastAsia="" w:cs="" w:asciiTheme="majorHAnsi" w:cstheme="majorBidi" w:eastAsiaTheme="majorEastAsia" w:hAnsiTheme="majorHAnsi"/>
      <w:color w:val="243F60" w:themeColor="accent1" w:themeShade="7f"/>
      <w:sz w:val="24"/>
      <w:szCs w:val="24"/>
      <w:lang w:eastAsia="ru-RU"/>
    </w:rPr>
  </w:style>
  <w:style w:type="character" w:styleId="ListLabel1" w:customStyle="1">
    <w:name w:val="ListLabel 1"/>
    <w:qFormat/>
    <w:rPr>
      <w:b/>
      <w:sz w:val="24"/>
      <w:szCs w:val="24"/>
    </w:rPr>
  </w:style>
  <w:style w:type="character" w:styleId="ListLabel2" w:customStyle="1">
    <w:name w:val="ListLabel 2"/>
    <w:qFormat/>
    <w:rPr>
      <w:rFonts w:cs="Symbol"/>
      <w:sz w:val="24"/>
      <w:szCs w:val="22"/>
    </w:rPr>
  </w:style>
  <w:style w:type="character" w:styleId="ListLabel3" w:customStyle="1">
    <w:name w:val="ListLabel 3"/>
    <w:qFormat/>
    <w:rPr>
      <w:b/>
      <w:sz w:val="24"/>
      <w:szCs w:val="24"/>
    </w:rPr>
  </w:style>
  <w:style w:type="character" w:styleId="ListLabel4" w:customStyle="1">
    <w:name w:val="ListLabel 4"/>
    <w:qFormat/>
    <w:rPr>
      <w:rFonts w:cs="Symbol"/>
      <w:sz w:val="24"/>
      <w:szCs w:val="22"/>
    </w:rPr>
  </w:style>
  <w:style w:type="character" w:styleId="ListLabel5">
    <w:name w:val="ListLabel 5"/>
    <w:qFormat/>
    <w:rPr>
      <w:b/>
      <w:sz w:val="24"/>
      <w:szCs w:val="24"/>
    </w:rPr>
  </w:style>
  <w:style w:type="character" w:styleId="ListLabel6">
    <w:name w:val="ListLabel 6"/>
    <w:qFormat/>
    <w:rPr>
      <w:rFonts w:cs="Symbol"/>
      <w:sz w:val="24"/>
      <w:szCs w:val="22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9">
    <w:name w:val="Body Text"/>
    <w:basedOn w:val="Normal"/>
    <w:rsid w:val="00426223"/>
    <w:pPr>
      <w:spacing w:before="0" w:after="120"/>
    </w:pPr>
    <w:rPr/>
  </w:style>
  <w:style w:type="paragraph" w:styleId="Style20">
    <w:name w:val="List"/>
    <w:basedOn w:val="Style19"/>
    <w:pPr/>
    <w:rPr>
      <w:rFonts w:cs="Lohit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Style23">
    <w:name w:val="Title"/>
    <w:basedOn w:val="Normal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0237ae"/>
    <w:pPr>
      <w:spacing w:before="0" w:after="0"/>
      <w:ind w:left="720" w:hanging="0"/>
      <w:contextualSpacing/>
    </w:pPr>
    <w:rPr/>
  </w:style>
  <w:style w:type="paragraph" w:styleId="NormalWeb">
    <w:name w:val="Normal (Web)"/>
    <w:basedOn w:val="Normal"/>
    <w:uiPriority w:val="99"/>
    <w:unhideWhenUsed/>
    <w:qFormat/>
    <w:rsid w:val="000237ae"/>
    <w:pPr>
      <w:spacing w:lineRule="atLeast" w:line="240" w:beforeAutospacing="1" w:afterAutospacing="1"/>
      <w:jc w:val="both"/>
    </w:pPr>
    <w:rPr>
      <w:sz w:val="24"/>
      <w:szCs w:val="24"/>
    </w:rPr>
  </w:style>
  <w:style w:type="paragraph" w:styleId="BalloonText">
    <w:name w:val="Balloon Text"/>
    <w:basedOn w:val="Normal"/>
    <w:uiPriority w:val="99"/>
    <w:semiHidden/>
    <w:unhideWhenUsed/>
    <w:qFormat/>
    <w:rsid w:val="007e20c5"/>
    <w:pPr/>
    <w:rPr>
      <w:rFonts w:ascii="Tahoma" w:hAnsi="Tahoma" w:cs="Tahoma"/>
      <w:sz w:val="16"/>
      <w:szCs w:val="16"/>
    </w:rPr>
  </w:style>
  <w:style w:type="paragraph" w:styleId="ListNumber">
    <w:name w:val="List Number"/>
    <w:basedOn w:val="Style19"/>
    <w:unhideWhenUsed/>
    <w:qFormat/>
    <w:rsid w:val="00b201d6"/>
    <w:pPr>
      <w:spacing w:lineRule="auto" w:line="360" w:before="60" w:after="0"/>
      <w:jc w:val="both"/>
    </w:pPr>
    <w:rPr>
      <w:sz w:val="28"/>
    </w:rPr>
  </w:style>
  <w:style w:type="paragraph" w:styleId="Annotationtext">
    <w:name w:val="annotation text"/>
    <w:basedOn w:val="Normal"/>
    <w:uiPriority w:val="99"/>
    <w:semiHidden/>
    <w:unhideWhenUsed/>
    <w:qFormat/>
    <w:rsid w:val="00225ac1"/>
    <w:pPr/>
    <w:rPr/>
  </w:style>
  <w:style w:type="paragraph" w:styleId="Annotationsubject">
    <w:name w:val="annotation subject"/>
    <w:basedOn w:val="Annotationtext"/>
    <w:uiPriority w:val="99"/>
    <w:semiHidden/>
    <w:unhideWhenUsed/>
    <w:qFormat/>
    <w:rsid w:val="00225ac1"/>
    <w:pPr/>
    <w:rPr>
      <w:b/>
      <w:bCs/>
    </w:rPr>
  </w:style>
  <w:style w:type="paragraph" w:styleId="PlainText">
    <w:name w:val="Plain Text"/>
    <w:basedOn w:val="Normal"/>
    <w:uiPriority w:val="99"/>
    <w:semiHidden/>
    <w:unhideWhenUsed/>
    <w:qFormat/>
    <w:rsid w:val="00977908"/>
    <w:pPr/>
    <w:rPr>
      <w:rFonts w:ascii="Calibri" w:hAnsi="Calibri" w:eastAsia="Calibri" w:cs="" w:cstheme="minorBidi" w:eastAsiaTheme="minorHAnsi"/>
      <w:sz w:val="22"/>
      <w:szCs w:val="21"/>
      <w:lang w:eastAsia="en-US"/>
    </w:rPr>
  </w:style>
  <w:style w:type="paragraph" w:styleId="13" w:customStyle="1">
    <w:name w:val="Нумерованный список1"/>
    <w:basedOn w:val="Style19"/>
    <w:qFormat/>
    <w:rsid w:val="009618c5"/>
    <w:pPr>
      <w:spacing w:lineRule="auto" w:line="360" w:before="60" w:after="0"/>
      <w:jc w:val="both"/>
    </w:pPr>
    <w:rPr>
      <w:sz w:val="28"/>
      <w:lang w:eastAsia="zh-CN"/>
    </w:rPr>
  </w:style>
  <w:style w:type="paragraph" w:styleId="ListNum" w:customStyle="1">
    <w:name w:val="ListNum"/>
    <w:basedOn w:val="Normal"/>
    <w:qFormat/>
    <w:rsid w:val="009618c5"/>
    <w:pPr>
      <w:tabs>
        <w:tab w:val="left" w:pos="284" w:leader="none"/>
        <w:tab w:val="left" w:pos="1008" w:leader="none"/>
      </w:tabs>
      <w:spacing w:before="60" w:after="0"/>
      <w:jc w:val="both"/>
    </w:pPr>
    <w:rPr>
      <w:sz w:val="22"/>
      <w:szCs w:val="24"/>
      <w:lang w:eastAsia="zh-CN"/>
    </w:rPr>
  </w:style>
  <w:style w:type="paragraph" w:styleId="Style24" w:customStyle="1">
    <w:name w:val="Пункт"/>
    <w:basedOn w:val="Style19"/>
    <w:link w:val="10"/>
    <w:qFormat/>
    <w:rsid w:val="009618c5"/>
    <w:pPr>
      <w:tabs>
        <w:tab w:val="left" w:pos="1985" w:leader="none"/>
      </w:tabs>
      <w:spacing w:lineRule="auto" w:line="360" w:before="0" w:after="0"/>
      <w:ind w:left="1985" w:hanging="851"/>
      <w:jc w:val="both"/>
    </w:pPr>
    <w:rPr>
      <w:sz w:val="2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uiPriority w:val="59"/>
    <w:rsid w:val="0053377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Application>LibreOffice/5.3.6.1$Linux_X86_64 LibreOffice_project/30$Build-1</Application>
  <Pages>2</Pages>
  <Words>727</Words>
  <Characters>4840</Characters>
  <CharactersWithSpaces>5463</CharactersWithSpaces>
  <Paragraphs>121</Paragraphs>
  <Company>ALGsoft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2026-10-21T02:13:00Z</dcterms:created>
  <dc:creator>manager0302</dc:creator>
  <dc:description/>
  <dc:language>ru-RU</dc:language>
  <cp:lastModifiedBy/>
  <cp:lastPrinted>2024-11-05T14:23:00Z</cp:lastPrinted>
  <dcterms:modified xsi:type="dcterms:W3CDTF">2026-11-02T09:52:25Z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ALGsoft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