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eastAsia="Calibri" w:ascii="Liberation Serif" w:hAnsi="Liberation Serif"/>
          <w:b/>
          <w:sz w:val="28"/>
          <w:szCs w:val="28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sz w:val="22"/>
          <w:szCs w:val="22"/>
        </w:rPr>
      </w:pPr>
      <w:r>
        <w:rPr>
          <w:rFonts w:eastAsia="Calibri" w:ascii="Liberation Serif" w:hAnsi="Liberation Serif"/>
          <w:b/>
          <w:sz w:val="22"/>
          <w:szCs w:val="22"/>
        </w:rPr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>ОКПД2 26.51.43.137  Поставка Указателей напряжения для филиала АО «ДРСК» «Электрические сети ЕАО».</w:t>
      </w:r>
    </w:p>
    <w:p>
      <w:pPr>
        <w:pStyle w:val="Normal"/>
        <w:keepNext w:val="true"/>
        <w:keepLines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i/>
          <w:sz w:val="24"/>
          <w:szCs w:val="24"/>
        </w:rPr>
        <w:t xml:space="preserve">Лот № </w:t>
      </w:r>
    </w:p>
    <w:p>
      <w:pPr>
        <w:pStyle w:val="Normal"/>
        <w:keepNext w:val="true"/>
        <w:keepLines/>
        <w:jc w:val="center"/>
        <w:rPr>
          <w:rFonts w:ascii="Liberation Serif" w:hAnsi="Liberation Serif" w:eastAsia="Calibri"/>
          <w:b/>
          <w:i/>
          <w:i/>
          <w:sz w:val="22"/>
          <w:szCs w:val="22"/>
        </w:rPr>
      </w:pPr>
      <w:r>
        <w:rPr>
          <w:rFonts w:eastAsia="Calibri" w:ascii="Liberation Serif" w:hAnsi="Liberation Serif"/>
          <w:b/>
          <w:i/>
          <w:sz w:val="22"/>
          <w:szCs w:val="22"/>
        </w:rPr>
      </w:r>
    </w:p>
    <w:p>
      <w:pPr>
        <w:pStyle w:val="Normal"/>
        <w:keepNext w:val="true"/>
        <w:keepLines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</w:p>
    <w:p>
      <w:pPr>
        <w:pStyle w:val="Normal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rFonts w:ascii="Liberation Serif" w:hAnsi="Liberation Serif"/>
        </w:rPr>
      </w:pPr>
      <w:bookmarkStart w:id="0" w:name="_Toc51339692"/>
      <w:bookmarkStart w:id="1" w:name="_Toc75446566"/>
      <w:r>
        <w:rPr>
          <w:rFonts w:ascii="Liberation Serif" w:hAnsi="Liberation Serif"/>
          <w:sz w:val="22"/>
          <w:szCs w:val="22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" w:name="_Toc75446568"/>
      <w:bookmarkStart w:id="3" w:name="_Toc46743506"/>
      <w:r>
        <w:rPr>
          <w:rFonts w:ascii="Liberation Serif" w:hAnsi="Liberation Serif"/>
          <w:sz w:val="22"/>
          <w:szCs w:val="22"/>
        </w:rPr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  <w:t xml:space="preserve">СИЗ Указатели напряжения 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b/>
          <w:bCs/>
          <w:i w:val="false"/>
          <w:i w:val="false"/>
          <w:iCs w:val="false"/>
        </w:rPr>
      </w:pP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1.2. 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  <w:lang w:val="ru-RU"/>
        </w:rPr>
        <w:t>Перечень</w:t>
      </w:r>
      <w:r>
        <w:rPr>
          <w:rFonts w:ascii="Liberation Serif" w:hAnsi="Liberation Serif"/>
          <w:b/>
          <w:bCs/>
          <w:i w:val="false"/>
          <w:iCs w:val="false"/>
          <w:sz w:val="22"/>
          <w:szCs w:val="22"/>
        </w:rPr>
        <w:t xml:space="preserve"> сокращений</w:t>
      </w:r>
    </w:p>
    <w:tbl>
      <w:tblPr>
        <w:tblStyle w:val="af0"/>
        <w:tblW w:w="14799" w:type="dxa"/>
        <w:jc w:val="left"/>
        <w:tblInd w:w="8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86"/>
        <w:gridCol w:w="13212"/>
      </w:tblGrid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ПИН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Переносной индикатор напряжения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СНИК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Сигнализатор напряжения индивидуальный касочный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УВН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Указатель высокого напряжения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Сигнализатор напряжения</w:t>
            </w:r>
          </w:p>
        </w:tc>
      </w:tr>
      <w:tr>
        <w:trPr/>
        <w:tc>
          <w:tcPr>
            <w:tcW w:w="1586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УПУН</w:t>
            </w:r>
          </w:p>
        </w:tc>
        <w:tc>
          <w:tcPr>
            <w:tcW w:w="13212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Устройство проверки указателей напряжения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>
          <w:rFonts w:ascii="Liberation Serif" w:hAnsi="Liberation Serif"/>
          <w:b/>
          <w:i/>
          <w:i/>
          <w:sz w:val="22"/>
          <w:szCs w:val="22"/>
        </w:rPr>
      </w:pPr>
      <w:r>
        <w:rPr>
          <w:rFonts w:ascii="Liberation Serif" w:hAnsi="Liberation Serif"/>
          <w:b/>
          <w:i/>
          <w:sz w:val="22"/>
          <w:szCs w:val="22"/>
        </w:rPr>
      </w:r>
    </w:p>
    <w:p>
      <w:pPr>
        <w:pStyle w:val="Heading1"/>
        <w:keepLines/>
        <w:numPr>
          <w:ilvl w:val="0"/>
          <w:numId w:val="3"/>
        </w:numPr>
        <w:spacing w:before="120" w:after="0"/>
        <w:ind w:hanging="357" w:left="357"/>
        <w:jc w:val="center"/>
        <w:rPr>
          <w:rFonts w:ascii="Liberation Serif" w:hAnsi="Liberation Serif"/>
        </w:rPr>
      </w:pPr>
      <w:bookmarkStart w:id="4" w:name="_Toc50125126"/>
      <w:bookmarkStart w:id="5" w:name="_Toc46743510"/>
      <w:bookmarkStart w:id="6" w:name="_Toc75446573"/>
      <w:bookmarkStart w:id="7" w:name="_Toc51339693"/>
      <w:bookmarkEnd w:id="4"/>
      <w:bookmarkEnd w:id="5"/>
      <w:r>
        <w:rPr>
          <w:rFonts w:ascii="Liberation Serif" w:hAnsi="Liberation Serif"/>
          <w:iCs/>
          <w:sz w:val="22"/>
          <w:szCs w:val="22"/>
        </w:rPr>
        <w:t>Требования к 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8" w:name="_Toc75446574"/>
      <w:r>
        <w:rPr>
          <w:rFonts w:ascii="Liberation Serif" w:hAnsi="Liberation Serif"/>
          <w:sz w:val="22"/>
          <w:szCs w:val="22"/>
        </w:rPr>
        <w:t xml:space="preserve">Требования к объемам и срокам </w:t>
      </w:r>
      <w:r>
        <w:rPr>
          <w:rFonts w:ascii="Liberation Serif" w:hAnsi="Liberation Serif"/>
          <w:sz w:val="22"/>
          <w:szCs w:val="22"/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9" w:name="_Toc75446575"/>
      <w:r>
        <w:rPr>
          <w:rFonts w:ascii="Liberation Serif" w:hAnsi="Liberation Serif"/>
          <w:sz w:val="22"/>
          <w:szCs w:val="22"/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10" w:name="_Toc75446576"/>
      <w:bookmarkStart w:id="11" w:name="_Toc5133969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2.1</w:t>
      </w:r>
      <w:r>
        <w:rPr>
          <w:rFonts w:ascii="Liberation Serif" w:hAnsi="Liberation Serif"/>
          <w:sz w:val="22"/>
          <w:szCs w:val="22"/>
        </w:rPr>
        <w:t xml:space="preserve"> </w:t>
      </w:r>
      <w:r>
        <w:rPr>
          <w:rFonts w:ascii="Liberation Serif" w:hAnsi="Liberation Serif"/>
          <w:sz w:val="22"/>
          <w:szCs w:val="22"/>
          <w:lang w:val="ru-RU"/>
        </w:rPr>
        <w:t xml:space="preserve">Перечень </w:t>
      </w:r>
      <w:bookmarkEnd w:id="11"/>
      <w:r>
        <w:rPr>
          <w:rFonts w:ascii="Liberation Serif" w:hAnsi="Liberation Serif"/>
          <w:sz w:val="22"/>
          <w:szCs w:val="22"/>
          <w:lang w:val="ru-RU"/>
        </w:rPr>
        <w:t>и объем закупаемой продукции</w:t>
      </w:r>
      <w:bookmarkEnd w:id="10"/>
    </w:p>
    <w:tbl>
      <w:tblPr>
        <w:tblW w:w="14748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9839"/>
        <w:gridCol w:w="1950"/>
        <w:gridCol w:w="1998"/>
      </w:tblGrid>
      <w:tr>
        <w:trPr>
          <w:trHeight w:val="330" w:hRule="atLeast"/>
        </w:trPr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9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</w:tr>
      <w:tr>
        <w:trPr>
          <w:trHeight w:val="33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DDEBF7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Кол-во</w:t>
            </w:r>
          </w:p>
        </w:tc>
      </w:tr>
      <w:tr>
        <w:trPr>
          <w:trHeight w:val="411" w:hRule="atLeast"/>
        </w:trPr>
        <w:tc>
          <w:tcPr>
            <w:tcW w:w="14747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bidi w:val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 w:val="false"/>
                <w:strike w:val="false"/>
                <w:dstrike w:val="false"/>
                <w:outline w:val="false"/>
                <w:shadow w:val="false"/>
                <w:color w:val="auto"/>
                <w:sz w:val="24"/>
                <w:szCs w:val="24"/>
                <w:u w:val="none"/>
                <w:em w:val="none"/>
              </w:rPr>
              <w:t>Филиал АО «ДРСК» «Электрические сети Еврейской Автономной области»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УВНУ-10 СЗ ИП-НЭО, УВНУ-10 СЗ ИП-НЭО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шт</w:t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УВНУ-10СЗ ИП-КОМБИ-НЭО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УВНУ-35-110 СЗ ИП-КОМБИ-НЭО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УНК (12-380) ВЛ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ЭЛИН-1СЗ ВЛ(12-660)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УВНКС-35-110Э СЗ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УВНСЗ 6-10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УВН-90М-110 СЗ ИП КБ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однополюсный УН-453М 24-1200В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УНН-1СЗ ВЛ(50-608В)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напряжения УВН-90М-6-35СЗ ИП КБ 6-35кВ, УВН-90М-6-35 СЗ ИП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12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Lohit Devanagari" w:hAnsi="Lohit Devanagari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rFonts w:ascii="Calibri" w:hAnsi="Calib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 xml:space="preserve">Указатель высокого </w:t>
            </w:r>
            <w:r>
              <w:rPr>
                <w:rFonts w:ascii="Lohit Devanagari" w:hAnsi="Lohit Devanaga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напряжения УВН 6-35 КБ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13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низкого напряжения УНК (12-660В) 12…660В, УНК 12-660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14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высокого напряжения УВНФ-10С3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</w:t>
            </w:r>
          </w:p>
        </w:tc>
        <w:tc>
          <w:tcPr>
            <w:tcW w:w="9839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18"/>
                <w:u w:val="none"/>
                <w:em w:val="none"/>
              </w:rPr>
              <w:t>Указатель напряжения УВН-90М-35-110 СЗ ИП, УВН-90М-35-110 СЗ ИП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</w:r>
          </w:p>
        </w:tc>
        <w:tc>
          <w:tcPr>
            <w:tcW w:w="199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Style35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>
        <w:trPr>
          <w:trHeight w:val="315" w:hRule="atLeast"/>
        </w:trPr>
        <w:tc>
          <w:tcPr>
            <w:tcW w:w="1274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77</w:t>
            </w:r>
          </w:p>
        </w:tc>
      </w:tr>
      <w:tr>
        <w:trPr>
          <w:trHeight w:val="315" w:hRule="atLeast"/>
        </w:trPr>
        <w:tc>
          <w:tcPr>
            <w:tcW w:w="14747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Liberation Serif" w:hAnsi="Liberation Serif"/>
          <w:lang w:eastAsia="x-none"/>
        </w:rPr>
      </w:pPr>
      <w:r>
        <w:rPr>
          <w:rFonts w:ascii="Liberation Serif" w:hAnsi="Liberation Serif"/>
          <w:lang w:eastAsia="x-none"/>
        </w:rPr>
      </w:r>
    </w:p>
    <w:p>
      <w:pPr>
        <w:pStyle w:val="Heading3"/>
        <w:numPr>
          <w:ilvl w:val="2"/>
          <w:numId w:val="3"/>
        </w:numPr>
        <w:spacing w:before="120" w:after="0"/>
        <w:rPr>
          <w:rFonts w:ascii="Liberation Serif" w:hAnsi="Liberation Serif"/>
        </w:rPr>
      </w:pPr>
      <w:bookmarkStart w:id="12" w:name="_Toc75446578"/>
      <w:bookmarkStart w:id="13" w:name="_Toc51339696"/>
      <w:r>
        <w:rPr>
          <w:rFonts w:ascii="Liberation Serif" w:hAnsi="Liberation Serif"/>
          <w:sz w:val="22"/>
          <w:szCs w:val="22"/>
          <w:lang w:val="ru-RU"/>
        </w:rPr>
        <w:t xml:space="preserve">Требования </w:t>
      </w:r>
      <w:bookmarkEnd w:id="13"/>
      <w:r>
        <w:rPr>
          <w:rFonts w:ascii="Liberation Serif" w:hAnsi="Liberation Serif"/>
          <w:sz w:val="22"/>
          <w:szCs w:val="22"/>
          <w:lang w:val="ru-RU"/>
        </w:rPr>
        <w:t xml:space="preserve">к срокам поставки продукции </w:t>
      </w:r>
      <w:bookmarkEnd w:id="12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14" w:name="_Toc51339697"/>
      <w:bookmarkStart w:id="15" w:name="_Toc50125126_Копия_1"/>
      <w:bookmarkStart w:id="16" w:name="_Toc50125127"/>
      <w:bookmarkStart w:id="17" w:name="_Toc75446579"/>
      <w:bookmarkEnd w:id="15"/>
      <w:r>
        <w:rPr>
          <w:rFonts w:ascii="Liberation Serif" w:hAnsi="Liberation Serif"/>
          <w:sz w:val="22"/>
          <w:szCs w:val="22"/>
        </w:rPr>
        <w:t xml:space="preserve">Таблица 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1.2.</w:t>
      </w:r>
      <w:r>
        <w:rPr>
          <w:rFonts w:ascii="Liberation Serif" w:hAnsi="Liberation Serif"/>
          <w:sz w:val="22"/>
          <w:szCs w:val="22"/>
        </w:rPr>
        <w:t xml:space="preserve"> </w:t>
      </w:r>
      <w:bookmarkStart w:id="18" w:name="_Hlk50465284"/>
      <w:r>
        <w:rPr>
          <w:rFonts w:ascii="Liberation Serif" w:hAnsi="Liberation Serif"/>
          <w:sz w:val="22"/>
          <w:szCs w:val="22"/>
        </w:rPr>
        <w:t xml:space="preserve">Требования по срокам </w:t>
      </w:r>
      <w:bookmarkEnd w:id="14"/>
      <w:bookmarkEnd w:id="16"/>
      <w:bookmarkEnd w:id="18"/>
      <w:r>
        <w:rPr>
          <w:rFonts w:ascii="Liberation Serif" w:hAnsi="Liberation Serif"/>
          <w:sz w:val="22"/>
          <w:szCs w:val="22"/>
          <w:lang w:val="ru-RU"/>
        </w:rPr>
        <w:t>поставки продукции</w:t>
      </w:r>
      <w:bookmarkEnd w:id="17"/>
      <w:r>
        <w:rPr>
          <w:rFonts w:ascii="Liberation Serif" w:hAnsi="Liberation Serif"/>
          <w:sz w:val="22"/>
          <w:szCs w:val="22"/>
          <w:lang w:val="ru-RU"/>
        </w:rPr>
        <w:t xml:space="preserve"> </w:t>
      </w:r>
    </w:p>
    <w:tbl>
      <w:tblPr>
        <w:tblW w:w="14742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7"/>
        <w:gridCol w:w="4187"/>
        <w:gridCol w:w="9988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1</w:t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2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szCs w:val="22"/>
              </w:rPr>
              <w:t>3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 xml:space="preserve">с момента </w:t>
            </w:r>
            <w:r>
              <w:rPr>
                <w:rFonts w:ascii="Liberation Serif" w:hAnsi="Liberation Serif"/>
                <w:b/>
                <w:bCs/>
                <w:i/>
                <w:sz w:val="22"/>
                <w:szCs w:val="22"/>
              </w:rPr>
              <w:t>внесения 100% предоплаты</w:t>
            </w:r>
          </w:p>
        </w:tc>
        <w:tc>
          <w:tcPr>
            <w:tcW w:w="9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 xml:space="preserve">в течение 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60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 xml:space="preserve"> календарных дней с момента 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внесения 100% предоплаты</w:t>
            </w:r>
            <w:r>
              <w:rPr>
                <w:rFonts w:ascii="Liberation Serif" w:hAnsi="Liberation Serif"/>
                <w:b/>
                <w:i/>
                <w:sz w:val="22"/>
                <w:szCs w:val="22"/>
              </w:rPr>
              <w:t>.</w:t>
            </w:r>
          </w:p>
        </w:tc>
      </w:tr>
    </w:tbl>
    <w:p>
      <w:pPr>
        <w:pStyle w:val="Heading1"/>
        <w:numPr>
          <w:ilvl w:val="0"/>
          <w:numId w:val="0"/>
        </w:numPr>
        <w:spacing w:before="120" w:after="0"/>
        <w:ind w:hanging="0" w:left="0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</w:r>
      <w:bookmarkStart w:id="19" w:name="_Toc46743510_Копия_1"/>
      <w:bookmarkStart w:id="20" w:name="_Toc46743510_Копия_1"/>
      <w:bookmarkEnd w:id="20"/>
    </w:p>
    <w:p>
      <w:pPr>
        <w:pStyle w:val="Heading4"/>
        <w:numPr>
          <w:ilvl w:val="1"/>
          <w:numId w:val="3"/>
        </w:numPr>
        <w:spacing w:before="120" w:after="0"/>
        <w:rPr>
          <w:rFonts w:ascii="Liberation Serif" w:hAnsi="Liberation Serif"/>
        </w:rPr>
      </w:pPr>
      <w:bookmarkStart w:id="21" w:name="_Toc51339698"/>
      <w:bookmarkStart w:id="22" w:name="_Toc75446581"/>
      <w:bookmarkStart w:id="23" w:name="_Toc46743511"/>
      <w:r>
        <w:rPr>
          <w:rFonts w:ascii="Liberation Serif" w:hAnsi="Liberation Serif"/>
          <w:sz w:val="22"/>
          <w:szCs w:val="22"/>
        </w:rPr>
        <w:t xml:space="preserve">Требования к </w:t>
      </w:r>
      <w:bookmarkEnd w:id="23"/>
      <w:r>
        <w:rPr>
          <w:rFonts w:ascii="Liberation Serif" w:hAnsi="Liberation Serif"/>
          <w:sz w:val="22"/>
          <w:szCs w:val="22"/>
          <w:lang w:val="ru-RU"/>
        </w:rPr>
        <w:t>качеству продукции</w:t>
      </w:r>
      <w:bookmarkEnd w:id="22"/>
    </w:p>
    <w:p>
      <w:pPr>
        <w:pStyle w:val="Heading1"/>
        <w:keepLines/>
        <w:numPr>
          <w:ilvl w:val="0"/>
          <w:numId w:val="0"/>
        </w:numPr>
        <w:spacing w:before="240" w:after="0"/>
        <w:ind w:hanging="0" w:left="0"/>
        <w:rPr>
          <w:rFonts w:ascii="Liberation Serif" w:hAnsi="Liberation Serif"/>
        </w:rPr>
      </w:pPr>
      <w:bookmarkStart w:id="24" w:name="_Toc75446582"/>
      <w:r>
        <w:rPr>
          <w:rFonts w:ascii="Liberation Serif" w:hAnsi="Liberation Serif"/>
          <w:sz w:val="22"/>
          <w:szCs w:val="22"/>
        </w:rPr>
        <w:t>Таблица </w:t>
      </w:r>
      <w:r>
        <w:rPr>
          <w:rFonts w:ascii="Liberation Serif" w:hAnsi="Liberation Serif"/>
          <w:sz w:val="22"/>
          <w:szCs w:val="22"/>
          <w:lang w:val="ru-RU"/>
        </w:rPr>
        <w:t>2</w:t>
      </w:r>
      <w:r>
        <w:rPr>
          <w:rFonts w:ascii="Liberation Serif" w:hAnsi="Liberation Serif"/>
          <w:sz w:val="22"/>
          <w:szCs w:val="22"/>
        </w:rPr>
        <w:t>.</w:t>
      </w:r>
      <w:r>
        <w:rPr>
          <w:rFonts w:ascii="Liberation Serif" w:hAnsi="Liberation Serif"/>
          <w:sz w:val="22"/>
          <w:szCs w:val="22"/>
          <w:lang w:val="ru-RU"/>
        </w:rPr>
        <w:t>2.</w:t>
      </w:r>
      <w:r>
        <w:rPr>
          <w:rFonts w:ascii="Liberation Serif" w:hAnsi="Liberation Serif"/>
          <w:sz w:val="22"/>
          <w:szCs w:val="22"/>
        </w:rPr>
        <w:t xml:space="preserve"> Требования к </w:t>
      </w:r>
      <w:r>
        <w:rPr>
          <w:rFonts w:ascii="Liberation Serif" w:hAnsi="Liberation Serif"/>
          <w:sz w:val="22"/>
          <w:szCs w:val="22"/>
          <w:lang w:val="ru-RU"/>
        </w:rPr>
        <w:t>продукции</w:t>
      </w:r>
      <w:bookmarkEnd w:id="24"/>
      <w:r>
        <w:rPr>
          <w:rFonts w:ascii="Liberation Serif" w:hAnsi="Liberation Serif"/>
          <w:sz w:val="22"/>
          <w:szCs w:val="22"/>
        </w:rPr>
        <w:t xml:space="preserve"> </w:t>
      </w:r>
      <w:bookmarkEnd w:id="2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0"/>
        <w:jc w:val="both"/>
        <w:rPr/>
      </w:pPr>
      <w:r>
        <w:rPr>
          <w:rFonts w:ascii="Liberation Serif" w:hAnsi="Liberation Serif"/>
          <w:b/>
          <w:bCs/>
          <w:i/>
          <w:iCs/>
          <w:sz w:val="22"/>
          <w:szCs w:val="22"/>
        </w:rPr>
        <w:t xml:space="preserve">Наименование продукции 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«</w:t>
      </w:r>
      <w:r>
        <w:rPr>
          <w:rFonts w:eastAsia="Calibri" w:ascii="Liberation Serif" w:hAnsi="Liberation Serif"/>
          <w:b/>
          <w:i/>
          <w:sz w:val="22"/>
          <w:szCs w:val="22"/>
          <w:lang w:eastAsia="x-none"/>
        </w:rPr>
        <w:t>Указатели напряжения</w:t>
      </w:r>
      <w:r>
        <w:rPr>
          <w:rFonts w:eastAsia="Calibri" w:ascii="Liberation Serif" w:hAnsi="Liberation Serif"/>
          <w:i/>
          <w:sz w:val="22"/>
          <w:szCs w:val="22"/>
          <w:lang w:eastAsia="x-none"/>
        </w:rPr>
        <w:t>»</w:t>
      </w:r>
      <w:r>
        <w:rPr>
          <w:rStyle w:val="Style8"/>
          <w:rFonts w:ascii="Liberation Serif" w:hAnsi="Liberation Serif"/>
          <w:b w:val="false"/>
          <w:iCs/>
          <w:sz w:val="22"/>
          <w:szCs w:val="22"/>
        </w:rPr>
        <w:t xml:space="preserve"> </w:t>
      </w:r>
    </w:p>
    <w:tbl>
      <w:tblPr>
        <w:tblStyle w:val="af0"/>
        <w:tblpPr w:vertAnchor="text" w:horzAnchor="text" w:leftFromText="180" w:rightFromText="180" w:tblpX="722" w:tblpY="1"/>
        <w:tblW w:w="1456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74"/>
        <w:gridCol w:w="3262"/>
        <w:gridCol w:w="4393"/>
        <w:gridCol w:w="1844"/>
        <w:gridCol w:w="2551"/>
        <w:gridCol w:w="1842"/>
      </w:tblGrid>
      <w:tr>
        <w:trPr/>
        <w:tc>
          <w:tcPr>
            <w:tcW w:w="67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326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39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3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84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67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26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439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84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характеристикам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Характеристики продукции должны соответствовать параметрам, указанным в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Приложении №1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00000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Предоставление заполненных Приложении № 1 к техническим требованиям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оформлению документов заявки, в случае предложения Участниками эквивалента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Допускаются эквиваленты при условии соответствия технических характеристик и качества заявляемой продукции. Участник должен принять во внимание, что ссылка на марку (тип) продукции, носит описательный, а не обязательный характер. В случае если Участником предлагаются эквиваленты требуемой Заказчику продукции, или ее составных частей в составе своего предложения он должен в обязательном порядке предоставить подробное техническое описание предлагаемого к поставке эквивалента.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Эквивалентная продукция - это продукция, которая по техническим и функциональным характеристикам не уступает характеристикам, заявленным в документации о закупке, в том числе по гарантийным срокам и срокам эксплуатации.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i/>
                <w:i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Параметрами эквивалентности являются ГОСТ, стандарты и марки, указанные в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>Приложении №1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Для оценки возможности использования предлагаемого эквивалента, предложение Участника должно содержать подробную информацию в объеме, соответствующем требованиям, указанным Заказчиком в </w:t>
            </w:r>
            <w:r>
              <w:rPr>
                <w:rFonts w:eastAsia="Calibri" w:cs="Times New Roman"/>
                <w:b/>
                <w:bCs/>
                <w:i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/>
                <w:b/>
                <w:bCs/>
                <w:i/>
                <w:kern w:val="0"/>
                <w:sz w:val="22"/>
                <w:szCs w:val="22"/>
                <w:lang w:val="ru-RU" w:eastAsia="en-US" w:bidi="ar-SA"/>
              </w:rPr>
              <w:t xml:space="preserve"> Приложении №1</w:t>
            </w:r>
            <w:r>
              <w:rPr>
                <w:rFonts w:eastAsia="Calibri" w:cs="Times New Roman"/>
                <w:bCs/>
                <w:kern w:val="0"/>
                <w:sz w:val="22"/>
                <w:szCs w:val="22"/>
                <w:lang w:val="ru-RU" w:eastAsia="en-US" w:bidi="ar-SA"/>
              </w:rPr>
              <w:t xml:space="preserve"> к настоящим Техническим требованиям.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Срок гарантии на поставляемую </w:t>
            </w: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продукцию</w:t>
            </w:r>
          </w:p>
        </w:tc>
        <w:tc>
          <w:tcPr>
            <w:tcW w:w="43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Гарантия на поставляемую продукцию должна составлять не менее </w:t>
            </w:r>
            <w:r>
              <w:rPr>
                <w:rFonts w:eastAsia="Times New Roman" w:cs="Times New Roman"/>
                <w:b/>
                <w:bCs/>
                <w:i/>
                <w:iCs/>
                <w:kern w:val="0"/>
                <w:sz w:val="22"/>
                <w:szCs w:val="22"/>
                <w:lang w:val="ru-RU" w:eastAsia="ru-RU" w:bidi="ar-SA"/>
              </w:rPr>
              <w:t>24 месяца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с даты подписания накладной </w:t>
            </w:r>
            <w:r>
              <w:rPr>
                <w:rFonts w:eastAsia="Times New Roman" w:cs="Times New Roman"/>
                <w:b/>
                <w:i/>
                <w:kern w:val="0"/>
                <w:sz w:val="22"/>
                <w:szCs w:val="22"/>
                <w:lang w:val="ru-RU" w:eastAsia="ru-RU" w:bidi="ar-SA"/>
              </w:rPr>
              <w:t>ТОРГ-12/УПД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Указать срок гарантии на предлагаемую продукцию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eastAsia="Sylfaen"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33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en-US" w:eastAsia="ru-RU" w:bidi="ar-SA"/>
              </w:rPr>
              <w:t>4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новизне поставляемой продукции</w:t>
            </w:r>
          </w:p>
        </w:tc>
      </w:tr>
      <w:tr>
        <w:trPr>
          <w:trHeight w:val="771" w:hRule="atLeast"/>
        </w:trPr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году выпуска</w:t>
            </w:r>
          </w:p>
        </w:tc>
        <w:tc>
          <w:tcPr>
            <w:tcW w:w="439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должна быть новой, ранее неиспользованной, произведенной не ранее 2026 года.</w:t>
            </w:r>
          </w:p>
        </w:tc>
        <w:tc>
          <w:tcPr>
            <w:tcW w:w="1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5.</w:t>
            </w:r>
          </w:p>
        </w:tc>
        <w:tc>
          <w:tcPr>
            <w:tcW w:w="13892" w:type="dxa"/>
            <w:gridSpan w:val="5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к доставке</w:t>
            </w:r>
          </w:p>
        </w:tc>
      </w:tr>
      <w:tr>
        <w:trPr/>
        <w:tc>
          <w:tcPr>
            <w:tcW w:w="674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ind w:hanging="0" w:right="-109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5.5.</w:t>
            </w:r>
          </w:p>
        </w:tc>
        <w:tc>
          <w:tcPr>
            <w:tcW w:w="326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right="145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Место поставки продукции для филиала АО «ДРСК» «Электрические сети Еврейской Автономной области»</w:t>
            </w:r>
          </w:p>
        </w:tc>
        <w:tc>
          <w:tcPr>
            <w:tcW w:w="439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000000"/>
                <w:spacing w:val="-1"/>
                <w:kern w:val="0"/>
                <w:sz w:val="22"/>
                <w:szCs w:val="22"/>
                <w:lang w:val="ru-RU" w:eastAsia="ru-RU" w:bidi="ar-SA"/>
              </w:rPr>
              <w:t>Авто доставка:</w:t>
            </w: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679011 РФ, Еврейская Автономная область, г. Биробиджан, ул. Черноморская, 6.</w:t>
            </w:r>
          </w:p>
        </w:tc>
        <w:tc>
          <w:tcPr>
            <w:tcW w:w="184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55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842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Liberation Serif" w:hAnsi="Liberation Serif"/>
        </w:rPr>
      </w:pPr>
      <w:r/>
      <w:r>
        <w:rPr>
          <w:rFonts w:ascii="Liberation Serif" w:hAnsi="Liberation Serif"/>
          <w:sz w:val="22"/>
          <w:szCs w:val="22"/>
        </w:rPr>
        <w:tab/>
      </w:r>
    </w:p>
    <w:p>
      <w:pPr>
        <w:pStyle w:val="Normal"/>
        <w:tabs>
          <w:tab w:val="clear" w:pos="708"/>
          <w:tab w:val="left" w:pos="567" w:leader="none"/>
        </w:tabs>
        <w:suppressAutoHyphens w:val="true"/>
        <w:ind w:hanging="0" w:right="593"/>
        <w:jc w:val="both"/>
        <w:rPr>
          <w:rFonts w:ascii="Liberation Serif" w:hAnsi="Liberation Serif"/>
        </w:rPr>
      </w:pPr>
      <w:r>
        <w:rPr>
          <w:rFonts w:ascii="Liberation Serif" w:hAnsi="Liberation Serif"/>
          <w:bCs/>
          <w:iCs/>
          <w:sz w:val="20"/>
          <w:szCs w:val="20"/>
          <w:lang w:eastAsia="x-none"/>
        </w:rPr>
        <w:t xml:space="preserve"> </w:t>
      </w:r>
      <w:r>
        <w:rPr>
          <w:rStyle w:val="Style15"/>
          <w:rFonts w:ascii="Liberation Serif" w:hAnsi="Liberation Serif"/>
          <w:b/>
          <w:bCs/>
          <w:i/>
          <w:iCs/>
          <w:sz w:val="20"/>
          <w:szCs w:val="20"/>
          <w:lang w:eastAsia="x-none"/>
        </w:rPr>
        <w:t xml:space="preserve">3. </w:t>
      </w:r>
      <w:r>
        <w:rPr>
          <w:rStyle w:val="Style15"/>
          <w:rFonts w:eastAsia="Liberation Serif;Times New Roman" w:cs="Liberation Serif;Times New Roman" w:ascii="Liberation Serif" w:hAnsi="Liberation Serif"/>
          <w:b/>
          <w:bCs/>
          <w:i w:val="false"/>
          <w:iCs w:val="false"/>
          <w:color w:val="000000"/>
          <w:sz w:val="20"/>
          <w:szCs w:val="20"/>
          <w:lang w:eastAsia="x-none"/>
        </w:rPr>
        <w:t>В составе заявки необходимо предоставить</w:t>
      </w:r>
      <w:r>
        <w:rPr>
          <w:rStyle w:val="Style15"/>
          <w:rFonts w:eastAsia="Liberation Serif;Times New Roman" w:cs="Liberation Serif;Times New Roman" w:ascii="Liberation Serif" w:hAnsi="Liberation Serif"/>
          <w:b/>
          <w:bCs/>
          <w:i w:val="false"/>
          <w:iCs w:val="false"/>
          <w:color w:val="000000"/>
          <w:sz w:val="20"/>
          <w:szCs w:val="20"/>
          <w:lang w:val="ru-RU" w:eastAsia="x-none"/>
        </w:rPr>
        <w:t>:</w:t>
      </w:r>
    </w:p>
    <w:p>
      <w:pPr>
        <w:pStyle w:val="Normal"/>
        <w:spacing w:before="0" w:after="60"/>
        <w:jc w:val="both"/>
        <w:rPr/>
      </w:pPr>
      <w:r>
        <w:rPr>
          <w:rStyle w:val="Style15"/>
          <w:rFonts w:eastAsia="Liberation Serif;Times New Roman"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bidi="ar-SA"/>
        </w:rPr>
        <w:t xml:space="preserve">Участник в составе своей заявки для подтверждения соответствия заявленных характеристик предложенной продукции/ поставляемой продукции, требованиям настоящих ТТ, предоставляет следующие документы: </w:t>
      </w:r>
    </w:p>
    <w:p>
      <w:pPr>
        <w:pStyle w:val="Normal"/>
        <w:spacing w:before="0" w:after="60"/>
        <w:jc w:val="both"/>
        <w:rPr/>
      </w:pPr>
      <w:r>
        <w:rPr>
          <w:rStyle w:val="Style15"/>
          <w:rFonts w:eastAsia="Liberation Serif;Times New Roman" w:cs="Times New Roman"/>
          <w:b w:val="false"/>
          <w:bCs w:val="false"/>
          <w:i w:val="false"/>
          <w:iCs w:val="false"/>
          <w:color w:val="000000"/>
          <w:sz w:val="22"/>
          <w:szCs w:val="22"/>
          <w:lang w:val="ru-RU" w:bidi="ar-SA"/>
        </w:rPr>
        <w:t>1. Техническое предложение, подготовленное в соответствии с настоящими ТТ по форме, представленной в документации о закупке;</w:t>
      </w:r>
    </w:p>
    <w:p>
      <w:pPr>
        <w:pStyle w:val="Normal"/>
        <w:suppressAutoHyphens w:val="true"/>
        <w:spacing w:before="120" w:after="120"/>
        <w:ind w:right="593"/>
        <w:jc w:val="both"/>
        <w:rPr/>
      </w:pPr>
      <w:r>
        <w:rPr>
          <w:rStyle w:val="Style15"/>
          <w:b w:val="false"/>
          <w:bCs w:val="false"/>
          <w:i w:val="false"/>
          <w:iCs w:val="false"/>
          <w:sz w:val="22"/>
          <w:szCs w:val="22"/>
        </w:rPr>
        <w:t>2.</w:t>
      </w:r>
      <w:r>
        <w:rPr>
          <w:rStyle w:val="Style15"/>
          <w:b/>
          <w:bCs/>
          <w:i w:val="false"/>
          <w:iCs w:val="false"/>
          <w:sz w:val="22"/>
          <w:szCs w:val="22"/>
        </w:rPr>
        <w:t xml:space="preserve">  </w:t>
      </w:r>
      <w:r>
        <w:rPr>
          <w:rStyle w:val="Style15"/>
          <w:rFonts w:eastAsia="Liberation Serif;Times New Roman" w:cs="Liberation Serif;Times New Roman"/>
          <w:b w:val="false"/>
          <w:bCs w:val="false"/>
          <w:i w:val="false"/>
          <w:iCs w:val="false"/>
          <w:color w:val="000000"/>
          <w:sz w:val="22"/>
          <w:szCs w:val="22"/>
          <w:lang w:val="ru-RU"/>
        </w:rPr>
        <w:t>Документы и информацию, подтверждающие страну происхождения товара в соответствии с требованиями Постановления Правительства Российской  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ind w:hanging="0"/>
        <w:jc w:val="both"/>
        <w:rPr>
          <w:rFonts w:ascii="Times New Roman" w:hAnsi="Times New Roman"/>
          <w:i w:val="false"/>
          <w:i w:val="false"/>
          <w:iCs w:val="false"/>
          <w:sz w:val="22"/>
          <w:szCs w:val="22"/>
        </w:rPr>
      </w:pPr>
      <w:r>
        <w:rPr>
          <w:b/>
          <w:bCs/>
          <w:i w:val="false"/>
          <w:iCs w:val="false"/>
          <w:sz w:val="22"/>
          <w:szCs w:val="22"/>
          <w:lang w:eastAsia="x-none"/>
        </w:rPr>
        <w:t>3.</w:t>
      </w:r>
      <w:r>
        <w:rPr>
          <w:b/>
          <w:i w:val="false"/>
          <w:iCs w:val="false"/>
          <w:sz w:val="22"/>
          <w:szCs w:val="22"/>
        </w:rPr>
        <w:t xml:space="preserve">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Normal"/>
        <w:widowControl/>
        <w:suppressAutoHyphens w:val="true"/>
        <w:bidi w:val="0"/>
        <w:spacing w:before="0" w:after="60"/>
        <w:ind w:hanging="0" w:left="0" w:right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rFonts w:ascii="Liberation Serif" w:hAnsi="Liberation Serif"/>
          <w:b/>
          <w:i w:val="false"/>
          <w:iCs w:val="false"/>
          <w:sz w:val="24"/>
          <w:szCs w:val="24"/>
          <w:shd w:fill="auto" w:val="clear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Приложение № 1. – Перечень и характеристики ФАО «ЭС ЕАО»;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before="0" w:after="60"/>
        <w:ind w:hanging="0" w:left="0" w:right="0"/>
        <w:jc w:val="both"/>
        <w:rPr>
          <w:rFonts w:ascii="Liberation Serif" w:hAnsi="Liberation Serif"/>
          <w:b/>
          <w:i w:val="false"/>
          <w:i w:val="false"/>
          <w:iCs w:val="false"/>
          <w:sz w:val="24"/>
          <w:szCs w:val="24"/>
          <w:shd w:fill="auto" w:val="clear"/>
        </w:rPr>
      </w:pPr>
      <w:r>
        <w:rPr>
          <w:b/>
          <w:i w:val="false"/>
          <w:iCs w:val="false"/>
          <w:sz w:val="24"/>
          <w:szCs w:val="24"/>
          <w:shd w:fill="auto" w:val="clear"/>
        </w:rPr>
        <w:tab/>
      </w:r>
      <w:r>
        <w:rPr>
          <w:rFonts w:eastAsia="Times New Roman" w:cs="Times New Roman" w:ascii="Liberation Serif" w:hAnsi="Liberation Serif"/>
          <w:bCs/>
          <w:iCs/>
          <w:color w:val="auto"/>
          <w:kern w:val="0"/>
          <w:sz w:val="24"/>
          <w:szCs w:val="24"/>
          <w:lang w:val="ru-RU" w:eastAsia="x-none" w:bidi="ar-SA"/>
        </w:rPr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276" w:right="1134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ohit Devanagari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/>
        <w:kern w:val="0"/>
        <w:effect w:val="none"/>
        <w:szCs w:val="22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1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Markedcontent" w:customStyle="1">
    <w:name w:val="markedcontent"/>
    <w:basedOn w:val="DefaultParagraphFont"/>
    <w:qFormat/>
    <w:rsid w:val="00a33766"/>
    <w:rPr/>
  </w:style>
  <w:style w:type="character" w:styleId="Style14" w:customStyle="1">
    <w:name w:val="Основной текст с отступом Знак"/>
    <w:basedOn w:val="DefaultParagraphFont"/>
    <w:qFormat/>
    <w:rsid w:val="00730aab"/>
    <w:rPr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440c44"/>
    <w:rPr>
      <w:color w:val="954F72"/>
      <w:u w:val="single"/>
    </w:rPr>
  </w:style>
  <w:style w:type="character" w:styleId="Style15">
    <w:name w:val="Основной шрифт абзаца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Lohit Devanagari"/>
    </w:rPr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link w:val="Style14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Msonormal" w:customStyle="1">
    <w:name w:val="msonormal"/>
    <w:basedOn w:val="Normal"/>
    <w:qFormat/>
    <w:rsid w:val="00440c44"/>
    <w:pPr>
      <w:spacing w:beforeAutospacing="1" w:afterAutospacing="1"/>
    </w:pPr>
    <w:rPr>
      <w:sz w:val="24"/>
      <w:szCs w:val="24"/>
    </w:rPr>
  </w:style>
  <w:style w:type="paragraph" w:styleId="Xl65" w:customStyle="1">
    <w:name w:val="xl65"/>
    <w:basedOn w:val="Normal"/>
    <w:qFormat/>
    <w:rsid w:val="00440c44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6" w:customStyle="1">
    <w:name w:val="xl66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67" w:customStyle="1">
    <w:name w:val="xl67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68" w:customStyle="1">
    <w:name w:val="xl68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69" w:customStyle="1">
    <w:name w:val="xl69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textAlignment w:val="center"/>
    </w:pPr>
    <w:rPr>
      <w:b/>
      <w:bCs/>
      <w:sz w:val="24"/>
      <w:szCs w:val="24"/>
    </w:rPr>
  </w:style>
  <w:style w:type="paragraph" w:styleId="Xl70" w:customStyle="1">
    <w:name w:val="xl70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1" w:customStyle="1">
    <w:name w:val="xl71"/>
    <w:basedOn w:val="Normal"/>
    <w:qFormat/>
    <w:rsid w:val="00440c4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E1F2"/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2" w:customStyle="1">
    <w:name w:val="xl72"/>
    <w:basedOn w:val="Normal"/>
    <w:qFormat/>
    <w:rsid w:val="00440c4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3" w:customStyle="1">
    <w:name w:val="xl73"/>
    <w:basedOn w:val="Normal"/>
    <w:qFormat/>
    <w:rsid w:val="00440c44"/>
    <w:pPr>
      <w:pBdr>
        <w:top w:val="single" w:sz="4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textAlignment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440c44"/>
    <w:pPr>
      <w:pBdr>
        <w:top w:val="single" w:sz="4" w:space="0" w:color="000000"/>
        <w:left w:val="single" w:sz="4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6" w:customStyle="1">
    <w:name w:val="xl76"/>
    <w:basedOn w:val="Normal"/>
    <w:qFormat/>
    <w:rsid w:val="00440c4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7" w:customStyle="1">
    <w:name w:val="xl77"/>
    <w:basedOn w:val="Normal"/>
    <w:qFormat/>
    <w:rsid w:val="00440c44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b/>
      <w:bCs/>
      <w:sz w:val="24"/>
      <w:szCs w:val="24"/>
    </w:rPr>
  </w:style>
  <w:style w:type="paragraph" w:styleId="Xl78" w:customStyle="1">
    <w:name w:val="xl78"/>
    <w:basedOn w:val="Normal"/>
    <w:qFormat/>
    <w:rsid w:val="00440c44"/>
    <w:pPr>
      <w:pBdr>
        <w:left w:val="single" w:sz="8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79" w:customStyle="1">
    <w:name w:val="xl79"/>
    <w:basedOn w:val="Normal"/>
    <w:qFormat/>
    <w:rsid w:val="00440c44"/>
    <w:pPr>
      <w:pBdr>
        <w:bottom w:val="single" w:sz="4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0" w:customStyle="1">
    <w:name w:val="xl80"/>
    <w:basedOn w:val="Normal"/>
    <w:qFormat/>
    <w:rsid w:val="00440c44"/>
    <w:pPr>
      <w:pBdr>
        <w:bottom w:val="single" w:sz="4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b/>
      <w:bCs/>
      <w:sz w:val="24"/>
      <w:szCs w:val="24"/>
    </w:rPr>
  </w:style>
  <w:style w:type="paragraph" w:styleId="Xl81" w:customStyle="1">
    <w:name w:val="xl81"/>
    <w:basedOn w:val="Normal"/>
    <w:qFormat/>
    <w:rsid w:val="00440c44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Xl82" w:customStyle="1">
    <w:name w:val="xl82"/>
    <w:basedOn w:val="Normal"/>
    <w:qFormat/>
    <w:rsid w:val="00440c44"/>
    <w:pPr>
      <w:pBdr>
        <w:top w:val="single" w:sz="8" w:space="0" w:color="000000"/>
        <w:bottom w:val="single" w:sz="8" w:space="0" w:color="000000"/>
      </w:pBdr>
      <w:spacing w:beforeAutospacing="1" w:afterAutospacing="1"/>
      <w:jc w:val="right"/>
      <w:textAlignment w:val="center"/>
    </w:pPr>
    <w:rPr>
      <w:b/>
      <w:bCs/>
      <w:sz w:val="24"/>
      <w:szCs w:val="24"/>
    </w:rPr>
  </w:style>
  <w:style w:type="paragraph" w:styleId="Style34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4437B-9215-4A5F-9104-E0964FB3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2490</TotalTime>
  <Application>AlterOffice/2026.2.0.0$Linux_X86_64 LibreOffice_project/bc4ef1adf80b36c7a6365f8ed6cbf29021361edd</Application>
  <AppVersion>15.0000</AppVersion>
  <Pages>5</Pages>
  <Words>721</Words>
  <Characters>4883</Characters>
  <CharactersWithSpaces>5469</CharactersWithSpaces>
  <Paragraphs>149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2023-06-04T22:23:00Z</dcterms:created>
  <dc:creator>Быстров Олег Геннадьевич</dc:creator>
  <dc:description/>
  <dc:language>ru-RU</dc:language>
  <cp:lastModifiedBy>balabanova_eb</cp:lastModifiedBy>
  <cp:lastPrinted>2025-11-18T08:22:26Z</cp:lastPrinted>
  <dcterms:modified xsi:type="dcterms:W3CDTF">2026-11-02T14:52:18Z</dcterms:modified>
  <cp:revision>757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