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Cs/>
          <w:iCs/>
        </w:rPr>
      </w:pPr>
      <w:r>
        <w:rPr>
          <w:rFonts w:eastAsia="Calibri"/>
          <w:b/>
          <w:bCs/>
          <w:iCs/>
        </w:rPr>
        <w:t xml:space="preserve"> </w:t>
      </w:r>
      <w:r>
        <w:rPr>
          <w:rFonts w:eastAsia="Calibri"/>
          <w:b/>
          <w:bCs/>
          <w:iCs/>
        </w:rPr>
        <w:t xml:space="preserve">ОКДП2 61.10.43.000 </w:t>
      </w:r>
      <w:r>
        <w:rPr>
          <w:rStyle w:val="Strong"/>
          <w:rFonts w:eastAsia="Calibri"/>
        </w:rPr>
        <w:t xml:space="preserve">Услуга по предоставлению доступа к информационно-телекоммуникационной сети Интернет </w:t>
      </w:r>
    </w:p>
    <w:p>
      <w:pPr>
        <w:pStyle w:val="Normal"/>
        <w:jc w:val="center"/>
        <w:rPr>
          <w:rFonts w:eastAsia="Calibri"/>
          <w:b/>
          <w:bCs/>
          <w:iCs/>
          <w:sz w:val="26"/>
          <w:szCs w:val="26"/>
        </w:rPr>
      </w:pPr>
      <w:r>
        <w:rPr>
          <w:rFonts w:eastAsia="Calibri"/>
          <w:b/>
          <w:bCs/>
          <w:iCs/>
          <w:sz w:val="26"/>
          <w:szCs w:val="26"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  <w:r>
        <w:rPr>
          <w:rFonts w:eastAsia="Calibri"/>
          <w:b/>
          <w:sz w:val="26"/>
          <w:szCs w:val="26"/>
          <w:highlight w:val="yellow"/>
        </w:rPr>
        <w:t>_____</w:t>
      </w:r>
      <w:r>
        <w:rPr>
          <w:rFonts w:eastAsia="Calibri"/>
          <w:b/>
          <w:sz w:val="26"/>
          <w:szCs w:val="26"/>
        </w:rPr>
        <w:t>_-ЭКСПДИТ-2027-ЗаГАЭС</w:t>
      </w:r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/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rStyle w:val="Style13"/>
              <w:rFonts w:eastAsia="Calibri"/>
            </w:rPr>
            <w:instrText xml:space="preserve"> TOC \f \o "1-9" \h</w:instrText>
          </w:r>
          <w:r>
            <w:rPr>
              <w:rStyle w:val="Style13"/>
              <w:rFonts w:eastAsia="Calibri"/>
            </w:rPr>
            <w:fldChar w:fldCharType="separate"/>
          </w:r>
          <w:hyperlink w:anchor="_Toc162534500">
            <w:r>
              <w:rPr>
                <w:rStyle w:val="Style13"/>
                <w:rFonts w:eastAsia="Calibri"/>
              </w:rPr>
              <w:t>1.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2534501">
            <w:r>
              <w:rPr>
                <w:rStyle w:val="Style13"/>
                <w:rFonts w:eastAsia="Calibri"/>
                <w:iCs/>
              </w:rPr>
              <w:t>1.1.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2534502">
            <w:r>
              <w:rPr>
                <w:rStyle w:val="Style13"/>
                <w:rFonts w:eastAsia="Calibri"/>
                <w:iCs/>
              </w:rPr>
              <w:t>1.2.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2534503">
            <w:r>
              <w:rPr>
                <w:rStyle w:val="Style13"/>
                <w:rFonts w:eastAsia="Calibri"/>
                <w:iCs/>
              </w:rPr>
              <w:t>1.3.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2534505">
            <w:r>
              <w:rPr>
                <w:rStyle w:val="Style13"/>
                <w:rFonts w:eastAsia="Calibri"/>
                <w:iCs/>
              </w:rPr>
              <w:t>1.4.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62534506">
            <w:r>
              <w:rPr>
                <w:rStyle w:val="Style13"/>
                <w:rFonts w:eastAsia="Calibri"/>
              </w:rPr>
              <w:t>2.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2534507">
            <w:r>
              <w:rPr>
                <w:rStyle w:val="Style13"/>
                <w:rFonts w:eastAsia="Calibri"/>
                <w:iCs/>
              </w:rPr>
              <w:t>2.1.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2534510">
            <w:r>
              <w:rPr>
                <w:rStyle w:val="Style13"/>
                <w:rFonts w:eastAsia="Calibri"/>
                <w:iCs/>
              </w:rPr>
              <w:t>2.2.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62534513">
            <w:r>
              <w:rPr>
                <w:rStyle w:val="Style13"/>
                <w:rFonts w:eastAsia="Calibri"/>
              </w:rPr>
              <w:t>3.</w:t>
            </w:r>
            <w:r>
              <w:rPr>
                <w:rStyle w:val="Style13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3"/>
                <w:rFonts w:eastAsia="Calibri"/>
              </w:rPr>
              <w:t>Требования к документации по ценообразованию на этапе заключения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_Toc162534513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</w:rPr>
              <w:tab/>
              <w:t>9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3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tabs>
          <w:tab w:val="clear" w:pos="708"/>
          <w:tab w:val="right" w:pos="9921" w:leader="dot"/>
        </w:tabs>
        <w:rPr/>
      </w:pPr>
      <w:r>
        <w:rPr/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162534500"/>
      <w:bookmarkStart w:id="1" w:name="_Toc54643694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162534501"/>
      <w:bookmarkStart w:id="3" w:name="_Toc54643695"/>
      <w:bookmarkStart w:id="4" w:name="_Toc46743505"/>
      <w:r>
        <w:rPr/>
        <w:t>Обозначения и сокращения</w:t>
      </w:r>
      <w:bookmarkEnd w:id="2"/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ТКП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Технико-коммерческое предложение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СПК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Служебно-производственный комплекс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5" w:name="_Toc46743506"/>
      <w:bookmarkStart w:id="6" w:name="_Toc54643696"/>
      <w:bookmarkStart w:id="7" w:name="_Toc162534502"/>
      <w:r>
        <w:rPr/>
        <w:t>Наименование закупаемой продукции</w:t>
      </w:r>
      <w:bookmarkEnd w:id="5"/>
      <w:bookmarkEnd w:id="6"/>
      <w:bookmarkEnd w:id="7"/>
    </w:p>
    <w:p>
      <w:pPr>
        <w:pStyle w:val="Normal"/>
        <w:jc w:val="both"/>
        <w:rPr/>
      </w:pPr>
      <w:r>
        <w:rPr>
          <w:rStyle w:val="Strong"/>
          <w:rFonts w:eastAsia="Calibri"/>
          <w:b w:val="false"/>
          <w:bCs w:val="false"/>
          <w:iCs/>
          <w:sz w:val="24"/>
          <w:szCs w:val="24"/>
        </w:rPr>
        <w:t>ОКДП2 61.10.43.000</w:t>
      </w:r>
      <w:r>
        <w:rPr>
          <w:rStyle w:val="Strong"/>
          <w:rFonts w:eastAsia="Calibri"/>
          <w:b/>
          <w:bCs/>
          <w:iCs/>
          <w:sz w:val="24"/>
          <w:szCs w:val="24"/>
        </w:rPr>
        <w:t xml:space="preserve">  </w:t>
      </w:r>
      <w:r>
        <w:rPr>
          <w:rStyle w:val="Strong"/>
          <w:rFonts w:eastAsia="Calibri"/>
          <w:b w:val="false"/>
          <w:bCs w:val="false"/>
          <w:iCs/>
          <w:sz w:val="24"/>
          <w:szCs w:val="24"/>
        </w:rPr>
        <w:t>Услуги по предоставлению доступа к информационно-телекоммуникационной сети Интернет.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8" w:name="_Toc162534503"/>
      <w:bookmarkStart w:id="9" w:name="_Toc54643697"/>
      <w:bookmarkStart w:id="10" w:name="_Toc46743507"/>
      <w:r>
        <w:rPr/>
        <w:t xml:space="preserve">Цель </w:t>
      </w:r>
      <w:bookmarkEnd w:id="10"/>
      <w:r>
        <w:rPr>
          <w:lang w:val="ru-RU"/>
        </w:rPr>
        <w:t>оказания услуг</w:t>
      </w:r>
      <w:bookmarkEnd w:id="8"/>
      <w:bookmarkEnd w:id="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7"/>
          <w:b w:val="false"/>
          <w:bCs/>
          <w:i w:val="false"/>
          <w:i w:val="false"/>
          <w:sz w:val="24"/>
          <w:szCs w:val="24"/>
          <w:shd w:fill="auto" w:val="clear"/>
        </w:rPr>
      </w:pPr>
      <w:r>
        <w:rPr>
          <w:rStyle w:val="Style7"/>
          <w:b w:val="false"/>
          <w:bCs/>
          <w:i w:val="false"/>
          <w:sz w:val="24"/>
          <w:szCs w:val="24"/>
          <w:shd w:fill="auto" w:val="clear"/>
        </w:rPr>
        <w:t xml:space="preserve">Обеспечение круглосуточного доступа </w:t>
      </w:r>
      <w:r>
        <w:rPr>
          <w:rStyle w:val="Style7"/>
          <w:rFonts w:eastAsia="Calibri"/>
          <w:b w:val="false"/>
          <w:bCs/>
          <w:i w:val="false"/>
          <w:iCs/>
          <w:sz w:val="24"/>
          <w:szCs w:val="24"/>
          <w:shd w:fill="auto" w:val="clear"/>
        </w:rPr>
        <w:t xml:space="preserve">к информационно-телекоммуникационной сети Интернет </w:t>
      </w:r>
      <w:r>
        <w:rPr>
          <w:rStyle w:val="Style7"/>
          <w:b w:val="false"/>
          <w:bCs/>
          <w:i w:val="false"/>
          <w:sz w:val="24"/>
          <w:szCs w:val="24"/>
          <w:shd w:fill="auto" w:val="clear"/>
        </w:rPr>
        <w:t>персонала филиала ПАО «РусГидро» - «Загорская ГАЭС» в требуемом объёме.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1" w:name="_Toc131075381"/>
      <w:bookmarkStart w:id="12" w:name="_Toc162534504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1"/>
      <w:bookmarkEnd w:id="12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17"/>
        <w:gridCol w:w="2847"/>
        <w:gridCol w:w="1860"/>
        <w:gridCol w:w="1974"/>
        <w:gridCol w:w="2420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Cs/>
                <w:sz w:val="24"/>
                <w:szCs w:val="24"/>
              </w:rPr>
              <w:t>(место производства работ)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515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widowControl w:val="false"/>
              <w:spacing w:before="0" w:after="120"/>
              <w:rPr>
                <w:rFonts w:eastAsia="Calibri"/>
                <w:bCs/>
                <w:iCs/>
                <w:sz w:val="24"/>
                <w:szCs w:val="24"/>
              </w:rPr>
            </w:pPr>
            <w:r>
              <w:rPr>
                <w:rFonts w:eastAsia="Calibri"/>
                <w:bCs/>
                <w:iCs/>
                <w:sz w:val="24"/>
                <w:szCs w:val="24"/>
              </w:rPr>
              <w:t>Филиал ПАО «РусГидро» - «ЗагорскаяГАЭС»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Загорская гидроаккумулирующая электростанция (филиал ПАО «РусГидро»-  «Загорская ГАЭС»), Российская Федерация, Московская область, г.о. Сергиево- Посадский, пгт. Богородское, дом 100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Сегмент офисной корпоративной сети филиала ПАО «РусГидро»-  «Загорская ГАЭС»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/>
      </w:r>
    </w:p>
    <w:p>
      <w:pPr>
        <w:pStyle w:val="Heading4"/>
        <w:numPr>
          <w:ilvl w:val="1"/>
          <w:numId w:val="3"/>
        </w:numPr>
        <w:rPr/>
      </w:pPr>
      <w:bookmarkStart w:id="13" w:name="_Toc54643701"/>
      <w:bookmarkStart w:id="14" w:name="_Toc162534505"/>
      <w:bookmarkStart w:id="15" w:name="_Toc50125126"/>
      <w:bookmarkStart w:id="16" w:name="_Hlk482097611"/>
      <w:bookmarkStart w:id="17" w:name="_Toc46743510"/>
      <w:bookmarkEnd w:id="15"/>
      <w:bookmarkEnd w:id="16"/>
      <w:bookmarkEnd w:id="17"/>
      <w:r>
        <w:rPr/>
        <w:t>Иные требования и сведения общего характера</w:t>
      </w:r>
      <w:bookmarkEnd w:id="13"/>
      <w:bookmarkEnd w:id="1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Предоставляемые Заказчику Услуги должны обеспечивать возможность их получения без необходимости проведения дополнительного объема работ или дополнительных закупок (в том числе лицензий, разрешений, сертификатов, образовательных программ, затрат на получение технических условий и т.д.).</w:t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1"/>
        <w:keepLines/>
        <w:ind w:left="357" w:hanging="35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60" w:charSpace="0"/>
        </w:sectPr>
      </w:pPr>
    </w:p>
    <w:p>
      <w:pPr>
        <w:pStyle w:val="Heading1"/>
        <w:keepLines/>
        <w:ind w:left="357" w:hanging="35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18" w:name="_Toc162534506"/>
      <w:bookmarkStart w:id="19" w:name="_Toc54643702"/>
      <w:bookmarkStart w:id="20" w:name="_Toc51339693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продукции</w:t>
      </w:r>
      <w:bookmarkEnd w:id="18"/>
      <w:bookmarkEnd w:id="19"/>
      <w:bookmarkEnd w:id="20"/>
    </w:p>
    <w:p>
      <w:pPr>
        <w:pStyle w:val="Heading4"/>
        <w:numPr>
          <w:ilvl w:val="1"/>
          <w:numId w:val="3"/>
        </w:numPr>
        <w:rPr/>
      </w:pPr>
      <w:bookmarkStart w:id="21" w:name="_Toc162534507"/>
      <w:bookmarkStart w:id="22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1"/>
      <w:bookmarkEnd w:id="22"/>
    </w:p>
    <w:p>
      <w:pPr>
        <w:pStyle w:val="Heading3"/>
        <w:numPr>
          <w:ilvl w:val="2"/>
          <w:numId w:val="3"/>
        </w:numPr>
        <w:rPr/>
      </w:pPr>
      <w:bookmarkStart w:id="23" w:name="_Toc54643704"/>
      <w:bookmarkStart w:id="24" w:name="_Toc162534508"/>
      <w:r>
        <w:rPr>
          <w:lang w:val="ru-RU"/>
        </w:rPr>
        <w:t>Требования к перечню и объему услуг</w:t>
      </w:r>
      <w:bookmarkEnd w:id="23"/>
      <w:bookmarkEnd w:id="24"/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 2. Перечень и объем оказываемых услуг.</w:t>
      </w:r>
    </w:p>
    <w:tbl>
      <w:tblPr>
        <w:tblW w:w="1417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10"/>
        <w:gridCol w:w="5678"/>
        <w:gridCol w:w="1687"/>
        <w:gridCol w:w="2101"/>
        <w:gridCol w:w="2099"/>
        <w:gridCol w:w="2099"/>
      </w:tblGrid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услуг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Скорость передачи данных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Кол-во выделенных </w:t>
            </w:r>
            <w:r>
              <w:rPr>
                <w:sz w:val="24"/>
                <w:szCs w:val="24"/>
                <w:lang w:val="en-US" w:eastAsia="en-US"/>
              </w:rPr>
              <w:t>IP</w:t>
            </w:r>
            <w:r>
              <w:rPr>
                <w:sz w:val="24"/>
                <w:szCs w:val="24"/>
                <w:lang w:eastAsia="en-US"/>
              </w:rPr>
              <w:t xml:space="preserve"> адресов</w:t>
            </w:r>
          </w:p>
        </w:tc>
      </w:tr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>
          <w:trHeight w:val="920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5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FontStyle18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FontStyle19"/>
                <w:rFonts w:eastAsia="Calibri"/>
                <w:iCs/>
                <w:sz w:val="24"/>
                <w:szCs w:val="24"/>
              </w:rPr>
              <w:t>Мбайт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ограничено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100 Мбит/с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 шт.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/>
      </w:pPr>
      <w:bookmarkStart w:id="25" w:name="_Toc54643707"/>
      <w:bookmarkStart w:id="26" w:name="_Toc162534509"/>
      <w:bookmarkStart w:id="27" w:name="_Toc50125127"/>
      <w:bookmarkStart w:id="28" w:name="_Toc51339697"/>
      <w:bookmarkStart w:id="29" w:name="_Toc501251261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оказания услуг</w:t>
      </w:r>
      <w:bookmarkEnd w:id="25"/>
      <w:bookmarkEnd w:id="26"/>
    </w:p>
    <w:tbl>
      <w:tblPr>
        <w:tblW w:w="1416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50"/>
        <w:gridCol w:w="6194"/>
        <w:gridCol w:w="3808"/>
        <w:gridCol w:w="3214"/>
      </w:tblGrid>
      <w:tr>
        <w:trPr/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FontStyle19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01.01.2027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31.01.2027</w:t>
            </w:r>
          </w:p>
        </w:tc>
      </w:tr>
      <w:tr>
        <w:trPr/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FontStyle19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01.02.202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28.02.2027</w:t>
            </w:r>
          </w:p>
        </w:tc>
      </w:tr>
      <w:tr>
        <w:trPr/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FontStyle19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01.03.2027</w:t>
            </w:r>
          </w:p>
        </w:tc>
        <w:tc>
          <w:tcPr>
            <w:tcW w:w="3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30.03.2027</w:t>
            </w:r>
          </w:p>
        </w:tc>
      </w:tr>
      <w:tr>
        <w:trPr/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FontStyle19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01.04.202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30.04.2027</w:t>
            </w:r>
          </w:p>
        </w:tc>
      </w:tr>
      <w:tr>
        <w:trPr/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FontStyle19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01.05.202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31.05.2027</w:t>
            </w:r>
          </w:p>
        </w:tc>
      </w:tr>
      <w:tr>
        <w:trPr/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FontStyle19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01.06.202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30.06.2027</w:t>
            </w:r>
          </w:p>
        </w:tc>
      </w:tr>
      <w:tr>
        <w:trPr/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FontStyle19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01.07.202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31.07.2027</w:t>
            </w:r>
          </w:p>
        </w:tc>
      </w:tr>
      <w:tr>
        <w:trPr/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FontStyle19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01.08.202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31.08.2027</w:t>
            </w:r>
          </w:p>
        </w:tc>
      </w:tr>
      <w:tr>
        <w:trPr/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FontStyle19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01.09.202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30.09.2027</w:t>
            </w:r>
          </w:p>
        </w:tc>
      </w:tr>
      <w:tr>
        <w:trPr/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FontStyle19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31.10.2027</w:t>
            </w:r>
          </w:p>
        </w:tc>
      </w:tr>
      <w:tr>
        <w:trPr/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FontStyle19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01.11.202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30.11.2027</w:t>
            </w:r>
          </w:p>
        </w:tc>
      </w:tr>
      <w:tr>
        <w:trPr/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FontStyle19"/>
                <w:rFonts w:eastAsia="Calibri"/>
                <w:bCs/>
                <w:iCs/>
                <w:sz w:val="24"/>
                <w:szCs w:val="24"/>
              </w:rPr>
              <w:t>Услуги по предоставлению доступа к информационно-телекоммуникационной сети Интернет</w:t>
            </w:r>
          </w:p>
        </w:tc>
        <w:tc>
          <w:tcPr>
            <w:tcW w:w="3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01.12.202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3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en-US"/>
              </w:rPr>
              <w:t>31.12.2027</w:t>
            </w:r>
          </w:p>
        </w:tc>
      </w:tr>
    </w:tbl>
    <w:p>
      <w:pPr>
        <w:sectPr>
          <w:headerReference w:type="default" r:id="rId5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1" w:name="_Toc54643709"/>
      <w:bookmarkStart w:id="32" w:name="_Toc51339698"/>
      <w:bookmarkStart w:id="33" w:name="_Toc54643708"/>
      <w:bookmarkStart w:id="34" w:name="_Toc162534510"/>
      <w:bookmarkStart w:id="35" w:name="_Toc46743511"/>
      <w:bookmarkStart w:id="36" w:name="_Toc467435101"/>
      <w:bookmarkEnd w:id="36"/>
      <w:r>
        <w:rPr/>
        <w:t xml:space="preserve">Требования к </w:t>
      </w:r>
      <w:bookmarkEnd w:id="35"/>
      <w:r>
        <w:rPr>
          <w:lang w:val="ru-RU"/>
        </w:rPr>
        <w:t>качеству услуг</w:t>
      </w:r>
      <w:bookmarkEnd w:id="33"/>
      <w:bookmarkEnd w:id="3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/>
      </w:pPr>
      <w:bookmarkStart w:id="37" w:name="__RefHeading___Toc453582_2530575046"/>
      <w:bookmarkStart w:id="38" w:name="_Toc162534511"/>
      <w:bookmarkEnd w:id="37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2"/>
      <w:r>
        <w:rPr>
          <w:sz w:val="24"/>
          <w:szCs w:val="24"/>
          <w:lang w:val="ru-RU"/>
        </w:rPr>
        <w:t>качеству услуг</w:t>
      </w:r>
      <w:bookmarkEnd w:id="31"/>
      <w:bookmarkEnd w:id="38"/>
      <w:r>
        <w:rPr>
          <w:sz w:val="24"/>
          <w:szCs w:val="24"/>
        </w:rPr>
        <w:t xml:space="preserve"> </w:t>
      </w:r>
    </w:p>
    <w:p>
      <w:pPr>
        <w:pStyle w:val="Normal"/>
        <w:rPr/>
      </w:pPr>
      <w:r>
        <w:rPr>
          <w:rStyle w:val="Style7"/>
          <w:b w:val="false"/>
          <w:sz w:val="24"/>
          <w:szCs w:val="24"/>
        </w:rPr>
        <w:t xml:space="preserve"> </w:t>
      </w:r>
    </w:p>
    <w:p>
      <w:pPr>
        <w:pStyle w:val="Normal"/>
        <w:rPr>
          <w:rStyle w:val="Style7"/>
          <w:rFonts w:eastAsia="Calibri"/>
          <w:b w:val="false"/>
          <w:bCs/>
          <w:i w:val="false"/>
          <w:i w:val="false"/>
          <w:sz w:val="24"/>
          <w:szCs w:val="24"/>
          <w:u w:val="single"/>
          <w:shd w:fill="auto" w:val="clear"/>
          <w:lang w:eastAsia="x-none"/>
        </w:rPr>
      </w:pPr>
      <w:r>
        <w:rPr>
          <w:b/>
          <w:bCs/>
          <w:sz w:val="24"/>
          <w:szCs w:val="24"/>
        </w:rPr>
        <w:t xml:space="preserve">Наименование услуг/этапа услуг: </w:t>
      </w:r>
      <w:r>
        <w:rPr>
          <w:rFonts w:eastAsia="Calibri"/>
          <w:b/>
          <w:bCs/>
          <w:iCs/>
          <w:sz w:val="24"/>
          <w:szCs w:val="24"/>
        </w:rPr>
        <w:t>Услуги по предоставлению доступа к информационно-телекоммуникационной сети Интернет</w:t>
      </w:r>
    </w:p>
    <w:p>
      <w:pPr>
        <w:pStyle w:val="Normal"/>
        <w:rPr>
          <w:rStyle w:val="Style7"/>
          <w:rFonts w:eastAsia="Calibri"/>
          <w:b w:val="false"/>
          <w:bCs/>
          <w:i w:val="false"/>
          <w:i w:val="false"/>
          <w:sz w:val="24"/>
          <w:szCs w:val="24"/>
          <w:u w:val="single"/>
          <w:shd w:fill="auto" w:val="clear"/>
          <w:lang w:eastAsia="x-none"/>
        </w:rPr>
      </w:pPr>
      <w:r>
        <w:rPr>
          <w:rFonts w:eastAsia="Calibri"/>
          <w:b w:val="false"/>
          <w:bCs/>
          <w:i w:val="false"/>
          <w:sz w:val="24"/>
          <w:szCs w:val="24"/>
          <w:u w:val="single"/>
          <w:shd w:fill="auto" w:val="clear"/>
          <w:lang w:eastAsia="x-none"/>
        </w:rPr>
      </w:r>
    </w:p>
    <w:tbl>
      <w:tblPr>
        <w:tblW w:w="14885" w:type="dxa"/>
        <w:jc w:val="left"/>
        <w:tblInd w:w="-1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2267"/>
        <w:gridCol w:w="4821"/>
        <w:gridCol w:w="2267"/>
        <w:gridCol w:w="2410"/>
        <w:gridCol w:w="2268"/>
      </w:tblGrid>
      <w:tr>
        <w:trPr/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82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bookmarkStart w:id="39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39"/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>
        <w:trPr>
          <w:trHeight w:val="646" w:hRule="atLeast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557" w:hRule="atLeast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359" w:hRule="atLeast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tabs>
                <w:tab w:val="clear" w:pos="0"/>
              </w:tabs>
              <w:spacing w:before="0" w:after="0"/>
              <w:ind w:left="0" w:hanging="0"/>
              <w:rPr/>
            </w:pPr>
            <w:bookmarkStart w:id="40" w:name="__RefHeading___Toc453584_2530575046_Копи"/>
            <w:bookmarkStart w:id="41" w:name="_Toc132121836"/>
            <w:bookmarkStart w:id="42" w:name="_Toc130991750_Копия_1"/>
            <w:bookmarkEnd w:id="40"/>
            <w:r>
              <w:rPr>
                <w:b w:val="false"/>
                <w:bCs w:val="false"/>
                <w:iCs/>
              </w:rPr>
              <w:t>Перечень и объем оказываемых услуг указан в таблице 2.</w:t>
            </w:r>
            <w:bookmarkEnd w:id="41"/>
            <w:bookmarkEnd w:id="42"/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Круглосуточно оказывать Заказчику услуги 24 часа в сутки, 7 дней в неделю, 365/366 дней в году, за исключением возникновения перерывов при аварийных работах и перерывов для регламентных работ. </w:t>
            </w:r>
          </w:p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/>
                <w:lang w:val="ru-RU" w:eastAsia="ru-RU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117" w:hRule="atLeast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Требование к оборудованию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Для оказания услуг использовать только сертифицированное телекоммуникационное оборудование. 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Требование о соответствии федеральным законам и правилам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Предоставляемые услуги, должны соответствовать требованиям, изложенным в Федеральном законе от 07.07.2003 года № 126-ФЗ «О связи» в действующей редакции и Правилам оказания услуг связи по передачи данных, утвержденным постановлением Правительства РФ от 31.12.2021 № 2606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er"/>
              <w:widowControl w:val="false"/>
              <w:tabs>
                <w:tab w:val="clear" w:pos="4677"/>
                <w:tab w:val="clear" w:pos="9355"/>
              </w:tabs>
              <w:spacing w:beforeAutospacing="1" w:after="0"/>
              <w:rPr/>
            </w:pPr>
            <w:r>
              <w:rPr>
                <w:iCs/>
                <w:lang w:val="en-US"/>
              </w:rPr>
              <w:t>Процедуры оказания услуг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Время оказания услуг – 24 часа в сутки, 7 дней в неделю, 365/366</w:t>
            </w:r>
            <w:bookmarkStart w:id="43" w:name="_GoBack_Копия_1"/>
            <w:bookmarkEnd w:id="43"/>
            <w:r>
              <w:rPr>
                <w:sz w:val="24"/>
                <w:szCs w:val="24"/>
              </w:rPr>
              <w:t xml:space="preserve"> дней в году, за исключением возникновения перерывов при аварийных работах и перерывов для регламентных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Срок восстановления работоспособности систем связи Исполнителя, при аварийных работах составляет не более 4 часов;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Проведение регламентных ремонтных работ, необходимых для поддержания качества услуги, проводить без прерывания предоставления услуг. В случае необходимости прерывания услуг, для проведения ремонтных работ, извещение Заказчика о планируемых перерывах связи должно осуществляться не позднее чем за 3 суток, регламентные работы с прерыванием услуг должны проводиться в часы наименьшей нагрузки;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Исполнитель должен в течение всего срока оказания Услуг обеспечить бесплатный доступ к службе технической поддержки 24 часа в сутки, 7 дней в неделю, 366 дней в году, для обращения сотрудников Заказчика на территории оказания услуги по телефонному номеру и, при необходимости, посредством электронной почты.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  <w:t>1.4</w:t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  <w:t>1.4.1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оборудования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rPr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Исполнитель размещает каналообразующее оборудование в помещении узла связи СПК Филиала ПАО «РусГидро» - «Загорская ГАЭС» и обеспечивает возможность его подключения к телекоммуникационному оборудованию.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kern w:val="2"/>
                <w:sz w:val="24"/>
              </w:rPr>
            </w:pPr>
            <w:r>
              <w:rPr>
                <w:rFonts w:eastAsia="Calibri"/>
                <w:kern w:val="2"/>
                <w:sz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  <w:t>1.4.2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rStyle w:val="FontStyle19"/>
                <w:sz w:val="24"/>
                <w:szCs w:val="24"/>
              </w:rPr>
              <w:t>Совместимость оборудования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>
                <w:rStyle w:val="FontStyle19"/>
                <w:sz w:val="24"/>
                <w:szCs w:val="24"/>
              </w:rPr>
              <w:t>Исполнитель обеспечивает совместимость своего каналообразующего оборудования с телекоммуникационным оборудованием Филиала ПАО «РусГидро» - «Загорская ГАЭС».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kern w:val="2"/>
                <w:sz w:val="24"/>
              </w:rPr>
            </w:pPr>
            <w:r>
              <w:rPr>
                <w:rFonts w:eastAsia="Calibri"/>
                <w:kern w:val="2"/>
                <w:sz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  <w:t>1.4.3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rStyle w:val="FontStyle19"/>
                <w:sz w:val="24"/>
                <w:szCs w:val="24"/>
              </w:rPr>
              <w:t>Разграничение ответственности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>
                <w:rStyle w:val="FontStyle19"/>
                <w:sz w:val="24"/>
                <w:szCs w:val="24"/>
              </w:rPr>
              <w:t>Граница ответственности Заказчика и Исполнителя проходит в точках подключения канала связи к оборудованию Филиала ПАО «РусГидро» - «Загорская ГАЭС».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kern w:val="2"/>
                <w:sz w:val="24"/>
              </w:rPr>
            </w:pPr>
            <w:r>
              <w:rPr>
                <w:rFonts w:eastAsia="Calibri"/>
                <w:kern w:val="2"/>
                <w:sz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Результат оказания услуг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Круглосуточно оказывать Заказчику услуги 24 часа в сутки, 7 дней в неделю, 366 дней в году, за исключением возникновения перерывов при аварийных работах и перерывов для регламентных работ.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/>
                <w:b w:val="false"/>
                <w:lang w:val="ru-RU" w:eastAsia="ru-RU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оборудованию и программному обеспечению шифрования каналов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Требования информационной безопасности. 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Default"/>
              <w:widowControl w:val="false"/>
              <w:rPr>
                <w:sz w:val="22"/>
              </w:rPr>
            </w:pPr>
            <w:r>
              <w:rPr/>
              <w:t xml:space="preserve">Информационная безопасность должна осуществляться в соответствии с </w:t>
            </w:r>
            <w:r>
              <w:rPr>
                <w:szCs w:val="28"/>
              </w:rPr>
              <w:t>Положением</w:t>
            </w:r>
          </w:p>
          <w:p>
            <w:pPr>
              <w:pStyle w:val="Default"/>
              <w:widowControl w:val="false"/>
              <w:rPr/>
            </w:pPr>
            <w:r>
              <w:rPr>
                <w:iCs/>
                <w:szCs w:val="28"/>
              </w:rPr>
              <w:t xml:space="preserve">об информационной политике </w:t>
            </w:r>
            <w:r>
              <w:rPr>
                <w:iCs/>
              </w:rPr>
              <w:t>ПАО «РусГидро»</w:t>
            </w:r>
          </w:p>
          <w:p>
            <w:pPr>
              <w:pStyle w:val="Default"/>
              <w:widowControl w:val="false"/>
              <w:rPr/>
            </w:pPr>
            <w:r>
              <w:rPr/>
              <w:t>https://storage.yandexcloud.net/storage.rushydro.ru/iblock/361/36125c95b3a07a08dc6c376caab6f65e/Polozhenie-ob-informatsionnoj-politike.pdf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08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left="121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bCs/>
                <w:iCs/>
                <w:sz w:val="24"/>
                <w:szCs w:val="24"/>
              </w:rPr>
              <w:t>Наличие лицензий на оказание услуг</w:t>
            </w:r>
          </w:p>
        </w:tc>
        <w:tc>
          <w:tcPr>
            <w:tcW w:w="48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Иметь действующие лицензии на оказание услуг связи по передаче данных, за исключением услуг связи по передаче данных для целей передачи голосовой информации, на оказание телематических услуг связи.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</w:tbl>
    <w:p>
      <w:pPr>
        <w:pStyle w:val="Normal"/>
        <w:rPr>
          <w:rStyle w:val="Style7"/>
          <w:rFonts w:eastAsia="Calibri"/>
          <w:b w:val="false"/>
          <w:bCs/>
          <w:i w:val="false"/>
          <w:i w:val="false"/>
          <w:sz w:val="24"/>
          <w:szCs w:val="24"/>
          <w:u w:val="single"/>
          <w:shd w:fill="auto" w:val="clear"/>
          <w:lang w:eastAsia="x-none"/>
        </w:rPr>
      </w:pPr>
      <w:r>
        <w:rPr>
          <w:rFonts w:eastAsia="Calibri"/>
          <w:b w:val="false"/>
          <w:bCs/>
          <w:i w:val="false"/>
          <w:sz w:val="24"/>
          <w:szCs w:val="24"/>
          <w:u w:val="single"/>
          <w:shd w:fill="auto" w:val="clear"/>
          <w:lang w:eastAsia="x-none"/>
        </w:rPr>
      </w:r>
    </w:p>
    <w:p>
      <w:pPr>
        <w:pStyle w:val="Normal"/>
        <w:rPr>
          <w:rStyle w:val="Style7"/>
          <w:rFonts w:eastAsia="Calibri"/>
          <w:b w:val="false"/>
          <w:bCs/>
          <w:i w:val="false"/>
          <w:i w:val="false"/>
          <w:sz w:val="24"/>
          <w:szCs w:val="24"/>
          <w:u w:val="single"/>
          <w:shd w:fill="auto" w:val="clear"/>
          <w:lang w:eastAsia="x-none"/>
        </w:rPr>
      </w:pPr>
      <w:bookmarkStart w:id="44" w:name="_Toc46743519"/>
      <w:bookmarkStart w:id="45" w:name="_Toc51339699"/>
      <w:bookmarkEnd w:id="44"/>
      <w:bookmarkEnd w:id="45"/>
      <w:r>
        <w:rPr>
          <w:rFonts w:eastAsia="Calibri"/>
          <w:bCs/>
          <w:iCs/>
          <w:sz w:val="24"/>
          <w:szCs w:val="24"/>
        </w:rPr>
        <w:t xml:space="preserve"> </w:t>
      </w:r>
      <w:r>
        <w:rPr>
          <w:rFonts w:eastAsia="Calibri"/>
          <w:b/>
          <w:bCs/>
          <w:iCs/>
          <w:sz w:val="24"/>
          <w:szCs w:val="24"/>
        </w:rPr>
        <w:t xml:space="preserve">3. </w:t>
      </w:r>
      <w:bookmarkStart w:id="46" w:name="_Toc162534513"/>
      <w:bookmarkStart w:id="47" w:name="_Toc54643710"/>
      <w:bookmarkStart w:id="48" w:name="_Toc53393312"/>
      <w:bookmarkStart w:id="49" w:name="_Toc53395937"/>
      <w:r>
        <w:rPr>
          <w:b/>
          <w:bCs/>
          <w:sz w:val="24"/>
          <w:szCs w:val="24"/>
        </w:rPr>
        <w:t>Требования к документации по ценообразованию</w:t>
      </w:r>
      <w:bookmarkEnd w:id="48"/>
      <w:bookmarkEnd w:id="49"/>
      <w:r>
        <w:rPr>
          <w:b/>
          <w:bCs/>
          <w:sz w:val="24"/>
          <w:szCs w:val="24"/>
        </w:rPr>
        <w:t xml:space="preserve"> на этапе </w:t>
      </w:r>
      <w:bookmarkEnd w:id="47"/>
      <w:r>
        <w:rPr>
          <w:b/>
          <w:bCs/>
          <w:sz w:val="24"/>
          <w:szCs w:val="24"/>
        </w:rPr>
        <w:t>заключения договора</w:t>
      </w:r>
      <w:bookmarkEnd w:id="4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357"/>
        <w:jc w:val="both"/>
        <w:rPr/>
      </w:pPr>
      <w:r>
        <w:rPr>
          <w:rStyle w:val="Style7"/>
          <w:b w:val="false"/>
          <w:bCs/>
          <w:i w:val="false"/>
          <w:sz w:val="24"/>
          <w:szCs w:val="24"/>
          <w:shd w:fill="auto" w:val="clear"/>
        </w:rPr>
        <w:t xml:space="preserve">В обоснование стоимости оказываемых услуг Исполнитель предоставляет ТКП. </w:t>
      </w:r>
    </w:p>
    <w:p>
      <w:pPr>
        <w:pStyle w:val="Heading1"/>
        <w:keepLines/>
        <w:tabs>
          <w:tab w:val="clear" w:pos="0"/>
        </w:tabs>
        <w:ind w:left="357" w:hanging="0"/>
        <w:rPr>
          <w:iCs/>
          <w:caps/>
          <w:sz w:val="24"/>
          <w:szCs w:val="24"/>
        </w:rPr>
      </w:pPr>
      <w:r>
        <w:rPr>
          <w:iCs/>
          <w:caps/>
          <w:sz w:val="24"/>
          <w:szCs w:val="24"/>
        </w:rPr>
      </w:r>
    </w:p>
    <w:p>
      <w:pPr>
        <w:pStyle w:val="Normal"/>
        <w:rPr>
          <w:iCs/>
          <w:caps/>
          <w:sz w:val="24"/>
          <w:szCs w:val="24"/>
          <w:lang w:val="x-none"/>
        </w:rPr>
      </w:pPr>
      <w:r>
        <w:rPr/>
      </w:r>
    </w:p>
    <w:sectPr>
      <w:headerReference w:type="default" r:id="rId6"/>
      <w:headerReference w:type="first" r:id="rId7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6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236823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1" w:customStyle="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1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2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3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4" w:customStyle="1">
    <w:name w:val="Текст сноски Знак"/>
    <w:qFormat/>
    <w:rsid w:val="00d22f6d"/>
    <w:rPr/>
  </w:style>
  <w:style w:type="character" w:styleId="Style5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6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7" w:customStyle="1">
    <w:name w:val="комментарий"/>
    <w:qFormat/>
    <w:rsid w:val="0025139e"/>
    <w:rPr>
      <w:b/>
      <w:i/>
      <w:shd w:fill="FFFF99" w:val="clear"/>
    </w:rPr>
  </w:style>
  <w:style w:type="character" w:styleId="Style8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9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0" w:customStyle="1">
    <w:name w:val="Текст примечания Знак"/>
    <w:link w:val="Annotationtext"/>
    <w:semiHidden/>
    <w:qFormat/>
    <w:rsid w:val="00dc0f7d"/>
    <w:rPr/>
  </w:style>
  <w:style w:type="character" w:styleId="Style11" w:customStyle="1">
    <w:name w:val="Текст концевой сноски Знак"/>
    <w:basedOn w:val="DefaultParagraphFont"/>
    <w:qFormat/>
    <w:rsid w:val="003879d4"/>
    <w:rPr/>
  </w:style>
  <w:style w:type="character" w:styleId="13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4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WW8Num1z1" w:customStyle="1">
    <w:name w:val="WW8Num1z1"/>
    <w:qFormat/>
    <w:rPr>
      <w:sz w:val="24"/>
      <w:szCs w:val="24"/>
    </w:rPr>
  </w:style>
  <w:style w:type="character" w:styleId="FontStyle19" w:customStyle="1">
    <w:name w:val="Font Style19"/>
    <w:qFormat/>
    <w:rPr>
      <w:rFonts w:ascii="Times New Roman" w:hAnsi="Times New Roman" w:cs="Times New Roman"/>
      <w:sz w:val="22"/>
      <w:szCs w:val="22"/>
    </w:rPr>
  </w:style>
  <w:style w:type="character" w:styleId="FontStyle21" w:customStyle="1">
    <w:name w:val="Font Style21"/>
    <w:qFormat/>
    <w:rPr>
      <w:rFonts w:ascii="Times New Roman" w:hAnsi="Times New Roman" w:cs="Times New Roman"/>
      <w:b/>
      <w:bCs/>
      <w:sz w:val="16"/>
      <w:szCs w:val="16"/>
    </w:rPr>
  </w:style>
  <w:style w:type="character" w:styleId="FontStyle18" w:customStyle="1">
    <w:name w:val="Font Style18"/>
    <w:qFormat/>
    <w:rPr>
      <w:rFonts w:ascii="Times New Roman" w:hAnsi="Times New Roman" w:cs="Times New Roman"/>
      <w:sz w:val="16"/>
      <w:szCs w:val="16"/>
    </w:rPr>
  </w:style>
  <w:style w:type="character" w:styleId="Style14" w:customStyle="1">
    <w:name w:val="Символ концевой сноски"/>
    <w:qFormat/>
    <w:rPr/>
  </w:style>
  <w:style w:type="character" w:styleId="Linenumber">
    <w:name w:val="line number"/>
    <w:qFormat/>
    <w:rPr/>
  </w:style>
  <w:style w:type="character" w:styleId="FollowedHyperlink">
    <w:name w:val="FollowedHyperlink"/>
    <w:basedOn w:val="DefaultParagraphFont"/>
    <w:semiHidden/>
    <w:unhideWhenUsed/>
    <w:rsid w:val="00ee3a81"/>
    <w:rPr>
      <w:color w:val="954F72" w:themeColor="followedHyperlink"/>
      <w:u w:val="single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5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4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0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1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6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2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3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8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1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4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Т"/>
    <w:basedOn w:val="Title"/>
    <w:qFormat/>
    <w:pPr>
      <w:spacing w:before="120" w:after="120"/>
      <w:ind w:firstLine="720"/>
    </w:pPr>
    <w:rPr>
      <w:rFonts w:ascii="Calibri" w:hAnsi="Calibri" w:eastAsia="Calibri" w:cs="Times New Roman"/>
      <w:kern w:val="2"/>
      <w:sz w:val="24"/>
    </w:rPr>
  </w:style>
  <w:style w:type="paragraph" w:styleId="Style41" w:customStyle="1">
    <w:name w:val="Style4"/>
    <w:basedOn w:val="Normal"/>
    <w:qFormat/>
    <w:pPr>
      <w:widowControl w:val="false"/>
      <w:spacing w:lineRule="exact" w:line="216"/>
      <w:jc w:val="center"/>
    </w:pPr>
    <w:rPr/>
  </w:style>
  <w:style w:type="paragraph" w:styleId="Style51" w:customStyle="1">
    <w:name w:val="Style5"/>
    <w:basedOn w:val="Normal"/>
    <w:qFormat/>
    <w:pPr>
      <w:widowControl w:val="false"/>
      <w:spacing w:lineRule="exact" w:line="230"/>
      <w:ind w:firstLine="130"/>
    </w:pPr>
    <w:rPr/>
  </w:style>
  <w:style w:type="paragraph" w:styleId="Style111" w:customStyle="1">
    <w:name w:val="Style11"/>
    <w:basedOn w:val="Normal"/>
    <w:qFormat/>
    <w:pPr>
      <w:widowControl w:val="false"/>
      <w:spacing w:lineRule="exact" w:line="206"/>
    </w:pPr>
    <w:rPr/>
  </w:style>
  <w:style w:type="paragraph" w:styleId="Style101" w:customStyle="1">
    <w:name w:val="Style10"/>
    <w:basedOn w:val="Normal"/>
    <w:qFormat/>
    <w:pPr>
      <w:widowControl w:val="false"/>
    </w:pPr>
    <w:rPr/>
  </w:style>
  <w:style w:type="paragraph" w:styleId="Style36" w:customStyle="1">
    <w:name w:val="Заголовок таблицы"/>
    <w:basedOn w:val="Style34"/>
    <w:qFormat/>
    <w:pPr>
      <w:jc w:val="center"/>
    </w:pPr>
    <w:rPr>
      <w:b/>
      <w:bCs/>
    </w:rPr>
  </w:style>
  <w:style w:type="paragraph" w:styleId="Default" w:customStyle="1">
    <w:name w:val="Default"/>
    <w:qFormat/>
    <w:rsid w:val="00c3691b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1" w:customStyle="1">
    <w:name w:val="WW8Num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DBA76-FF39-4F6F-9EB0-C65A52876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Application>AlterOffice/3.4.0.9$Linux_X86_64 LibreOffice_project/b8daf9e823b1a5463a2f48435ddc2e8696e7d4fc</Application>
  <AppVersion>15.0000</AppVersion>
  <Pages>8</Pages>
  <Words>1040</Words>
  <Characters>7341</Characters>
  <CharactersWithSpaces>8158</CharactersWithSpaces>
  <Paragraphs>235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2023-04-10T11:09:00Z</dcterms:created>
  <dc:creator>Быстров Олег Геннадьевич</dc:creator>
  <dc:description/>
  <dc:language>ru-RU</dc:language>
  <cp:lastModifiedBy>romanovatn@corp.gidroogk.com</cp:lastModifiedBy>
  <dcterms:modified xsi:type="dcterms:W3CDTF">2026-03-27T14:26:48Z</dcterms:modified>
  <cp:revision>37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