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keepNext w:val="true"/>
        <w:keepLines/>
        <w:jc w:val="center"/>
        <w:rPr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  <w:sz w:val="22"/>
          <w:szCs w:val="22"/>
        </w:rPr>
        <w:t>Технические требования на поставку МТР</w:t>
      </w:r>
    </w:p>
    <w:p>
      <w:pPr>
        <w:pStyle w:val="Standard"/>
        <w:keepNext w:val="true"/>
        <w:keepLines/>
        <w:jc w:val="center"/>
        <w:rPr>
          <w:rFonts w:eastAsia="Calibri"/>
          <w:b/>
          <w:bCs/>
          <w:i w:val="false"/>
          <w:i w:val="false"/>
          <w:iCs w:val="false"/>
          <w:sz w:val="22"/>
          <w:szCs w:val="22"/>
        </w:rPr>
      </w:pPr>
      <w:r>
        <w:rPr>
          <w:rFonts w:eastAsia="Calibri"/>
          <w:b/>
          <w:bCs/>
          <w:i w:val="false"/>
          <w:iCs w:val="false"/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bCs/>
          <w:i w:val="false"/>
          <w:i w:val="false"/>
          <w:iCs w:val="false"/>
          <w:sz w:val="22"/>
          <w:szCs w:val="22"/>
        </w:rPr>
      </w:pPr>
      <w:r>
        <w:rPr>
          <w:rFonts w:eastAsia="Calibri"/>
          <w:b/>
          <w:bCs/>
          <w:i w:val="false"/>
          <w:iCs w:val="false"/>
          <w:sz w:val="22"/>
          <w:szCs w:val="22"/>
        </w:rPr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 xml:space="preserve">ОКПД2: 27.33.11.120 Поставка разъединителей в рамках инвестиционной программы </w:t>
      </w:r>
    </w:p>
    <w:p>
      <w:pPr>
        <w:pStyle w:val="Normal"/>
        <w:bidi w:val="0"/>
        <w:jc w:val="center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>филиала АО "ДРСК" "Электрические сети Еврейской автономной области"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  <w:sz w:val="22"/>
          <w:szCs w:val="22"/>
        </w:rPr>
        <w:t xml:space="preserve">Лот № </w:t>
      </w:r>
      <w:r>
        <w:rPr>
          <w:rFonts w:eastAsia="Calibri"/>
          <w:b/>
          <w:bCs/>
          <w:i w:val="false"/>
          <w:iCs w:val="false"/>
          <w:sz w:val="22"/>
          <w:szCs w:val="22"/>
        </w:rPr>
        <w:t>5195.1</w:t>
      </w:r>
    </w:p>
    <w:p>
      <w:pPr>
        <w:pStyle w:val="Normal"/>
        <w:jc w:val="center"/>
        <w:rPr>
          <w:b/>
          <w:bCs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 w:val="false"/>
          <w:i w:val="false"/>
          <w:iCs w:val="false"/>
          <w:sz w:val="26"/>
          <w:szCs w:val="26"/>
        </w:rPr>
      </w:pPr>
      <w:r>
        <w:rPr>
          <w:rFonts w:eastAsia="Calibri"/>
          <w:b/>
          <w:bCs/>
          <w:i w:val="false"/>
          <w:iCs w:val="false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rPr>
          <w:caps/>
          <w:sz w:val="24"/>
          <w:szCs w:val="24"/>
          <w:lang w:val="ru-RU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sz w:val="26"/>
          <w:szCs w:val="26"/>
        </w:rPr>
      </w:pPr>
      <w:bookmarkStart w:id="2" w:name="_Toc46743505"/>
      <w:bookmarkStart w:id="3" w:name="_Toc75446567"/>
      <w:r>
        <w:rPr>
          <w:sz w:val="26"/>
          <w:szCs w:val="26"/>
        </w:rPr>
        <w:t>Обозначения и сокращения</w:t>
      </w:r>
      <w:bookmarkEnd w:id="2"/>
      <w:bookmarkEnd w:id="3"/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4469" w:type="dxa"/>
        <w:jc w:val="left"/>
        <w:tblInd w:w="6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1349"/>
      </w:tblGrid>
      <w:tr>
        <w:trPr>
          <w:trHeight w:val="344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rong"/>
                <w:b w:val="false"/>
                <w:color w:val="1A1D21"/>
                <w:sz w:val="20"/>
                <w:szCs w:val="20"/>
              </w:rPr>
              <w:t>РЛНД-I.X-10.Х/Х Н УХЛ1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 - разъединитель</w:t>
              <w:br/>
              <w:t>Л - линейный</w:t>
              <w:br/>
              <w:t>Н - наружной установки</w:t>
              <w:br/>
              <w:t>Д - количество опорных изоляторов (два)</w:t>
              <w:br/>
              <w:t>I - исполнение с неподвижным контактным выводом на поворотном</w:t>
              <w:br/>
              <w:t>изоляторе (с подвижным – индекс отсутствует)</w:t>
              <w:br/>
              <w:t>Х - 1,2 – количество заземлителей</w:t>
              <w:br/>
              <w:t>10 - номинальное напряжение, кВ</w:t>
              <w:br/>
              <w:t>Х - Б - усиленное исполнение изоляции по ГОСТ 9920-89 (для разъединителей с фарфоровой изоляцией)</w:t>
              <w:br/>
              <w:t>Х - 400, 630 – номинальный ток, А</w:t>
              <w:br/>
              <w:t>Н - повышенной надежности</w:t>
              <w:br/>
              <w:t>УХЛ1 – климатическое исполнение и категория размещения по ГОСТ-15150-69.</w:t>
            </w:r>
          </w:p>
        </w:tc>
      </w:tr>
      <w:tr>
        <w:trPr>
          <w:trHeight w:val="344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ПРНЗ-10 УХЛ1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0"/>
                <w:szCs w:val="20"/>
                <w:lang w:val="ru-RU" w:eastAsia="en-US" w:bidi="ar-SA"/>
              </w:rPr>
              <w:t>ПРНЗ-1-10 УХЛ1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 - привод;</w:t>
              <w:br/>
              <w:t>Р - ручной;</w:t>
              <w:br/>
              <w:t>Н – наружной установки;</w:t>
              <w:br/>
              <w:t>З- наличие валов для управления ножами заземления;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2 - количество заземлителей (3 вала - один для оперирования главными ножами, два других - для управления заземляющими ножами.)</w:t>
              <w:br/>
              <w:t>10 – предназначен для управления разъединителями 10 кВ;</w:t>
              <w:br/>
              <w:t>М - модернизированный</w:t>
              <w:br/>
              <w:t xml:space="preserve">У1 и УХЛ1 – </w:t>
            </w:r>
            <w:r>
              <w:rPr>
                <w:color w:val="1A1D21"/>
                <w:sz w:val="20"/>
                <w:szCs w:val="20"/>
              </w:rPr>
              <w:t>климатическое исполнение и категория размещения по ГОСТ-15150-69</w:t>
            </w:r>
          </w:p>
        </w:tc>
      </w:tr>
      <w:tr>
        <w:trPr>
          <w:trHeight w:val="195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КМЧ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 металлических (монтажных) частей </w:t>
            </w:r>
            <w:r>
              <w:rPr>
                <w:iCs/>
                <w:sz w:val="20"/>
                <w:szCs w:val="20"/>
              </w:rPr>
              <w:t>для крепления разъединителя и вала</w:t>
            </w:r>
            <w:r>
              <w:rPr>
                <w:iCs/>
                <w:sz w:val="20"/>
                <w:szCs w:val="20"/>
                <w:shd w:fill="auto" w:val="clear"/>
              </w:rPr>
              <w:t xml:space="preserve"> на стойке СВ-105 железобетонной опоры любого типа</w:t>
            </w:r>
          </w:p>
        </w:tc>
      </w:tr>
      <w:tr>
        <w:trPr>
          <w:trHeight w:val="253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государственный стандарт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rPr>
          <w:b/>
          <w:i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Разъединители 10 кВ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6" w:name="_Toc50125126"/>
      <w:bookmarkStart w:id="7" w:name="_Toc51339693"/>
      <w:bookmarkStart w:id="8" w:name="_Toc75446573"/>
      <w:bookmarkStart w:id="9" w:name="_Toc46743510"/>
      <w:bookmarkEnd w:id="9"/>
      <w:r>
        <w:rPr>
          <w:iCs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3"/>
        </w:numPr>
        <w:rPr>
          <w:sz w:val="26"/>
          <w:szCs w:val="26"/>
        </w:rPr>
      </w:pPr>
      <w:bookmarkStart w:id="10" w:name="_Toc75446574"/>
      <w:r>
        <w:rPr>
          <w:sz w:val="26"/>
          <w:szCs w:val="26"/>
        </w:rPr>
        <w:t xml:space="preserve">Требования к объемам и срокам </w:t>
      </w:r>
      <w:r>
        <w:rPr>
          <w:sz w:val="26"/>
          <w:szCs w:val="26"/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3"/>
        </w:numPr>
        <w:rPr>
          <w:sz w:val="26"/>
          <w:szCs w:val="26"/>
        </w:rPr>
      </w:pPr>
      <w:bookmarkStart w:id="11" w:name="_Toc75446575"/>
      <w:r>
        <w:rPr>
          <w:sz w:val="26"/>
          <w:szCs w:val="26"/>
          <w:lang w:val="ru-RU"/>
        </w:rPr>
        <w:t>Перечень и объем закупаемой продукции</w:t>
      </w:r>
      <w:bookmarkEnd w:id="1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bCs/>
          <w:i/>
          <w:i/>
          <w:sz w:val="26"/>
          <w:szCs w:val="26"/>
          <w:shd w:fill="FFFF99" w:val="clear"/>
        </w:rPr>
      </w:pPr>
      <w:bookmarkStart w:id="12" w:name="_Toc75446576"/>
      <w:bookmarkStart w:id="13" w:name="_Toc51339695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Перечень </w:t>
      </w:r>
      <w:bookmarkEnd w:id="13"/>
      <w:r>
        <w:rPr>
          <w:sz w:val="26"/>
          <w:szCs w:val="26"/>
          <w:lang w:val="ru-RU"/>
        </w:rPr>
        <w:t>и объем закупаемой продукции</w:t>
      </w:r>
      <w:bookmarkEnd w:id="12"/>
    </w:p>
    <w:tbl>
      <w:tblPr>
        <w:tblW w:w="14713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8"/>
        <w:gridCol w:w="11426"/>
        <w:gridCol w:w="1305"/>
        <w:gridCol w:w="1303"/>
      </w:tblGrid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0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  <w:r>
              <w:rPr>
                <w:rStyle w:val="FootnoteReference"/>
                <w:b/>
                <w:bCs/>
                <w:iCs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5" w:hRule="atLeast"/>
        </w:trPr>
        <w:tc>
          <w:tcPr>
            <w:tcW w:w="1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0" w:left="7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филиал АО «ДРСК» «Электрические сети ЕАО»</w:t>
            </w:r>
          </w:p>
        </w:tc>
      </w:tr>
      <w:tr>
        <w:trPr>
          <w:trHeight w:val="295" w:hRule="atLeast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341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14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/>
            </w:pPr>
            <w:r>
              <w:rPr>
                <w:sz w:val="22"/>
                <w:szCs w:val="22"/>
              </w:rPr>
              <w:t>Разъединитель РЛНД-1-10/400Н УХЛ1 с приводом ПРНЗ-10 УХЛ1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4" w:name="_Toc75446578"/>
      <w:bookmarkStart w:id="15" w:name="_Toc51339696"/>
      <w:bookmarkStart w:id="16" w:name="_Hlk68866984"/>
      <w:bookmarkEnd w:id="16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поставки продукции и оказания сопутствующих услуг</w:t>
      </w:r>
      <w:bookmarkEnd w:id="6"/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7" w:name="_Hlk50465284"/>
      <w:r>
        <w:rPr>
          <w:sz w:val="24"/>
          <w:szCs w:val="24"/>
        </w:rPr>
        <w:t xml:space="preserve">Требования по срокам </w:t>
      </w:r>
      <w:bookmarkEnd w:id="17"/>
      <w:r>
        <w:rPr>
          <w:sz w:val="24"/>
          <w:szCs w:val="24"/>
          <w:lang w:val="ru-RU"/>
        </w:rPr>
        <w:t xml:space="preserve">поставки продукции </w:t>
      </w:r>
    </w:p>
    <w:tbl>
      <w:tblPr>
        <w:tblW w:w="1473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5102"/>
        <w:gridCol w:w="4536"/>
        <w:gridCol w:w="439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762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Разъединители 10 кВ,  </w:t>
            </w:r>
            <w:bookmarkStart w:id="18" w:name="_Toc134780805_Копия_1"/>
            <w:bookmarkStart w:id="19" w:name="_Toc51339695_Копия_1"/>
            <w:r>
              <w:rPr>
                <w:sz w:val="22"/>
                <w:szCs w:val="22"/>
              </w:rPr>
              <w:t xml:space="preserve">Таблица 1. Перечень </w:t>
            </w:r>
            <w:bookmarkEnd w:id="19"/>
            <w:r>
              <w:rPr>
                <w:sz w:val="22"/>
                <w:szCs w:val="22"/>
              </w:rPr>
              <w:t>и объем закупаемой продукции</w:t>
            </w:r>
            <w:bookmarkEnd w:id="18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/>
            </w:pPr>
            <w:r>
              <w:rPr>
                <w:bCs/>
                <w:iCs/>
                <w:sz w:val="22"/>
                <w:szCs w:val="22"/>
              </w:rPr>
              <w:t xml:space="preserve">в течение </w:t>
            </w:r>
            <w:r>
              <w:rPr>
                <w:b/>
                <w:bCs/>
                <w:iCs/>
                <w:sz w:val="22"/>
                <w:szCs w:val="22"/>
              </w:rPr>
              <w:t>30 календарных дней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 момента заключения договора поставки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20" w:name="_Toc75446581"/>
      <w:bookmarkStart w:id="21" w:name="_Toc46743511"/>
      <w:bookmarkStart w:id="22" w:name="_Toc46743510_Копия_1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r>
        <w:rPr>
          <w:rStyle w:val="Style8"/>
          <w:b/>
        </w:rPr>
        <w:t xml:space="preserve"> </w:t>
      </w:r>
    </w:p>
    <w:p>
      <w:pPr>
        <w:pStyle w:val="Standard"/>
        <w:jc w:val="both"/>
        <w:rPr/>
      </w:pPr>
      <w:r>
        <w:rPr>
          <w:b/>
          <w:bCs/>
          <w:i/>
          <w:iCs/>
          <w:sz w:val="22"/>
          <w:szCs w:val="22"/>
        </w:rPr>
        <w:t xml:space="preserve">Наименование продукции (позиция №№ 1.1. - 3.1. Таблицы 1): </w:t>
      </w:r>
      <w:r>
        <w:rPr>
          <w:rFonts w:eastAsia="Times New Roman" w:cs="Times New Roman"/>
          <w:b/>
          <w:bCs/>
          <w:i/>
          <w:iCs/>
          <w:color w:val="auto"/>
          <w:kern w:val="0"/>
          <w:sz w:val="22"/>
          <w:szCs w:val="22"/>
          <w:lang w:val="ru-RU" w:eastAsia="ru-RU" w:bidi="ar-SA"/>
        </w:rPr>
        <w:t>Разъединители</w:t>
      </w:r>
      <w:r>
        <w:rPr>
          <w:b/>
          <w:bCs/>
          <w:i/>
          <w:iCs/>
          <w:sz w:val="22"/>
          <w:szCs w:val="22"/>
        </w:rPr>
        <w:t xml:space="preserve"> 10 кВ</w:t>
      </w:r>
    </w:p>
    <w:tbl>
      <w:tblPr>
        <w:tblStyle w:val="af"/>
        <w:tblW w:w="146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685"/>
        <w:gridCol w:w="3402"/>
        <w:gridCol w:w="2269"/>
        <w:gridCol w:w="2409"/>
        <w:gridCol w:w="2127"/>
        <w:gridCol w:w="17"/>
      </w:tblGrid>
      <w:tr>
        <w:trPr/>
        <w:tc>
          <w:tcPr>
            <w:tcW w:w="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6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6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  <w:r>
              <w:rPr>
                <w:rStyle w:val="FootnoteReference"/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footnoteReference w:id="3"/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ru-RU" w:eastAsia="ru-RU" w:bidi="ar-SA"/>
              </w:rPr>
              <w:t>*</w:t>
            </w:r>
          </w:p>
        </w:tc>
        <w:tc>
          <w:tcPr>
            <w:tcW w:w="21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6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40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>
                <w:b w:val="false"/>
                <w:bCs w:val="false"/>
                <w:sz w:val="22"/>
                <w:szCs w:val="22"/>
              </w:rPr>
              <w:t xml:space="preserve">Требования к техническим и функциональным характеристикам в отношении продукции представлены в Приложении № 1 </w:t>
            </w:r>
            <w:r>
              <w:rPr>
                <w:b w:val="false"/>
                <w:bCs w:val="false"/>
                <w:iCs/>
                <w:sz w:val="22"/>
                <w:szCs w:val="22"/>
              </w:rPr>
              <w:t>к настоящим Техническим требованиям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Предоставить заполненное приложение № 1</w:t>
            </w:r>
          </w:p>
        </w:tc>
        <w:tc>
          <w:tcPr>
            <w:tcW w:w="21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Уровень изоляции изделия должен соответствовать ГОСТ 1516.3-96 «Электрооборудование переменного тока на напряжение от 1 до 750 кВ. Требования к электрической прочности изоляции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наличию и предоставлению документов, подтверждающих безопасность оборудования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соответствии с Федеральным Законом от 27.12.2002 г. № 184-ФЗ «О техническом регулировании», 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Высоковольтное оборудование должно иметь декларацию о соответствии (разъединители  должны иметь декларацию соответствия ГОСТ 1516.3-96, ГОСТ Р 52726-2007).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о соответствии должна иметь электронную регистрацию в едином реестре деклараций на сайте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 w:val="22"/>
                  <w:szCs w:val="22"/>
                  <w:lang w:val="ru-RU" w:eastAsia="ru-RU" w:bidi="ar-SA"/>
                </w:rPr>
                <w:t>https://fsa.gov.ru/</w:t>
              </w:r>
            </w:hyperlink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(требование п.6 ст.24 ФЗ-184.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Представить копию действующей </w:t>
            </w:r>
            <w:r>
              <w:rPr>
                <w:rFonts w:eastAsia="Times New Roman" w:cs="Times New Roman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декларации о соответствии ГОСТу/ указать регистрационный номер декларации о соответствии ГОСТу</w:t>
            </w:r>
            <w:r>
              <w:rPr>
                <w:rFonts w:eastAsia="Sylfaen" w:cs="Times New Roman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на разъединители 10 кВ.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Срок гарантии на поставляемую продукцию, включая все его составляющие части (комплектующие изделия).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Не менее 60 (шестидесяти) месяцев 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даты подписания накладной ТОРГ-12 или УПД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продукцию</w:t>
            </w:r>
          </w:p>
        </w:tc>
        <w:tc>
          <w:tcPr>
            <w:tcW w:w="2409" w:type="dxa"/>
            <w:tcBorders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432" w:left="458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на защиту от коррозии, при отсутствии механических повреждений.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10 лет с даты подписания накладной ТОРГ-12 или УПД.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продукцию</w:t>
            </w:r>
          </w:p>
        </w:tc>
        <w:tc>
          <w:tcPr>
            <w:tcW w:w="2409" w:type="dxa"/>
            <w:tcBorders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ind w:hanging="0" w:right="-142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ind w:hanging="0" w:right="141"/>
              <w:jc w:val="left"/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sz w:val="22"/>
                <w:szCs w:val="22"/>
              </w:rPr>
              <w:t>Все металлические части разъединителя, должны иметь стойкое антикоррозионное покрытие или быть изготовлены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материалов,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подверженных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коррозии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ind w:hanging="0" w:right="39"/>
              <w:jc w:val="center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Указать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антикоррозионное покрытие или материал,</w:t>
            </w:r>
            <w:r>
              <w:rPr>
                <w:rFonts w:eastAsia="Times New Roman" w:cs="Times New Roman"/>
                <w:i/>
                <w:spacing w:val="-6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i/>
                <w:spacing w:val="-8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подверженного</w:t>
            </w:r>
            <w:r>
              <w:rPr>
                <w:rFonts w:eastAsia="Times New Roman" w:cs="Times New Roman"/>
                <w:i/>
                <w:spacing w:val="-9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коррозии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доставке</w:t>
            </w:r>
          </w:p>
        </w:tc>
      </w:tr>
      <w:tr>
        <w:trPr>
          <w:trHeight w:val="1010" w:hRule="atLeast"/>
        </w:trPr>
        <w:tc>
          <w:tcPr>
            <w:tcW w:w="7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ЕАО»</w:t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679011, Еврейская Автономная обл., г. Биробиджан, ул. Черноморская, 6</w:t>
            </w:r>
          </w:p>
        </w:tc>
        <w:tc>
          <w:tcPr>
            <w:tcW w:w="226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сроку выпуска продукции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Продукция должна быть новой 2025-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2026 гг. выпуска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и ранее неиспользованной. (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284" w:leader="none"/>
        </w:tabs>
        <w:spacing w:lineRule="auto" w:line="259" w:before="0" w:after="160"/>
        <w:ind w:hanging="0" w:left="0"/>
        <w:contextualSpacing/>
        <w:jc w:val="both"/>
        <w:outlineLvl w:val="1"/>
        <w:rPr>
          <w:rFonts w:eastAsia="Calibri"/>
          <w:b/>
          <w:sz w:val="24"/>
          <w:szCs w:val="24"/>
          <w:lang w:eastAsia="en-US"/>
        </w:rPr>
      </w:pPr>
      <w:bookmarkStart w:id="24" w:name="_Toc31295832"/>
      <w:r>
        <w:rPr>
          <w:rFonts w:eastAsia="Calibri"/>
          <w:b/>
          <w:sz w:val="24"/>
          <w:szCs w:val="24"/>
          <w:lang w:eastAsia="en-US"/>
        </w:rPr>
        <w:t>Требования к документации по ценообразованию.</w:t>
      </w:r>
      <w:bookmarkEnd w:id="24"/>
    </w:p>
    <w:p>
      <w:pPr>
        <w:pStyle w:val="Heading1"/>
        <w:keepLines/>
        <w:numPr>
          <w:ilvl w:val="0"/>
          <w:numId w:val="0"/>
        </w:numPr>
        <w:ind w:firstLine="709" w:left="0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  <w:lang w:val="ru-RU"/>
        </w:rPr>
        <w:t xml:space="preserve">3.1. </w:t>
      </w:r>
      <w:r>
        <w:rPr>
          <w:b w:val="false"/>
          <w:iCs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1"/>
        <w:keepLines/>
        <w:numPr>
          <w:ilvl w:val="0"/>
          <w:numId w:val="0"/>
        </w:numPr>
        <w:ind w:firstLine="709" w:left="0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numPr>
          <w:ilvl w:val="0"/>
          <w:numId w:val="0"/>
        </w:numPr>
        <w:ind w:firstLine="709" w:left="0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Style38"/>
        <w:bidi w:val="0"/>
        <w:spacing w:before="0" w:after="60"/>
        <w:ind w:hanging="0" w:left="426" w:right="0"/>
        <w:jc w:val="left"/>
        <w:rPr>
          <w:bCs/>
          <w:iCs/>
          <w:sz w:val="22"/>
          <w:szCs w:val="22"/>
          <w:lang w:eastAsia="x-none"/>
        </w:rPr>
      </w:pPr>
      <w:r>
        <w:rPr>
          <w:rStyle w:val="Style14"/>
          <w:rFonts w:cs="Times New Roman" w:ascii="Times New Roman" w:hAnsi="Times New Roman"/>
          <w:b/>
          <w:i w:val="false"/>
          <w:iCs w:val="false"/>
          <w:shd w:fill="auto" w:val="clear"/>
        </w:rPr>
        <w:t>4. В составе заявки необходимо предоставить:</w:t>
      </w:r>
    </w:p>
    <w:p>
      <w:pPr>
        <w:pStyle w:val="Style38"/>
        <w:bidi w:val="0"/>
        <w:spacing w:before="0" w:after="60"/>
        <w:jc w:val="both"/>
        <w:rPr>
          <w:bCs/>
          <w:iCs/>
          <w:sz w:val="22"/>
          <w:szCs w:val="22"/>
          <w:lang w:eastAsia="x-none"/>
        </w:rPr>
      </w:pPr>
      <w:r>
        <w:rPr>
          <w:rStyle w:val="Style14"/>
          <w:rFonts w:cs="Times New Roman" w:ascii="Times New Roman" w:hAnsi="Times New Roman"/>
          <w:i w:val="false"/>
          <w:iCs w:val="false"/>
          <w:sz w:val="22"/>
          <w:szCs w:val="22"/>
          <w:shd w:fill="auto" w:val="clear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Style37"/>
        <w:widowControl/>
        <w:numPr>
          <w:ilvl w:val="0"/>
          <w:numId w:val="8"/>
        </w:numPr>
        <w:suppressAutoHyphens w:val="false"/>
        <w:spacing w:before="0" w:after="60"/>
        <w:ind w:hanging="437" w:left="426" w:right="0"/>
        <w:jc w:val="both"/>
        <w:textAlignment w:val="auto"/>
        <w:rPr>
          <w:rStyle w:val="Style14"/>
          <w:rFonts w:cs="Times New Roman"/>
          <w:i w:val="false"/>
          <w:i w:val="false"/>
          <w:iCs w:val="false"/>
          <w:sz w:val="22"/>
          <w:szCs w:val="22"/>
          <w:shd w:fill="auto" w:val="clear"/>
          <w:lang w:eastAsia="zh-CN"/>
        </w:rPr>
      </w:pPr>
      <w:r>
        <w:rPr>
          <w:rFonts w:cs="Times New Roman"/>
          <w:i w:val="false"/>
          <w:iCs w:val="false"/>
          <w:sz w:val="22"/>
          <w:szCs w:val="22"/>
          <w:shd w:fill="auto" w:val="clear"/>
        </w:rPr>
        <w:t>Т</w:t>
      </w:r>
      <w:r>
        <w:rPr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ехническое предложение, подготовленное в соответствии с настоящими ТТ по форме, представленной в документации о закупке  приложением документов в соответствии с требованиями п. 2.1. таблицы 3 Технических требований;</w:t>
      </w:r>
    </w:p>
    <w:p>
      <w:pPr>
        <w:pStyle w:val="Style37"/>
        <w:widowControl/>
        <w:numPr>
          <w:ilvl w:val="0"/>
          <w:numId w:val="8"/>
        </w:numPr>
        <w:suppressAutoHyphens w:val="false"/>
        <w:spacing w:before="0" w:after="60"/>
        <w:ind w:hanging="437" w:left="426" w:right="0"/>
        <w:jc w:val="both"/>
        <w:textAlignment w:val="auto"/>
        <w:rPr/>
      </w:pPr>
      <w:r>
        <w:rPr>
          <w:rStyle w:val="Style14"/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284" w:leader="none"/>
        </w:tabs>
        <w:spacing w:before="120" w:after="60"/>
        <w:ind w:hanging="0" w:left="0"/>
        <w:outlineLvl w:val="0"/>
        <w:rPr>
          <w:rFonts w:eastAsia="Calibri"/>
          <w:b/>
          <w:caps/>
          <w:sz w:val="26"/>
          <w:szCs w:val="26"/>
          <w:lang w:val="x-none" w:eastAsia="x-none"/>
        </w:rPr>
      </w:pPr>
      <w:r>
        <w:rPr>
          <w:rFonts w:eastAsia="Calibri"/>
          <w:b/>
          <w:caps/>
          <w:sz w:val="26"/>
          <w:szCs w:val="26"/>
          <w:lang w:val="x-none" w:eastAsia="x-none"/>
        </w:rPr>
      </w:r>
    </w:p>
    <w:sectPr>
      <w:headerReference w:type="even" r:id="rId3"/>
      <w:headerReference w:type="default" r:id="rId4"/>
      <w:headerReference w:type="first" r:id="rId5"/>
      <w:footnotePr>
        <w:numFmt w:val="decimal"/>
      </w:footnotePr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hd w:val="clear" w:color="auto" w:fill="FFFFFF"/>
        <w:rPr>
          <w:iCs/>
          <w:color w:val="FF0000"/>
          <w:sz w:val="16"/>
          <w:szCs w:val="16"/>
        </w:rPr>
      </w:pPr>
      <w:r>
        <w:rPr>
          <w:rStyle w:val="Style"/>
        </w:rPr>
        <w:footnoteRef/>
      </w:r>
      <w:r>
        <w:rPr>
          <w:color w:val="FF0000"/>
          <w:sz w:val="16"/>
          <w:szCs w:val="16"/>
        </w:rPr>
        <w:t xml:space="preserve"> </w:t>
      </w:r>
      <w:bookmarkStart w:id="25" w:name="_Hlk68806928_Копия_1"/>
      <w:r>
        <w:rPr>
          <w:iCs/>
          <w:color w:val="FF0000"/>
          <w:sz w:val="16"/>
          <w:szCs w:val="16"/>
        </w:rPr>
        <w:t xml:space="preserve">Указанные в настоящем ТТ ссылки на марку (тип) продукции носят описательный, а не обязательный характер. </w:t>
      </w:r>
      <w:bookmarkEnd w:id="25"/>
      <w:r>
        <w:rPr>
          <w:iCs/>
          <w:color w:val="FF0000"/>
          <w:sz w:val="16"/>
          <w:szCs w:val="16"/>
        </w:rPr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эквивалента.</w:t>
      </w:r>
    </w:p>
    <w:p>
      <w:pPr>
        <w:pStyle w:val="FootnoteText"/>
        <w:widowControl w:val="false"/>
        <w:shd w:val="clear" w:color="auto" w:fill="FFFFFF"/>
        <w:rPr>
          <w:bCs/>
          <w:iCs/>
          <w:color w:val="FF0000"/>
          <w:sz w:val="16"/>
          <w:szCs w:val="16"/>
        </w:rPr>
      </w:pPr>
      <w:r>
        <w:rPr>
          <w:bCs/>
          <w:iCs/>
          <w:color w:val="FF0000"/>
          <w:sz w:val="16"/>
          <w:szCs w:val="16"/>
        </w:rPr>
        <w:t>Параметрами эквивалентности являются технические характеристики продукции, указанные в приложении № 1 к настоящим техническим требованиям.</w:t>
      </w:r>
    </w:p>
    <w:p>
      <w:pPr>
        <w:pStyle w:val="FootnoteText"/>
        <w:widowControl w:val="false"/>
        <w:shd w:val="clear" w:color="auto" w:fill="FFFFFF"/>
        <w:rPr>
          <w:color w:val="FF0000"/>
        </w:rPr>
      </w:pPr>
      <w:r>
        <w:rPr>
          <w:iCs/>
          <w:color w:val="FF0000"/>
          <w:sz w:val="16"/>
          <w:szCs w:val="16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</w:t>
      </w:r>
      <w:r>
        <w:rPr>
          <w:iCs/>
          <w:color w:val="FF0000"/>
        </w:rPr>
        <w:t>.</w:t>
      </w:r>
    </w:p>
  </w:footnote>
  <w:footnote w:id="3">
    <w:p>
      <w:pPr>
        <w:pStyle w:val="Footnote"/>
        <w:widowControl w:val="false"/>
        <w:jc w:val="both"/>
        <w:rPr/>
      </w:pPr>
      <w:r>
        <w:rPr>
          <w:rStyle w:val="Style"/>
        </w:rPr>
        <w:footnoteRef/>
      </w:r>
      <w:r>
        <w:rPr>
          <w:rStyle w:val="FootnoteCharacters"/>
          <w:color w:val="FF0000"/>
        </w:rPr>
        <w:t>*</w:t>
      </w:r>
      <w:r>
        <w:rPr>
          <w:color w:val="FF0000"/>
        </w:rPr>
        <w:t xml:space="preserve"> </w:t>
      </w:r>
      <w:r>
        <w:rPr>
          <w:i/>
          <w:iCs/>
          <w:color w:val="FF0000"/>
          <w:sz w:val="22"/>
          <w:szCs w:val="22"/>
        </w:rPr>
        <w:t>Способ подтверждения участником соответствия требованиям указан в таблице в отношении каждой позиции закупаемой продукции [</w:t>
      </w:r>
      <w:r>
        <w:rPr>
          <w:rStyle w:val="Style8"/>
          <w:rFonts w:eastAsia="Calibri"/>
          <w:b w:val="false"/>
          <w:iCs/>
          <w:color w:val="FF0000"/>
          <w:sz w:val="22"/>
          <w:szCs w:val="22"/>
          <w:shd w:fill="auto" w:val="clear"/>
        </w:rPr>
        <w:t>В разделе «Предложения участника» в отношении каждого требования нужно указать соответствующий способ подтверждения: согласие, указание технических характеристик, предоставление подтверждающего документа или иной способ подтверждения]</w:t>
      </w:r>
      <w:r>
        <w:rPr>
          <w:iCs/>
          <w:color w:val="FF0000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 w:val="false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Основной шрифт абзаца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character" w:styleId="Style15">
    <w:name w:val="Знак примечания"/>
    <w:qFormat/>
    <w:rPr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Footnote">
    <w:name w:val="Footnote"/>
    <w:basedOn w:val="Standard"/>
    <w:qFormat/>
    <w:pPr/>
    <w:rPr>
      <w:sz w:val="20"/>
      <w:szCs w:val="20"/>
    </w:rPr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Абзац списка"/>
    <w:basedOn w:val="Normal"/>
    <w:qFormat/>
    <w:pPr>
      <w:suppressAutoHyphens w:val="true"/>
      <w:ind w:hanging="0" w:left="720" w:right="0"/>
    </w:pPr>
    <w:rPr>
      <w:rFonts w:eastAsia="Calibri"/>
      <w:sz w:val="24"/>
      <w:szCs w:val="24"/>
    </w:rPr>
  </w:style>
  <w:style w:type="paragraph" w:styleId="Style38">
    <w:name w:val="Обычный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WenQuanYi Zen Hei Sharp" w:cs="Lohit Devanagari"/>
      <w:color w:val="auto"/>
      <w:kern w:val="0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8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sa.gov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1997-28AD-4278-84CA-A181C73E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Application>AlterOffice/2026.2.0.0$Linux_X86_64 LibreOffice_project/bc4ef1adf80b36c7a6365f8ed6cbf29021361edd</Application>
  <AppVersion>15.0000</AppVersion>
  <Pages>6</Pages>
  <Words>1025</Words>
  <Characters>6907</Characters>
  <CharactersWithSpaces>7813</CharactersWithSpaces>
  <Paragraphs>130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2023-08-07T08:16:00Z</dcterms:created>
  <dc:creator>Быстров Олег Геннадьевич</dc:creator>
  <dc:description/>
  <dc:language>ru-RU</dc:language>
  <cp:lastModifiedBy>gelashvili_is</cp:lastModifiedBy>
  <cp:lastPrinted>2026-04-10T14:37:04Z</cp:lastPrinted>
  <dcterms:modified xsi:type="dcterms:W3CDTF">2026-11-03T15:37:59Z</dcterms:modified>
  <cp:revision>105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