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_rels/document.xml.rels" ContentType="application/vnd.openxmlformats-package.relationships+xml"/>
  <Override PartName="/word/footer3.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numPr>
          <w:ilvl w:val="0"/>
          <w:numId w:val="0"/>
        </w:numPr>
        <w:outlineLvl w:val="0"/>
        <w:rPr>
          <w:sz w:val="22"/>
          <w:szCs w:val="22"/>
        </w:rPr>
      </w:pPr>
      <w:r>
        <w:rPr>
          <w:sz w:val="22"/>
          <w:szCs w:val="22"/>
        </w:rPr>
        <w:t>Договор поставки № ____________-Сар/пос-26</w:t>
      </w:r>
    </w:p>
    <w:p>
      <w:pPr>
        <w:pStyle w:val="Title"/>
        <w:numPr>
          <w:ilvl w:val="0"/>
          <w:numId w:val="0"/>
        </w:numPr>
        <w:outlineLvl w:val="0"/>
        <w:rPr>
          <w:sz w:val="22"/>
          <w:szCs w:val="22"/>
        </w:rPr>
      </w:pPr>
      <w:r>
        <w:rPr>
          <w:sz w:val="22"/>
          <w:szCs w:val="22"/>
        </w:rPr>
      </w:r>
    </w:p>
    <w:p>
      <w:pPr>
        <w:pStyle w:val="Normal"/>
        <w:rPr>
          <w:sz w:val="22"/>
          <w:szCs w:val="22"/>
        </w:rPr>
      </w:pPr>
      <w:r>
        <w:rPr>
          <w:sz w:val="22"/>
          <w:szCs w:val="22"/>
        </w:rPr>
        <w:t>г. Волжский</w:t>
        <w:tab/>
        <w:tab/>
        <w:tab/>
        <w:tab/>
        <w:tab/>
        <w:tab/>
        <w:t xml:space="preserve">                                                   «_____» ноября 2026 г.</w:t>
      </w:r>
    </w:p>
    <w:p>
      <w:pPr>
        <w:pStyle w:val="Normal"/>
        <w:ind w:firstLine="567"/>
        <w:jc w:val="both"/>
        <w:rPr>
          <w:sz w:val="22"/>
          <w:szCs w:val="22"/>
        </w:rPr>
      </w:pPr>
      <w:r>
        <w:rPr>
          <w:sz w:val="22"/>
          <w:szCs w:val="22"/>
        </w:rPr>
      </w:r>
    </w:p>
    <w:p>
      <w:pPr>
        <w:pStyle w:val="Normal"/>
        <w:tabs>
          <w:tab w:val="clear" w:pos="720"/>
          <w:tab w:val="left" w:pos="993" w:leader="none"/>
        </w:tabs>
        <w:ind w:firstLine="567"/>
        <w:jc w:val="both"/>
        <w:rPr>
          <w:sz w:val="22"/>
          <w:szCs w:val="22"/>
        </w:rPr>
      </w:pPr>
      <w:r>
        <w:rPr>
          <w:b/>
          <w:sz w:val="22"/>
          <w:szCs w:val="22"/>
        </w:rPr>
        <w:t xml:space="preserve">Акционерное общество «Гидроремонт-ВКК» (АО «Гидроремонт-ВКК»), </w:t>
      </w:r>
      <w:r>
        <w:rPr>
          <w:sz w:val="22"/>
          <w:szCs w:val="22"/>
        </w:rPr>
        <w:t>именуемое в дальнейшем «</w:t>
      </w:r>
      <w:r>
        <w:rPr>
          <w:b/>
          <w:sz w:val="22"/>
          <w:szCs w:val="22"/>
        </w:rPr>
        <w:t>Покупатель</w:t>
      </w:r>
      <w:r>
        <w:rPr>
          <w:sz w:val="22"/>
          <w:szCs w:val="22"/>
        </w:rPr>
        <w:t>», в лице ________, действующего на основании _________, с одной стороны, и</w:t>
      </w:r>
    </w:p>
    <w:p>
      <w:pPr>
        <w:pStyle w:val="Normal"/>
        <w:tabs>
          <w:tab w:val="clear" w:pos="720"/>
          <w:tab w:val="left" w:pos="993" w:leader="none"/>
        </w:tabs>
        <w:ind w:firstLine="567"/>
        <w:jc w:val="both"/>
        <w:rPr>
          <w:sz w:val="22"/>
          <w:szCs w:val="22"/>
        </w:rPr>
      </w:pPr>
      <w:r>
        <w:rPr>
          <w:b/>
          <w:sz w:val="22"/>
          <w:szCs w:val="22"/>
        </w:rPr>
        <w:t xml:space="preserve">__________, </w:t>
      </w:r>
      <w:r>
        <w:rPr>
          <w:sz w:val="22"/>
          <w:szCs w:val="22"/>
        </w:rPr>
        <w:t xml:space="preserve">именуемое в дальнейшем </w:t>
      </w:r>
      <w:r>
        <w:rPr>
          <w:b/>
          <w:sz w:val="22"/>
          <w:szCs w:val="22"/>
        </w:rPr>
        <w:t xml:space="preserve">«Поставщик», </w:t>
      </w:r>
      <w:r>
        <w:rPr>
          <w:sz w:val="22"/>
          <w:szCs w:val="22"/>
          <w:lang w:val="x-none"/>
        </w:rPr>
        <w:t xml:space="preserve">в лице ________, действующего на основании _______,  </w:t>
      </w:r>
      <w:r>
        <w:rPr>
          <w:sz w:val="22"/>
          <w:szCs w:val="22"/>
        </w:rPr>
        <w:t xml:space="preserve">с другой стороны, </w:t>
      </w:r>
    </w:p>
    <w:p>
      <w:pPr>
        <w:pStyle w:val="Normal"/>
        <w:tabs>
          <w:tab w:val="clear" w:pos="720"/>
          <w:tab w:val="left" w:pos="993" w:leader="none"/>
        </w:tabs>
        <w:ind w:firstLine="567"/>
        <w:jc w:val="both"/>
        <w:rPr>
          <w:sz w:val="22"/>
          <w:szCs w:val="22"/>
        </w:rPr>
      </w:pPr>
      <w:r>
        <w:rPr>
          <w:sz w:val="22"/>
          <w:szCs w:val="22"/>
        </w:rPr>
        <w:t xml:space="preserve">совместно в дальнейшем именуемые «Стороны», а по отдельности – «Сторона», </w:t>
      </w:r>
    </w:p>
    <w:p>
      <w:pPr>
        <w:pStyle w:val="Normal"/>
        <w:tabs>
          <w:tab w:val="clear" w:pos="720"/>
          <w:tab w:val="left" w:pos="993" w:leader="none"/>
        </w:tabs>
        <w:ind w:firstLine="567"/>
        <w:jc w:val="both"/>
        <w:rPr>
          <w:sz w:val="22"/>
          <w:szCs w:val="22"/>
        </w:rPr>
      </w:pPr>
      <w:r>
        <w:rPr>
          <w:sz w:val="22"/>
          <w:szCs w:val="22"/>
        </w:rPr>
        <w:t>по результатам проведенной нерегламентированной закупки</w:t>
      </w:r>
      <w:r>
        <w:rPr>
          <w:bCs/>
          <w:sz w:val="22"/>
          <w:szCs w:val="22"/>
        </w:rPr>
        <w:t xml:space="preserve"> № _________________________,</w:t>
      </w:r>
      <w:r>
        <w:rPr>
          <w:sz w:val="22"/>
          <w:szCs w:val="22"/>
        </w:rPr>
        <w:t xml:space="preserve"> заключили настоящий договор (далее – «Договор») о нижеследующем:</w:t>
      </w:r>
    </w:p>
    <w:p>
      <w:pPr>
        <w:pStyle w:val="Normal"/>
        <w:ind w:firstLine="567"/>
        <w:jc w:val="both"/>
        <w:rPr>
          <w:sz w:val="22"/>
          <w:szCs w:val="22"/>
        </w:rPr>
      </w:pPr>
      <w:r>
        <w:rPr>
          <w:sz w:val="22"/>
          <w:szCs w:val="22"/>
        </w:rPr>
      </w:r>
    </w:p>
    <w:p>
      <w:pPr>
        <w:pStyle w:val="Normal"/>
        <w:widowControl w:val="false"/>
        <w:numPr>
          <w:ilvl w:val="0"/>
          <w:numId w:val="5"/>
        </w:numPr>
        <w:shd w:val="clear" w:color="auto" w:fill="FFFFFF"/>
        <w:tabs>
          <w:tab w:val="clear" w:pos="720"/>
          <w:tab w:val="left" w:pos="426" w:leader="none"/>
        </w:tabs>
        <w:ind w:hanging="0" w:left="0"/>
        <w:jc w:val="center"/>
        <w:rPr>
          <w:b/>
          <w:bCs/>
          <w:sz w:val="22"/>
          <w:szCs w:val="22"/>
        </w:rPr>
      </w:pPr>
      <w:r>
        <w:rPr>
          <w:b/>
          <w:bCs/>
          <w:sz w:val="22"/>
          <w:szCs w:val="22"/>
        </w:rPr>
        <w:t>Предмет Договора</w:t>
      </w:r>
    </w:p>
    <w:p>
      <w:pPr>
        <w:pStyle w:val="Normal"/>
        <w:widowControl w:val="false"/>
        <w:shd w:val="clear" w:color="auto" w:fill="FFFFFF"/>
        <w:ind w:left="567"/>
        <w:rPr>
          <w:b/>
          <w:bCs/>
          <w:sz w:val="22"/>
          <w:szCs w:val="22"/>
        </w:rPr>
      </w:pPr>
      <w:r>
        <w:rPr>
          <w:b/>
          <w:bCs/>
          <w:sz w:val="22"/>
          <w:szCs w:val="22"/>
        </w:rPr>
      </w:r>
    </w:p>
    <w:p>
      <w:pPr>
        <w:pStyle w:val="Title"/>
        <w:numPr>
          <w:ilvl w:val="1"/>
          <w:numId w:val="5"/>
        </w:numPr>
        <w:tabs>
          <w:tab w:val="clear" w:pos="720"/>
          <w:tab w:val="left" w:pos="142" w:leader="none"/>
          <w:tab w:val="left" w:pos="993" w:leader="none"/>
        </w:tabs>
        <w:ind w:firstLine="567" w:left="0"/>
        <w:jc w:val="both"/>
        <w:rPr>
          <w:b w:val="false"/>
          <w:sz w:val="22"/>
          <w:szCs w:val="22"/>
        </w:rPr>
      </w:pPr>
      <w:r>
        <w:rPr>
          <w:b w:val="false"/>
          <w:sz w:val="22"/>
          <w:szCs w:val="22"/>
        </w:rPr>
        <w:t xml:space="preserve">Поставщик обязуется передать Покупателю </w:t>
      </w:r>
      <w:r>
        <w:rPr>
          <w:sz w:val="22"/>
          <w:szCs w:val="22"/>
        </w:rPr>
        <w:t>новогодние подарки</w:t>
      </w:r>
      <w:r>
        <w:rPr>
          <w:b w:val="false"/>
          <w:sz w:val="22"/>
          <w:szCs w:val="22"/>
        </w:rPr>
        <w:t xml:space="preserve"> (далее – «Продукция») на условиях, согласованных Сторонами в Договоре, в соответствии со Спецификацией № 1 (</w:t>
      </w:r>
      <w:r>
        <w:rPr>
          <w:sz w:val="22"/>
          <w:szCs w:val="22"/>
        </w:rPr>
        <w:t>Приложение № 1</w:t>
      </w:r>
      <w:r>
        <w:rPr>
          <w:b w:val="false"/>
          <w:sz w:val="22"/>
          <w:szCs w:val="22"/>
        </w:rPr>
        <w:t>), а Покупатель обязуется принять и оплатить Продукцию в установленном Договором порядке.</w:t>
      </w:r>
    </w:p>
    <w:p>
      <w:pPr>
        <w:pStyle w:val="Title"/>
        <w:numPr>
          <w:ilvl w:val="1"/>
          <w:numId w:val="5"/>
        </w:numPr>
        <w:shd w:val="clear" w:color="auto" w:fill="FFFFFF"/>
        <w:tabs>
          <w:tab w:val="clear" w:pos="720"/>
          <w:tab w:val="left" w:pos="142" w:leader="none"/>
          <w:tab w:val="left" w:pos="540" w:leader="none"/>
          <w:tab w:val="left" w:pos="993" w:leader="none"/>
        </w:tabs>
        <w:ind w:firstLine="567" w:left="0"/>
        <w:jc w:val="both"/>
        <w:rPr>
          <w:b w:val="false"/>
          <w:sz w:val="22"/>
          <w:szCs w:val="22"/>
        </w:rPr>
      </w:pPr>
      <w:r>
        <w:rPr>
          <w:b w:val="false"/>
          <w:sz w:val="22"/>
          <w:szCs w:val="22"/>
        </w:rPr>
        <w:t>Поставка Продукции осуществляется одной партией.</w:t>
      </w:r>
    </w:p>
    <w:p>
      <w:pPr>
        <w:pStyle w:val="ListParagraph"/>
        <w:numPr>
          <w:ilvl w:val="1"/>
          <w:numId w:val="5"/>
        </w:numPr>
        <w:shd w:val="clear" w:color="auto" w:fill="FFFFFF"/>
        <w:tabs>
          <w:tab w:val="clear" w:pos="720"/>
          <w:tab w:val="left" w:pos="142" w:leader="none"/>
          <w:tab w:val="left" w:pos="540" w:leader="none"/>
          <w:tab w:val="left" w:pos="993" w:leader="none"/>
        </w:tabs>
        <w:spacing w:before="0" w:after="0"/>
        <w:ind w:firstLine="567" w:left="0"/>
        <w:contextualSpacing w:val="false"/>
        <w:jc w:val="both"/>
        <w:rPr>
          <w:sz w:val="22"/>
          <w:szCs w:val="22"/>
        </w:rPr>
      </w:pPr>
      <w:r>
        <w:rPr>
          <w:sz w:val="22"/>
          <w:szCs w:val="22"/>
        </w:rPr>
        <w:t>Поставка по Договору выполняется для нужд Саратовского филиала АО «Гидроремонт-ВКК» в г. Балаково.</w:t>
      </w:r>
    </w:p>
    <w:p>
      <w:pPr>
        <w:pStyle w:val="ListParagraph"/>
        <w:numPr>
          <w:ilvl w:val="1"/>
          <w:numId w:val="5"/>
        </w:numPr>
        <w:shd w:val="clear" w:color="auto" w:fill="FFFFFF"/>
        <w:tabs>
          <w:tab w:val="clear" w:pos="720"/>
          <w:tab w:val="left" w:pos="142" w:leader="none"/>
          <w:tab w:val="left" w:pos="540" w:leader="none"/>
          <w:tab w:val="left" w:pos="993" w:leader="none"/>
        </w:tabs>
        <w:spacing w:before="0" w:after="0"/>
        <w:ind w:firstLine="567" w:left="0"/>
        <w:contextualSpacing w:val="false"/>
        <w:jc w:val="both"/>
        <w:rPr>
          <w:sz w:val="22"/>
          <w:szCs w:val="22"/>
        </w:rPr>
      </w:pPr>
      <w:r>
        <w:rPr>
          <w:sz w:val="22"/>
          <w:szCs w:val="22"/>
        </w:rPr>
        <w:t>Место поставки: РФ, Саратовская обл., г. Балаково, ул. Заовражная, 48 (далее – «Место поставки»).</w:t>
      </w:r>
    </w:p>
    <w:p>
      <w:pPr>
        <w:pStyle w:val="ListParagraph"/>
        <w:numPr>
          <w:ilvl w:val="1"/>
          <w:numId w:val="5"/>
        </w:numPr>
        <w:shd w:val="clear" w:color="auto" w:fill="FFFFFF"/>
        <w:tabs>
          <w:tab w:val="clear" w:pos="720"/>
          <w:tab w:val="left" w:pos="142" w:leader="none"/>
          <w:tab w:val="left" w:pos="540" w:leader="none"/>
          <w:tab w:val="left" w:pos="993" w:leader="none"/>
        </w:tabs>
        <w:spacing w:before="0" w:after="0"/>
        <w:ind w:firstLine="567" w:left="0"/>
        <w:contextualSpacing w:val="false"/>
        <w:jc w:val="both"/>
        <w:rPr>
          <w:sz w:val="22"/>
          <w:szCs w:val="22"/>
        </w:rPr>
      </w:pPr>
      <w:r>
        <w:rPr>
          <w:sz w:val="22"/>
          <w:szCs w:val="22"/>
        </w:rPr>
        <w:t>Срок поставки Продукции: не позднее 15 декабря 2026 года</w:t>
      </w:r>
    </w:p>
    <w:p>
      <w:pPr>
        <w:pStyle w:val="ListParagraph"/>
        <w:shd w:val="clear" w:color="auto" w:fill="FFFFFF"/>
        <w:tabs>
          <w:tab w:val="clear" w:pos="720"/>
          <w:tab w:val="left" w:pos="540" w:leader="none"/>
          <w:tab w:val="left" w:pos="993" w:leader="none"/>
        </w:tabs>
        <w:spacing w:before="0" w:after="0"/>
        <w:ind w:firstLine="567" w:left="567"/>
        <w:contextualSpacing w:val="false"/>
        <w:jc w:val="both"/>
        <w:rPr>
          <w:sz w:val="22"/>
          <w:szCs w:val="22"/>
        </w:rPr>
      </w:pPr>
      <w:r>
        <w:rPr>
          <w:sz w:val="22"/>
          <w:szCs w:val="22"/>
        </w:rPr>
      </w:r>
    </w:p>
    <w:p>
      <w:pPr>
        <w:pStyle w:val="Normal"/>
        <w:widowControl w:val="false"/>
        <w:numPr>
          <w:ilvl w:val="0"/>
          <w:numId w:val="5"/>
        </w:numPr>
        <w:shd w:val="clear" w:color="auto" w:fill="FFFFFF"/>
        <w:tabs>
          <w:tab w:val="clear" w:pos="720"/>
          <w:tab w:val="left" w:pos="426" w:leader="none"/>
        </w:tabs>
        <w:ind w:hanging="0" w:left="0"/>
        <w:jc w:val="center"/>
        <w:rPr>
          <w:b/>
          <w:sz w:val="22"/>
          <w:szCs w:val="22"/>
        </w:rPr>
      </w:pPr>
      <w:r>
        <w:rPr>
          <w:b/>
          <w:sz w:val="22"/>
          <w:szCs w:val="22"/>
        </w:rPr>
        <w:t>Цена Договора и порядок оплаты</w:t>
      </w:r>
    </w:p>
    <w:p>
      <w:pPr>
        <w:pStyle w:val="Normal"/>
        <w:widowControl w:val="false"/>
        <w:shd w:val="clear" w:color="auto" w:fill="FFFFFF"/>
        <w:ind w:left="567"/>
        <w:rPr>
          <w:b/>
          <w:sz w:val="22"/>
          <w:szCs w:val="22"/>
        </w:rPr>
      </w:pPr>
      <w:r>
        <w:rPr>
          <w:b/>
          <w:sz w:val="22"/>
          <w:szCs w:val="22"/>
        </w:rPr>
      </w:r>
    </w:p>
    <w:p>
      <w:pPr>
        <w:pStyle w:val="ListParagraph"/>
        <w:numPr>
          <w:ilvl w:val="1"/>
          <w:numId w:val="5"/>
        </w:numPr>
        <w:shd w:val="clear" w:color="auto" w:fill="FFFFFF"/>
        <w:tabs>
          <w:tab w:val="clear" w:pos="720"/>
          <w:tab w:val="left" w:pos="0" w:leader="none"/>
          <w:tab w:val="left" w:pos="851" w:leader="none"/>
          <w:tab w:val="left" w:pos="993" w:leader="none"/>
        </w:tabs>
        <w:spacing w:before="0" w:after="0"/>
        <w:ind w:firstLine="567" w:left="0"/>
        <w:contextualSpacing w:val="false"/>
        <w:jc w:val="both"/>
        <w:rPr>
          <w:sz w:val="22"/>
          <w:szCs w:val="22"/>
        </w:rPr>
      </w:pPr>
      <w:r>
        <w:rPr>
          <w:sz w:val="22"/>
          <w:szCs w:val="22"/>
        </w:rPr>
        <w:t xml:space="preserve">Общая стоимость Продукции (далее – «Цена Договора») составляет __________ </w:t>
      </w:r>
      <w:r>
        <w:rPr>
          <w:b/>
          <w:sz w:val="22"/>
          <w:szCs w:val="22"/>
        </w:rPr>
        <w:t>рублей ___ копеек</w:t>
      </w:r>
      <w:r>
        <w:rPr>
          <w:sz w:val="22"/>
          <w:szCs w:val="22"/>
        </w:rPr>
        <w:t xml:space="preserve"> </w:t>
      </w:r>
      <w:r>
        <w:rPr>
          <w:b/>
          <w:sz w:val="22"/>
          <w:szCs w:val="22"/>
        </w:rPr>
        <w:t xml:space="preserve">без учета НДС, </w:t>
      </w:r>
      <w:r>
        <w:rPr>
          <w:sz w:val="22"/>
          <w:szCs w:val="22"/>
        </w:rPr>
        <w:t xml:space="preserve">при этом НДС исчисляется дополнительно по ставке, установленной ст. 164 Налогового кодекса РФ. </w:t>
      </w:r>
    </w:p>
    <w:p>
      <w:pPr>
        <w:pStyle w:val="ListParagraph"/>
        <w:numPr>
          <w:ilvl w:val="1"/>
          <w:numId w:val="5"/>
        </w:numPr>
        <w:tabs>
          <w:tab w:val="clear" w:pos="720"/>
          <w:tab w:val="left" w:pos="0" w:leader="none"/>
          <w:tab w:val="left" w:pos="851" w:leader="none"/>
          <w:tab w:val="left" w:pos="993" w:leader="none"/>
        </w:tabs>
        <w:spacing w:before="0" w:after="0"/>
        <w:ind w:firstLine="567" w:left="0"/>
        <w:contextualSpacing w:val="false"/>
        <w:jc w:val="both"/>
        <w:rPr>
          <w:sz w:val="22"/>
          <w:szCs w:val="22"/>
        </w:rPr>
      </w:pPr>
      <w:r>
        <w:rPr>
          <w:sz w:val="22"/>
          <w:szCs w:val="22"/>
        </w:rPr>
        <w:t>Цена Договора включает в себя</w:t>
      </w:r>
      <w:r>
        <w:rPr>
          <w:bCs/>
          <w:sz w:val="22"/>
          <w:szCs w:val="22"/>
        </w:rPr>
        <w:t xml:space="preserve"> прибыль Поставщика, а также расходы Поставщика на производство или приобретение, транспортировку Продукции до Места поставки, погрузку, разгрузку, перемещение по территории Покупателя, стоимость тары и упаковки, сертификации, </w:t>
      </w:r>
      <w:r>
        <w:rPr>
          <w:sz w:val="22"/>
          <w:szCs w:val="22"/>
        </w:rPr>
        <w:t xml:space="preserve">подлежащие уплате налоги, сборы и пошлины (в т.ч. по таможенному оформлению, если применимо), </w:t>
      </w:r>
      <w:r>
        <w:rPr>
          <w:bCs/>
          <w:sz w:val="22"/>
          <w:szCs w:val="22"/>
        </w:rPr>
        <w:t xml:space="preserve">а также </w:t>
      </w:r>
      <w:r>
        <w:rPr>
          <w:sz w:val="22"/>
          <w:szCs w:val="22"/>
        </w:rPr>
        <w:t xml:space="preserve">все прочие затраты и расходы Поставщика, в том числе страхование груза, получение разрешений и другие сборы связанные с поставкой Продукции и исполнением иных обязательств по Договору. </w:t>
      </w:r>
    </w:p>
    <w:p>
      <w:pPr>
        <w:pStyle w:val="ListParagraph"/>
        <w:numPr>
          <w:ilvl w:val="1"/>
          <w:numId w:val="5"/>
        </w:numPr>
        <w:shd w:val="clear" w:color="auto" w:fill="FFFFFF"/>
        <w:tabs>
          <w:tab w:val="clear" w:pos="720"/>
          <w:tab w:val="left" w:pos="0" w:leader="none"/>
          <w:tab w:val="left" w:pos="851" w:leader="none"/>
          <w:tab w:val="left" w:pos="993" w:leader="none"/>
        </w:tabs>
        <w:spacing w:before="0" w:after="0"/>
        <w:ind w:firstLine="567" w:left="0"/>
        <w:contextualSpacing w:val="false"/>
        <w:jc w:val="both"/>
        <w:rPr>
          <w:sz w:val="22"/>
          <w:szCs w:val="22"/>
        </w:rPr>
      </w:pPr>
      <w:r>
        <w:rPr>
          <w:sz w:val="22"/>
          <w:szCs w:val="22"/>
        </w:rPr>
        <w:t>Стоимость Продукции является фиксированной и не подлежит изменению.</w:t>
      </w:r>
    </w:p>
    <w:p>
      <w:pPr>
        <w:pStyle w:val="ListParagraph"/>
        <w:numPr>
          <w:ilvl w:val="1"/>
          <w:numId w:val="5"/>
        </w:numPr>
        <w:shd w:val="clear" w:color="auto" w:fill="FFFFFF"/>
        <w:tabs>
          <w:tab w:val="clear" w:pos="720"/>
          <w:tab w:val="left" w:pos="0" w:leader="none"/>
          <w:tab w:val="left" w:pos="851" w:leader="none"/>
          <w:tab w:val="left" w:pos="993" w:leader="none"/>
        </w:tabs>
        <w:spacing w:before="0" w:after="0"/>
        <w:ind w:firstLine="567" w:left="0"/>
        <w:contextualSpacing w:val="false"/>
        <w:jc w:val="both"/>
        <w:rPr>
          <w:sz w:val="22"/>
          <w:szCs w:val="22"/>
        </w:rPr>
      </w:pPr>
      <w:r>
        <w:rPr>
          <w:sz w:val="22"/>
          <w:szCs w:val="22"/>
        </w:rPr>
        <w:t xml:space="preserve">Стоимость единицы Продукции определяется Спецификацией (Приложение № 1). </w:t>
      </w:r>
    </w:p>
    <w:p>
      <w:pPr>
        <w:pStyle w:val="ListParagraph"/>
        <w:numPr>
          <w:ilvl w:val="1"/>
          <w:numId w:val="5"/>
        </w:numPr>
        <w:shd w:val="clear" w:color="auto" w:fill="FFFFFF"/>
        <w:tabs>
          <w:tab w:val="clear" w:pos="720"/>
          <w:tab w:val="left" w:pos="0" w:leader="none"/>
          <w:tab w:val="left" w:pos="851" w:leader="none"/>
          <w:tab w:val="left" w:pos="993" w:leader="none"/>
        </w:tabs>
        <w:spacing w:before="0" w:after="0"/>
        <w:ind w:firstLine="567" w:left="0"/>
        <w:contextualSpacing w:val="false"/>
        <w:jc w:val="both"/>
        <w:rPr>
          <w:sz w:val="22"/>
          <w:szCs w:val="22"/>
        </w:rPr>
      </w:pPr>
      <w:r>
        <w:rPr>
          <w:sz w:val="22"/>
          <w:szCs w:val="22"/>
        </w:rPr>
        <w:t>Оплата в соответствии с Договором осуществляется следующим образом:</w:t>
      </w:r>
    </w:p>
    <w:p>
      <w:pPr>
        <w:pStyle w:val="Normal"/>
        <w:tabs>
          <w:tab w:val="clear" w:pos="720"/>
          <w:tab w:val="left" w:pos="0" w:leader="none"/>
          <w:tab w:val="left" w:pos="567" w:leader="none"/>
          <w:tab w:val="left" w:pos="1440" w:leader="none"/>
        </w:tabs>
        <w:jc w:val="both"/>
        <w:rPr>
          <w:sz w:val="22"/>
          <w:szCs w:val="22"/>
        </w:rPr>
      </w:pPr>
      <w:r>
        <w:rPr>
          <w:sz w:val="22"/>
          <w:szCs w:val="22"/>
        </w:rPr>
        <w:t xml:space="preserve">    </w:t>
      </w:r>
      <w:r>
        <w:rPr>
          <w:sz w:val="22"/>
          <w:szCs w:val="22"/>
        </w:rPr>
        <w:t xml:space="preserve">2.5.1 Платеж в размере 100% (сто процентов) стоимости поставленной Продукции производится Покупателем в срок, не превышающий 7 (семи) рабочих дней с даты подписания Товарной накладной по форме ТОРГ-12 или Универсального передаточного документа (УПД) на поставленную Продукцию, при условии получения Покупателем счета, выставленного </w:t>
      </w:r>
    </w:p>
    <w:p>
      <w:pPr>
        <w:pStyle w:val="Normal"/>
        <w:tabs>
          <w:tab w:val="clear" w:pos="720"/>
          <w:tab w:val="left" w:pos="0" w:leader="none"/>
          <w:tab w:val="left" w:pos="567" w:leader="none"/>
          <w:tab w:val="left" w:pos="1440" w:leader="none"/>
        </w:tabs>
        <w:jc w:val="both"/>
        <w:rPr>
          <w:sz w:val="22"/>
          <w:szCs w:val="22"/>
        </w:rPr>
      </w:pPr>
      <w:r>
        <w:rPr>
          <w:sz w:val="22"/>
          <w:szCs w:val="22"/>
        </w:rPr>
      </w:r>
    </w:p>
    <w:p>
      <w:pPr>
        <w:pStyle w:val="Normal"/>
        <w:tabs>
          <w:tab w:val="clear" w:pos="720"/>
          <w:tab w:val="left" w:pos="0" w:leader="none"/>
          <w:tab w:val="left" w:pos="567" w:leader="none"/>
          <w:tab w:val="left" w:pos="1440" w:leader="none"/>
        </w:tabs>
        <w:jc w:val="both"/>
        <w:rPr>
          <w:sz w:val="22"/>
          <w:szCs w:val="22"/>
        </w:rPr>
      </w:pPr>
      <w:r>
        <w:rPr>
          <w:sz w:val="22"/>
          <w:szCs w:val="22"/>
        </w:rPr>
        <w:t>Поставщиком и с учетом п. 2.6 Договора.</w:t>
        <w:tab/>
      </w:r>
    </w:p>
    <w:p>
      <w:pPr>
        <w:pStyle w:val="Normal"/>
        <w:shd w:val="clear" w:color="auto" w:fill="FFFFFF"/>
        <w:tabs>
          <w:tab w:val="clear" w:pos="720"/>
          <w:tab w:val="left" w:pos="0" w:leader="none"/>
          <w:tab w:val="left" w:pos="567" w:leader="none"/>
          <w:tab w:val="left" w:pos="1440" w:leader="none"/>
        </w:tabs>
        <w:ind w:firstLine="567"/>
        <w:jc w:val="both"/>
        <w:rPr>
          <w:color w:val="FF0000"/>
          <w:sz w:val="22"/>
          <w:szCs w:val="22"/>
        </w:rPr>
      </w:pPr>
      <w:r>
        <w:rPr>
          <w:sz w:val="22"/>
          <w:szCs w:val="22"/>
        </w:rPr>
        <w:t>2.6. 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Поставщиком независимо от его фактического вручения Покупателю.</w:t>
      </w:r>
    </w:p>
    <w:p>
      <w:pPr>
        <w:pStyle w:val="Normal"/>
        <w:widowControl w:val="false"/>
        <w:numPr>
          <w:ilvl w:val="1"/>
          <w:numId w:val="14"/>
        </w:numPr>
        <w:shd w:val="clear" w:color="auto" w:fill="FFFFFF"/>
        <w:tabs>
          <w:tab w:val="clear" w:pos="720"/>
          <w:tab w:val="left" w:pos="1134" w:leader="none"/>
          <w:tab w:val="left" w:pos="1276" w:leader="none"/>
        </w:tabs>
        <w:ind w:firstLine="567" w:left="0"/>
        <w:jc w:val="both"/>
        <w:rPr>
          <w:sz w:val="22"/>
          <w:szCs w:val="22"/>
        </w:rPr>
      </w:pPr>
      <w:r>
        <w:rPr>
          <w:sz w:val="22"/>
          <w:szCs w:val="22"/>
        </w:rPr>
        <w:t>Оплата производится в валюте Российской Федерации на расчетный счет Поставщика, указанный в Договоре. Обязательство Покупателя по осуществлению платежа считается исполненным с момента списания денежных средств с расчетного счета Покупателя.</w:t>
      </w:r>
    </w:p>
    <w:p>
      <w:pPr>
        <w:pStyle w:val="ListParagraph"/>
        <w:numPr>
          <w:ilvl w:val="1"/>
          <w:numId w:val="14"/>
        </w:numPr>
        <w:shd w:val="clear" w:color="auto" w:fill="FFFFFF"/>
        <w:tabs>
          <w:tab w:val="clear" w:pos="720"/>
          <w:tab w:val="left" w:pos="480" w:leader="none"/>
          <w:tab w:val="left" w:pos="851" w:leader="none"/>
          <w:tab w:val="left" w:pos="993" w:leader="none"/>
        </w:tabs>
        <w:spacing w:before="0" w:after="0"/>
        <w:ind w:firstLine="567" w:left="0"/>
        <w:contextualSpacing w:val="false"/>
        <w:jc w:val="both"/>
        <w:rPr>
          <w:sz w:val="22"/>
          <w:szCs w:val="22"/>
        </w:rPr>
      </w:pPr>
      <w:r>
        <w:rPr>
          <w:sz w:val="22"/>
          <w:szCs w:val="22"/>
        </w:rPr>
        <w:t>По соглашению Сторон возможны иные формы расчетов, не противоречащие законодательству Российской Федерации.</w:t>
      </w:r>
    </w:p>
    <w:p>
      <w:pPr>
        <w:pStyle w:val="Normal"/>
        <w:widowControl w:val="false"/>
        <w:numPr>
          <w:ilvl w:val="1"/>
          <w:numId w:val="14"/>
        </w:numPr>
        <w:shd w:val="clear" w:color="auto" w:fill="FFFFFF"/>
        <w:tabs>
          <w:tab w:val="clear" w:pos="720"/>
          <w:tab w:val="left" w:pos="1134" w:leader="none"/>
          <w:tab w:val="left" w:pos="1283" w:leader="none"/>
        </w:tabs>
        <w:ind w:firstLine="567" w:left="0"/>
        <w:jc w:val="both"/>
        <w:rPr>
          <w:sz w:val="22"/>
          <w:szCs w:val="22"/>
        </w:rPr>
      </w:pPr>
      <w:r>
        <w:rPr>
          <w:sz w:val="22"/>
          <w:szCs w:val="22"/>
        </w:rPr>
        <w:t>Поставщик обязан представить Покупателю счета-фактуры, выставленные в сроки и оформленные в порядке, установленном законодательством Российской Федерации. В случае нарушения Поставщиком требований к оформлению счетов-фактур, он обязан произвести замену счета-фактуры в течение 3 (трех) рабочих дней с даты получения соответствующего письменного требования Покупателя.</w:t>
      </w:r>
    </w:p>
    <w:p>
      <w:pPr>
        <w:pStyle w:val="ListParagraph"/>
        <w:numPr>
          <w:ilvl w:val="1"/>
          <w:numId w:val="14"/>
        </w:numPr>
        <w:tabs>
          <w:tab w:val="clear" w:pos="720"/>
          <w:tab w:val="left" w:pos="851" w:leader="none"/>
          <w:tab w:val="left" w:pos="993" w:leader="none"/>
        </w:tabs>
        <w:spacing w:before="0" w:after="0"/>
        <w:ind w:firstLine="567" w:left="0"/>
        <w:contextualSpacing w:val="false"/>
        <w:jc w:val="both"/>
        <w:rPr>
          <w:sz w:val="22"/>
          <w:szCs w:val="22"/>
        </w:rPr>
      </w:pPr>
      <w:r>
        <w:rPr>
          <w:sz w:val="22"/>
          <w:szCs w:val="22"/>
        </w:rPr>
        <w:t xml:space="preserve">Если имеются нарушения со стороны Поставщика и Покупатель выставил ему счет на оплату неустойки, то Покупатель вправе удержать платеж в части или полностью, не доплатить Поставщику на сумму неустойки. </w:t>
      </w:r>
    </w:p>
    <w:p>
      <w:pPr>
        <w:pStyle w:val="ListParagraph"/>
        <w:numPr>
          <w:ilvl w:val="1"/>
          <w:numId w:val="14"/>
        </w:numPr>
        <w:tabs>
          <w:tab w:val="clear" w:pos="720"/>
          <w:tab w:val="left" w:pos="851" w:leader="none"/>
          <w:tab w:val="left" w:pos="993" w:leader="none"/>
        </w:tabs>
        <w:spacing w:before="0" w:after="0"/>
        <w:ind w:firstLine="567" w:left="0"/>
        <w:contextualSpacing w:val="false"/>
        <w:jc w:val="both"/>
        <w:rPr>
          <w:sz w:val="22"/>
          <w:szCs w:val="22"/>
        </w:rPr>
      </w:pPr>
      <w:r>
        <w:rPr>
          <w:sz w:val="22"/>
          <w:szCs w:val="22"/>
        </w:rPr>
        <w:t xml:space="preserve">Любые и все дополнительные расходы, и издержки, понесенные Поставщиком в результате задержки со стороны Покупателя на единовременный период до 30 (Тридцати) дней или совокупной длительностью до 90 (Девяноста) дней, считаются включенными в цену Договора, даже если задержка произошла по вине Покупателя. Просрочка исполнения Покупателем своих обязательств по настоящему Договору на единовременный период до 30 (Тридцати) дней или совокупной длительностью до 90 (Девяноста) дней не предоставляет Поставщику право на соразмерное продление срока исполнения своих обязательств по настоящему Договору. </w:t>
      </w:r>
    </w:p>
    <w:p>
      <w:pPr>
        <w:pStyle w:val="Normal"/>
        <w:tabs>
          <w:tab w:val="clear" w:pos="720"/>
          <w:tab w:val="left" w:pos="0" w:leader="none"/>
          <w:tab w:val="left" w:pos="851" w:leader="none"/>
          <w:tab w:val="left" w:pos="993" w:leader="none"/>
        </w:tabs>
        <w:ind w:firstLine="567"/>
        <w:jc w:val="both"/>
        <w:rPr>
          <w:sz w:val="22"/>
          <w:szCs w:val="22"/>
        </w:rPr>
      </w:pPr>
      <w:r>
        <w:rPr>
          <w:sz w:val="22"/>
          <w:szCs w:val="22"/>
        </w:rPr>
        <w:t>Поставщик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подтвержденных дополнительных расходов, обоснованно понесенных им в результате любой задержки, исключительно при наличии одновременно следующих условий:</w:t>
      </w:r>
    </w:p>
    <w:p>
      <w:pPr>
        <w:pStyle w:val="Normal"/>
        <w:numPr>
          <w:ilvl w:val="0"/>
          <w:numId w:val="6"/>
        </w:numPr>
        <w:tabs>
          <w:tab w:val="clear" w:pos="720"/>
          <w:tab w:val="left" w:pos="0" w:leader="none"/>
          <w:tab w:val="left" w:pos="851" w:leader="none"/>
          <w:tab w:val="left" w:pos="993" w:leader="none"/>
        </w:tabs>
        <w:ind w:firstLine="567" w:left="0"/>
        <w:jc w:val="both"/>
        <w:rPr>
          <w:sz w:val="22"/>
          <w:szCs w:val="22"/>
        </w:rPr>
      </w:pPr>
      <w:r>
        <w:rPr>
          <w:sz w:val="22"/>
          <w:szCs w:val="22"/>
        </w:rPr>
        <w:t>срок задержки составляет единовременно 31 (Тридцать один) день или в совокупности 91 (Девяносто один) день и более;</w:t>
      </w:r>
    </w:p>
    <w:p>
      <w:pPr>
        <w:pStyle w:val="Normal"/>
        <w:numPr>
          <w:ilvl w:val="0"/>
          <w:numId w:val="6"/>
        </w:numPr>
        <w:tabs>
          <w:tab w:val="clear" w:pos="720"/>
          <w:tab w:val="left" w:pos="0" w:leader="none"/>
          <w:tab w:val="left" w:pos="851" w:leader="none"/>
          <w:tab w:val="left" w:pos="993" w:leader="none"/>
        </w:tabs>
        <w:ind w:firstLine="567" w:left="0"/>
        <w:jc w:val="both"/>
        <w:rPr>
          <w:sz w:val="22"/>
          <w:szCs w:val="22"/>
        </w:rPr>
      </w:pPr>
      <w:r>
        <w:rPr>
          <w:sz w:val="22"/>
          <w:szCs w:val="22"/>
        </w:rPr>
        <w:t>такие задержки происходят по вине Покупателя;</w:t>
      </w:r>
    </w:p>
    <w:p>
      <w:pPr>
        <w:pStyle w:val="Normal"/>
        <w:numPr>
          <w:ilvl w:val="0"/>
          <w:numId w:val="6"/>
        </w:numPr>
        <w:tabs>
          <w:tab w:val="clear" w:pos="720"/>
          <w:tab w:val="left" w:pos="0" w:leader="none"/>
          <w:tab w:val="left" w:pos="851" w:leader="none"/>
          <w:tab w:val="left" w:pos="993" w:leader="none"/>
        </w:tabs>
        <w:ind w:firstLine="567" w:left="0"/>
        <w:jc w:val="both"/>
        <w:rPr>
          <w:sz w:val="22"/>
          <w:szCs w:val="22"/>
        </w:rPr>
      </w:pPr>
      <w:r>
        <w:rPr>
          <w:sz w:val="22"/>
          <w:szCs w:val="22"/>
        </w:rPr>
        <w:t>Поставщик в каждом отдельном случае, включая первоначальный 30-дневный срок задержки, надлежащим образом и своевременно уведомляет Покупателя о любых таких задержках, путем направления письменного уведомления;</w:t>
      </w:r>
    </w:p>
    <w:p>
      <w:pPr>
        <w:pStyle w:val="Normal"/>
        <w:numPr>
          <w:ilvl w:val="0"/>
          <w:numId w:val="6"/>
        </w:numPr>
        <w:tabs>
          <w:tab w:val="clear" w:pos="720"/>
          <w:tab w:val="left" w:pos="0" w:leader="none"/>
          <w:tab w:val="left" w:pos="851" w:leader="none"/>
          <w:tab w:val="left" w:pos="993" w:leader="none"/>
        </w:tabs>
        <w:ind w:firstLine="567" w:left="0"/>
        <w:jc w:val="both"/>
        <w:rPr>
          <w:sz w:val="22"/>
          <w:szCs w:val="22"/>
        </w:rPr>
      </w:pPr>
      <w:r>
        <w:rPr>
          <w:sz w:val="22"/>
          <w:szCs w:val="22"/>
        </w:rPr>
        <w:t>исполнение Поставщиком своего обязательства обусловлено исполнением обязательств Покупателем согласно Договору (встречное обязательство);</w:t>
      </w:r>
    </w:p>
    <w:p>
      <w:pPr>
        <w:pStyle w:val="Normal"/>
        <w:numPr>
          <w:ilvl w:val="0"/>
          <w:numId w:val="6"/>
        </w:numPr>
        <w:tabs>
          <w:tab w:val="clear" w:pos="720"/>
          <w:tab w:val="left" w:pos="0" w:leader="none"/>
          <w:tab w:val="left" w:pos="851" w:leader="none"/>
          <w:tab w:val="left" w:pos="993" w:leader="none"/>
        </w:tabs>
        <w:ind w:firstLine="567" w:left="0"/>
        <w:jc w:val="both"/>
        <w:rPr>
          <w:sz w:val="22"/>
          <w:szCs w:val="22"/>
        </w:rPr>
      </w:pPr>
      <w:r>
        <w:rPr>
          <w:sz w:val="22"/>
          <w:szCs w:val="22"/>
        </w:rPr>
        <w:t>обязательство Покупателя, по которому произошла задержка, не является денежным.</w:t>
      </w:r>
    </w:p>
    <w:p>
      <w:pPr>
        <w:pStyle w:val="ListParagraph"/>
        <w:numPr>
          <w:ilvl w:val="1"/>
          <w:numId w:val="14"/>
        </w:numPr>
        <w:tabs>
          <w:tab w:val="clear" w:pos="720"/>
          <w:tab w:val="left" w:pos="851" w:leader="none"/>
          <w:tab w:val="left" w:pos="993" w:leader="none"/>
        </w:tabs>
        <w:spacing w:before="0" w:after="0"/>
        <w:ind w:firstLine="567" w:left="0"/>
        <w:contextualSpacing w:val="false"/>
        <w:jc w:val="both"/>
        <w:rPr>
          <w:sz w:val="22"/>
          <w:szCs w:val="22"/>
        </w:rPr>
      </w:pPr>
      <w:r>
        <w:rPr>
          <w:sz w:val="22"/>
          <w:szCs w:val="22"/>
        </w:rPr>
        <w:t>Индексация Цены Договора не допускается.</w:t>
      </w:r>
    </w:p>
    <w:p>
      <w:pPr>
        <w:pStyle w:val="ListParagraph"/>
        <w:tabs>
          <w:tab w:val="clear" w:pos="720"/>
          <w:tab w:val="left" w:pos="851" w:leader="none"/>
          <w:tab w:val="left" w:pos="5321" w:leader="none"/>
        </w:tabs>
        <w:spacing w:before="0" w:after="0"/>
        <w:ind w:firstLine="567" w:left="0"/>
        <w:contextualSpacing w:val="false"/>
        <w:jc w:val="both"/>
        <w:rPr>
          <w:sz w:val="22"/>
          <w:szCs w:val="22"/>
        </w:rPr>
      </w:pPr>
      <w:r>
        <w:rPr>
          <w:sz w:val="22"/>
          <w:szCs w:val="22"/>
        </w:rPr>
        <w:t>2.13.  Изменение стоимости Договора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tabs>
          <w:tab w:val="clear" w:pos="720"/>
          <w:tab w:val="left" w:pos="851" w:leader="none"/>
          <w:tab w:val="left" w:pos="5321" w:leader="none"/>
        </w:tabs>
        <w:spacing w:before="0" w:after="0"/>
        <w:ind w:firstLine="567" w:left="0"/>
        <w:contextualSpacing w:val="false"/>
        <w:jc w:val="both"/>
        <w:rPr>
          <w:sz w:val="22"/>
          <w:szCs w:val="22"/>
        </w:rPr>
      </w:pPr>
      <w:r>
        <w:rPr>
          <w:sz w:val="22"/>
          <w:szCs w:val="22"/>
        </w:rPr>
      </w:r>
    </w:p>
    <w:p>
      <w:pPr>
        <w:pStyle w:val="Normal"/>
        <w:widowControl w:val="false"/>
        <w:shd w:val="clear" w:color="auto" w:fill="FFFFFF"/>
        <w:tabs>
          <w:tab w:val="clear" w:pos="720"/>
          <w:tab w:val="left" w:pos="0" w:leader="none"/>
        </w:tabs>
        <w:jc w:val="center"/>
        <w:rPr>
          <w:b/>
          <w:sz w:val="22"/>
          <w:szCs w:val="22"/>
        </w:rPr>
      </w:pPr>
      <w:r>
        <w:rPr>
          <w:b/>
          <w:sz w:val="22"/>
          <w:szCs w:val="22"/>
        </w:rPr>
        <w:t>3. Качество, количество и комплектность</w:t>
      </w:r>
    </w:p>
    <w:p>
      <w:pPr>
        <w:pStyle w:val="Normal"/>
        <w:widowControl w:val="false"/>
        <w:shd w:val="clear" w:color="auto" w:fill="FFFFFF"/>
        <w:ind w:left="567"/>
        <w:rPr>
          <w:b/>
          <w:sz w:val="22"/>
          <w:szCs w:val="22"/>
        </w:rPr>
      </w:pPr>
      <w:r>
        <w:rPr>
          <w:b/>
          <w:sz w:val="22"/>
          <w:szCs w:val="22"/>
        </w:rPr>
      </w:r>
    </w:p>
    <w:p>
      <w:pPr>
        <w:pStyle w:val="Normal"/>
        <w:widowControl w:val="false"/>
        <w:numPr>
          <w:ilvl w:val="1"/>
          <w:numId w:val="3"/>
        </w:numPr>
        <w:shd w:val="clear" w:color="auto" w:fill="FFFFFF"/>
        <w:tabs>
          <w:tab w:val="clear" w:pos="720"/>
          <w:tab w:val="left" w:pos="1134" w:leader="none"/>
          <w:tab w:val="left" w:pos="1276" w:leader="none"/>
        </w:tabs>
        <w:ind w:firstLine="567" w:left="0"/>
        <w:jc w:val="both"/>
        <w:rPr>
          <w:sz w:val="22"/>
          <w:szCs w:val="22"/>
        </w:rPr>
      </w:pPr>
      <w:r>
        <w:rPr>
          <w:sz w:val="22"/>
          <w:szCs w:val="22"/>
        </w:rPr>
        <w:t>Продукция должна быть новой, произведена не ранее 4 квартала 2026 года. Поставщик гарантирует, что Продукция принадлежит ему на законном основании, в споре, залоге или под арестом не состоит, правами третьих лиц не обременена.</w:t>
      </w:r>
    </w:p>
    <w:p>
      <w:pPr>
        <w:pStyle w:val="Normal"/>
        <w:widowControl w:val="false"/>
        <w:numPr>
          <w:ilvl w:val="1"/>
          <w:numId w:val="3"/>
        </w:numPr>
        <w:shd w:val="clear" w:color="auto" w:fill="FFFFFF"/>
        <w:tabs>
          <w:tab w:val="clear" w:pos="720"/>
          <w:tab w:val="left" w:pos="1134" w:leader="none"/>
          <w:tab w:val="left" w:pos="1276" w:leader="none"/>
        </w:tabs>
        <w:ind w:firstLine="567" w:left="0"/>
        <w:jc w:val="both"/>
        <w:rPr>
          <w:sz w:val="22"/>
          <w:szCs w:val="22"/>
        </w:rPr>
      </w:pPr>
      <w:r>
        <w:rPr>
          <w:sz w:val="22"/>
          <w:szCs w:val="22"/>
        </w:rPr>
        <w:t>Качество, комплектность, количество и ассортимент поставляемой Продукции должны соответствовать требованиям Покупателя, Договора, Спецификации, государственным стандартам (техническим регламентам), техническим условиям и другой нормативно-технической документации.</w:t>
      </w:r>
    </w:p>
    <w:p>
      <w:pPr>
        <w:pStyle w:val="Normal"/>
        <w:widowControl w:val="false"/>
        <w:numPr>
          <w:ilvl w:val="1"/>
          <w:numId w:val="3"/>
        </w:numPr>
        <w:shd w:val="clear" w:color="auto" w:fill="FFFFFF"/>
        <w:tabs>
          <w:tab w:val="clear" w:pos="720"/>
          <w:tab w:val="left" w:pos="1134" w:leader="none"/>
          <w:tab w:val="left" w:pos="1276" w:leader="none"/>
        </w:tabs>
        <w:ind w:firstLine="567" w:left="0"/>
        <w:jc w:val="both"/>
        <w:rPr>
          <w:sz w:val="22"/>
          <w:szCs w:val="22"/>
        </w:rPr>
      </w:pPr>
      <w:r>
        <w:rPr>
          <w:sz w:val="22"/>
          <w:szCs w:val="22"/>
        </w:rPr>
        <w:t>Поставщик обязан одновременно с передачей Продукции передать Покупателю относящиеся к ней документы, оформленные надлежащим образом:</w:t>
      </w:r>
    </w:p>
    <w:p>
      <w:pPr>
        <w:pStyle w:val="Normal"/>
        <w:widowControl w:val="false"/>
        <w:shd w:val="clear" w:color="auto" w:fill="FFFFFF"/>
        <w:tabs>
          <w:tab w:val="clear" w:pos="720"/>
          <w:tab w:val="left" w:pos="900" w:leader="none"/>
          <w:tab w:val="left" w:pos="1134" w:leader="none"/>
        </w:tabs>
        <w:ind w:firstLine="567"/>
        <w:jc w:val="both"/>
        <w:rPr>
          <w:sz w:val="22"/>
          <w:szCs w:val="22"/>
        </w:rPr>
      </w:pPr>
      <w:r>
        <w:rPr>
          <w:sz w:val="22"/>
          <w:szCs w:val="22"/>
        </w:rPr>
        <w:t>3.3.1. Сертификат качества, Сертификат соответствия, Сертификат о происхождении Продукции,</w:t>
      </w:r>
    </w:p>
    <w:p>
      <w:pPr>
        <w:pStyle w:val="Normal"/>
        <w:widowControl w:val="false"/>
        <w:shd w:val="clear" w:color="auto" w:fill="FFFFFF"/>
        <w:tabs>
          <w:tab w:val="clear" w:pos="720"/>
          <w:tab w:val="left" w:pos="900" w:leader="none"/>
          <w:tab w:val="left" w:pos="1134" w:leader="none"/>
        </w:tabs>
        <w:ind w:firstLine="567"/>
        <w:jc w:val="both"/>
        <w:rPr>
          <w:sz w:val="22"/>
          <w:szCs w:val="22"/>
        </w:rPr>
      </w:pPr>
      <w:r>
        <w:rPr>
          <w:sz w:val="22"/>
          <w:szCs w:val="22"/>
        </w:rPr>
        <w:t>3.3.2. Обязательные первичные документы:</w:t>
      </w:r>
    </w:p>
    <w:p>
      <w:pPr>
        <w:pStyle w:val="Normal"/>
        <w:widowControl w:val="false"/>
        <w:shd w:val="clear" w:color="auto" w:fill="FFFFFF"/>
        <w:tabs>
          <w:tab w:val="left" w:pos="720" w:leader="none"/>
          <w:tab w:val="left" w:pos="1134" w:leader="none"/>
          <w:tab w:val="left" w:pos="1276" w:leader="none"/>
        </w:tabs>
        <w:ind w:firstLine="567"/>
        <w:jc w:val="both"/>
        <w:rPr>
          <w:sz w:val="22"/>
          <w:szCs w:val="22"/>
        </w:rPr>
      </w:pPr>
      <w:r>
        <w:rPr>
          <w:sz w:val="22"/>
          <w:szCs w:val="22"/>
        </w:rPr>
        <w:t>3.3.2.1. Товарно-транспортную накладную формы № 1-Т (для учета товарно-материальных ценностей и расчетов за их перевозки), или Железнодорожную накладную (форма № ГУ-27), или Транспортную накладную (для учета товарно-материальных ценностей и расчетов за их перевозки) по форме согласно Приложению 4 к Правилам перевозки грузов автомобильным транспортом (в ред. Постановлений Правительства РФ от 30.12.2011 г. № 1208, от 03.12.2015 г. № 1311, от 12.12.2017 г. № 1529) в 2 экз.;</w:t>
      </w:r>
    </w:p>
    <w:p>
      <w:pPr>
        <w:pStyle w:val="Normal"/>
        <w:widowControl w:val="false"/>
        <w:shd w:val="clear" w:color="auto" w:fill="FFFFFF"/>
        <w:tabs>
          <w:tab w:val="left" w:pos="720" w:leader="none"/>
          <w:tab w:val="left" w:pos="1134" w:leader="none"/>
          <w:tab w:val="left" w:pos="1276" w:leader="none"/>
        </w:tabs>
        <w:ind w:firstLine="567"/>
        <w:jc w:val="both"/>
        <w:rPr>
          <w:sz w:val="22"/>
          <w:szCs w:val="22"/>
        </w:rPr>
      </w:pPr>
      <w:r>
        <w:rPr>
          <w:sz w:val="22"/>
          <w:szCs w:val="22"/>
        </w:rPr>
        <w:t>3.3.2.2. Товарную накладную по форме ТОРГ-12 или Универсальный передаточный документ (УПД) в 2 экз.</w:t>
      </w:r>
    </w:p>
    <w:p>
      <w:pPr>
        <w:pStyle w:val="Normal"/>
        <w:widowControl w:val="false"/>
        <w:numPr>
          <w:ilvl w:val="1"/>
          <w:numId w:val="3"/>
        </w:numPr>
        <w:shd w:val="clear" w:color="auto" w:fill="FFFFFF"/>
        <w:tabs>
          <w:tab w:val="clear" w:pos="720"/>
          <w:tab w:val="left" w:pos="1134" w:leader="none"/>
          <w:tab w:val="left" w:pos="1276" w:leader="none"/>
        </w:tabs>
        <w:ind w:firstLine="567" w:left="0"/>
        <w:jc w:val="both"/>
        <w:rPr>
          <w:sz w:val="22"/>
          <w:szCs w:val="22"/>
        </w:rPr>
      </w:pPr>
      <w:r>
        <w:rPr>
          <w:sz w:val="22"/>
          <w:szCs w:val="22"/>
        </w:rPr>
        <w:t xml:space="preserve">В случае отсутствия указанных в п. 3.3 Договора документов, Покупатель уведомляет об этом Поставщика и прекращает приемку Продукции до предоставления недостающих документов. Поставщик обязан в течение 3 (трех) календарных дней с даты направления указанного уведомления Покупателя представить недостающие документы, что не освобождает Поставщика от ответственности, предусмотренной условиями Договора за нарушение срока поставки. </w:t>
      </w:r>
    </w:p>
    <w:p>
      <w:pPr>
        <w:pStyle w:val="Normal"/>
        <w:widowControl w:val="false"/>
        <w:numPr>
          <w:ilvl w:val="1"/>
          <w:numId w:val="3"/>
        </w:numPr>
        <w:shd w:val="clear" w:color="auto" w:fill="FFFFFF"/>
        <w:tabs>
          <w:tab w:val="clear" w:pos="720"/>
          <w:tab w:val="left" w:pos="1134" w:leader="none"/>
          <w:tab w:val="left" w:pos="1276" w:leader="none"/>
        </w:tabs>
        <w:ind w:firstLine="567" w:left="0"/>
        <w:jc w:val="both"/>
        <w:rPr>
          <w:sz w:val="22"/>
          <w:szCs w:val="22"/>
        </w:rPr>
      </w:pPr>
      <w:r>
        <w:rPr>
          <w:sz w:val="22"/>
          <w:szCs w:val="22"/>
        </w:rPr>
        <w:t xml:space="preserve">Приемка Продукции по количеству производится в день поставки согласно транспортным, сопроводительным и другим документам Поставщика, представленным в соответствии с п. 3.3. Договора. По результатам проверки Покупатель подписывает документ, представленный Поставщиком </w:t>
      </w:r>
      <w:r>
        <w:rPr>
          <w:color w:val="000000"/>
          <w:sz w:val="22"/>
          <w:szCs w:val="22"/>
        </w:rPr>
        <w:t>в соответствии с п. 3.3.2.1.</w:t>
      </w:r>
    </w:p>
    <w:p>
      <w:pPr>
        <w:pStyle w:val="Normal"/>
        <w:widowControl w:val="false"/>
        <w:numPr>
          <w:ilvl w:val="1"/>
          <w:numId w:val="3"/>
        </w:numPr>
        <w:shd w:val="clear" w:color="auto" w:fill="FFFFFF"/>
        <w:tabs>
          <w:tab w:val="clear" w:pos="720"/>
          <w:tab w:val="left" w:pos="1134" w:leader="none"/>
          <w:tab w:val="left" w:pos="1276" w:leader="none"/>
        </w:tabs>
        <w:ind w:firstLine="567" w:left="0"/>
        <w:jc w:val="both"/>
        <w:rPr>
          <w:sz w:val="22"/>
          <w:szCs w:val="22"/>
        </w:rPr>
      </w:pPr>
      <w:r>
        <w:rPr>
          <w:sz w:val="22"/>
          <w:szCs w:val="22"/>
        </w:rPr>
        <w:t>При некомплектности, недопоставке, отсутствии необходимых принадлежностей, относящихся к Продукции, Покупатель вправе, с одновременным направлением письменного уведомления Продавцу, прекратить приемку Продукции до устранения нарушений. Поставщик обязан в течение 3 (трех) календарных дней с указанной даты представить необходимые комплектующие или принадлежности, что не освобождает Поставщика от ответственности за убытки, причиненные нарушением срока поставки.</w:t>
      </w:r>
    </w:p>
    <w:p>
      <w:pPr>
        <w:pStyle w:val="Normal"/>
        <w:widowControl w:val="false"/>
        <w:numPr>
          <w:ilvl w:val="1"/>
          <w:numId w:val="3"/>
        </w:numPr>
        <w:shd w:val="clear" w:color="auto" w:fill="FFFFFF"/>
        <w:tabs>
          <w:tab w:val="clear" w:pos="720"/>
          <w:tab w:val="left" w:pos="1134" w:leader="none"/>
          <w:tab w:val="left" w:pos="1276" w:leader="none"/>
        </w:tabs>
        <w:ind w:firstLine="567" w:left="0"/>
        <w:jc w:val="both"/>
        <w:rPr>
          <w:sz w:val="22"/>
          <w:szCs w:val="22"/>
        </w:rPr>
      </w:pPr>
      <w:r>
        <w:rPr>
          <w:sz w:val="22"/>
          <w:szCs w:val="22"/>
        </w:rPr>
        <w:t xml:space="preserve">Приемка Продукции по качеству, с вскрытием упаковки, производится Покупателем в течение 10 (десяти) рабочих дней с даты подписания </w:t>
      </w:r>
      <w:r>
        <w:rPr>
          <w:color w:val="000000"/>
          <w:sz w:val="22"/>
          <w:szCs w:val="22"/>
        </w:rPr>
        <w:t>документов, указанных в п. 3.3.2.1</w:t>
      </w:r>
      <w:r>
        <w:rPr>
          <w:sz w:val="22"/>
          <w:szCs w:val="22"/>
        </w:rPr>
        <w:t xml:space="preserve">. В случае отсутствия замечаний Покупатель подписывает </w:t>
      </w:r>
      <w:r>
        <w:rPr>
          <w:color w:val="000000"/>
          <w:sz w:val="22"/>
          <w:szCs w:val="22"/>
        </w:rPr>
        <w:t>товарную накладную унифицированной формы ТОРГ-12 или УПД.</w:t>
      </w:r>
    </w:p>
    <w:p>
      <w:pPr>
        <w:pStyle w:val="Normal"/>
        <w:widowControl w:val="false"/>
        <w:numPr>
          <w:ilvl w:val="1"/>
          <w:numId w:val="3"/>
        </w:numPr>
        <w:shd w:val="clear" w:color="auto" w:fill="FFFFFF"/>
        <w:tabs>
          <w:tab w:val="clear" w:pos="720"/>
          <w:tab w:val="left" w:pos="1134" w:leader="none"/>
          <w:tab w:val="left" w:pos="1276" w:leader="none"/>
        </w:tabs>
        <w:ind w:firstLine="567" w:left="0"/>
        <w:jc w:val="both"/>
        <w:rPr>
          <w:sz w:val="22"/>
          <w:szCs w:val="22"/>
        </w:rPr>
      </w:pPr>
      <w:r>
        <w:rPr>
          <w:sz w:val="22"/>
          <w:szCs w:val="22"/>
        </w:rPr>
        <w:t>В случае обнаружения недостатков (дефектов) Продукции, Покупатель незамедлительно прекращает приемку и направляет Поставщику письменное уведомление об обнаруженных недостатках с указанием даты и времени совместной приемки. Поставщик обязан обеспечить присутствие в указанное время своих представителей, уполномоченных доверенностью на проведение совместной приемки и подписание Акта о выявленных недостатках. В Акте о выявленных недостатках Сторонами указываются, в том числе, сроки и способ их устранения (возврат, замена или ремонт Продукции). Покупатель вправе не производить любые платежи, предусмотренные Договором, до исполнения Поставщиком своих обязательств по Договору.</w:t>
      </w:r>
    </w:p>
    <w:p>
      <w:pPr>
        <w:pStyle w:val="Normal"/>
        <w:widowControl w:val="false"/>
        <w:numPr>
          <w:ilvl w:val="1"/>
          <w:numId w:val="3"/>
        </w:numPr>
        <w:shd w:val="clear" w:color="auto" w:fill="FFFFFF"/>
        <w:tabs>
          <w:tab w:val="clear" w:pos="720"/>
          <w:tab w:val="left" w:pos="1134" w:leader="none"/>
          <w:tab w:val="left" w:pos="1276" w:leader="none"/>
        </w:tabs>
        <w:ind w:firstLine="567" w:left="0"/>
        <w:jc w:val="both"/>
        <w:rPr>
          <w:sz w:val="22"/>
          <w:szCs w:val="22"/>
        </w:rPr>
      </w:pPr>
      <w:r>
        <w:rPr>
          <w:sz w:val="22"/>
          <w:szCs w:val="22"/>
        </w:rPr>
        <w:t>При невыполнении Поставщиком требований пункта 3.8. Договора, Акт о 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w:t>
      </w:r>
    </w:p>
    <w:p>
      <w:pPr>
        <w:pStyle w:val="Normal"/>
        <w:widowControl w:val="false"/>
        <w:numPr>
          <w:ilvl w:val="1"/>
          <w:numId w:val="3"/>
        </w:numPr>
        <w:shd w:val="clear" w:color="auto" w:fill="FFFFFF"/>
        <w:tabs>
          <w:tab w:val="clear" w:pos="720"/>
          <w:tab w:val="left" w:pos="1134" w:leader="none"/>
          <w:tab w:val="left" w:pos="1276" w:leader="none"/>
        </w:tabs>
        <w:ind w:firstLine="567" w:left="0"/>
        <w:jc w:val="both"/>
        <w:rPr>
          <w:sz w:val="22"/>
          <w:szCs w:val="22"/>
        </w:rPr>
      </w:pPr>
      <w:r>
        <w:rPr>
          <w:sz w:val="22"/>
          <w:szCs w:val="22"/>
        </w:rPr>
        <w:t>В случае, когда Продукция, комплектующие, принадлежности или документы, относящиеся к Продукции, не переданы Поставщиком в сроки, указанные в п. 3.4, 3.6 Договора, Покупатель вправе отказаться от Продукции, а Поставщик обязан не позднее 10 (Десяти) календарных дней с даты уведомления его Покупателем об отказе от Продукции возместить понесенные убытки, в том числе расходы, связанные с хранением Продукции.</w:t>
      </w:r>
    </w:p>
    <w:p>
      <w:pPr>
        <w:pStyle w:val="Normal"/>
        <w:widowControl w:val="false"/>
        <w:numPr>
          <w:ilvl w:val="1"/>
          <w:numId w:val="3"/>
        </w:numPr>
        <w:shd w:val="clear" w:color="auto" w:fill="FFFFFF"/>
        <w:tabs>
          <w:tab w:val="clear" w:pos="720"/>
          <w:tab w:val="left" w:pos="1134" w:leader="none"/>
          <w:tab w:val="left" w:pos="1276" w:leader="none"/>
        </w:tabs>
        <w:ind w:firstLine="567" w:left="0"/>
        <w:jc w:val="both"/>
        <w:rPr>
          <w:sz w:val="22"/>
          <w:szCs w:val="22"/>
        </w:rPr>
      </w:pPr>
      <w:r>
        <w:rPr>
          <w:sz w:val="22"/>
          <w:szCs w:val="22"/>
        </w:rPr>
        <w:t>По всем иным вопросам, касающимся приемки Продукции,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условиям Договора.</w:t>
      </w:r>
    </w:p>
    <w:p>
      <w:pPr>
        <w:pStyle w:val="Normal"/>
        <w:widowControl w:val="false"/>
        <w:shd w:val="clear" w:color="auto" w:fill="FFFFFF"/>
        <w:tabs>
          <w:tab w:val="clear" w:pos="720"/>
          <w:tab w:val="left" w:pos="1134" w:leader="none"/>
          <w:tab w:val="left" w:pos="1276" w:leader="none"/>
        </w:tabs>
        <w:ind w:left="567"/>
        <w:jc w:val="both"/>
        <w:rPr>
          <w:sz w:val="22"/>
          <w:szCs w:val="22"/>
        </w:rPr>
      </w:pPr>
      <w:r>
        <w:rPr>
          <w:sz w:val="22"/>
          <w:szCs w:val="22"/>
        </w:rPr>
      </w:r>
    </w:p>
    <w:p>
      <w:pPr>
        <w:pStyle w:val="Normal"/>
        <w:widowControl w:val="false"/>
        <w:numPr>
          <w:ilvl w:val="0"/>
          <w:numId w:val="14"/>
        </w:numPr>
        <w:shd w:val="clear" w:color="auto" w:fill="FFFFFF"/>
        <w:tabs>
          <w:tab w:val="clear" w:pos="720"/>
          <w:tab w:val="left" w:pos="284" w:leader="none"/>
        </w:tabs>
        <w:ind w:hanging="0" w:left="0"/>
        <w:jc w:val="center"/>
        <w:rPr>
          <w:b/>
          <w:sz w:val="22"/>
          <w:szCs w:val="22"/>
        </w:rPr>
      </w:pPr>
      <w:r>
        <w:rPr>
          <w:b/>
          <w:sz w:val="22"/>
          <w:szCs w:val="22"/>
        </w:rPr>
        <w:t>Тара, упаковка, маркировка</w:t>
      </w:r>
    </w:p>
    <w:p>
      <w:pPr>
        <w:pStyle w:val="Normal"/>
        <w:widowControl w:val="false"/>
        <w:shd w:val="clear" w:color="auto" w:fill="FFFFFF"/>
        <w:ind w:left="567"/>
        <w:rPr>
          <w:b/>
          <w:sz w:val="22"/>
          <w:szCs w:val="22"/>
        </w:rPr>
      </w:pPr>
      <w:r>
        <w:rPr>
          <w:b/>
          <w:sz w:val="22"/>
          <w:szCs w:val="22"/>
        </w:rPr>
      </w:r>
    </w:p>
    <w:p>
      <w:pPr>
        <w:pStyle w:val="Normal"/>
        <w:widowControl w:val="false"/>
        <w:numPr>
          <w:ilvl w:val="1"/>
          <w:numId w:val="15"/>
        </w:numPr>
        <w:shd w:val="clear" w:color="auto" w:fill="FFFFFF"/>
        <w:tabs>
          <w:tab w:val="clear" w:pos="720"/>
          <w:tab w:val="left" w:pos="1134" w:leader="none"/>
          <w:tab w:val="left" w:pos="1276" w:leader="none"/>
        </w:tabs>
        <w:ind w:firstLine="567" w:left="0"/>
        <w:jc w:val="both"/>
        <w:rPr>
          <w:sz w:val="22"/>
          <w:szCs w:val="22"/>
        </w:rPr>
      </w:pPr>
      <w:r>
        <w:rPr>
          <w:sz w:val="22"/>
          <w:szCs w:val="22"/>
        </w:rPr>
        <w:t>Продукция, поставляемая по Договору, должна отгружаться Поставщиком в таре и упаковке,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 в том числе в местностях с неблагоприятными климатическими условиями.</w:t>
      </w:r>
    </w:p>
    <w:p>
      <w:pPr>
        <w:pStyle w:val="Normal"/>
        <w:widowControl w:val="false"/>
        <w:numPr>
          <w:ilvl w:val="1"/>
          <w:numId w:val="15"/>
        </w:numPr>
        <w:shd w:val="clear" w:color="auto" w:fill="FFFFFF"/>
        <w:tabs>
          <w:tab w:val="clear" w:pos="720"/>
          <w:tab w:val="left" w:pos="1276" w:leader="none"/>
        </w:tabs>
        <w:ind w:firstLine="567" w:left="0"/>
        <w:jc w:val="both"/>
        <w:rPr>
          <w:sz w:val="22"/>
          <w:szCs w:val="22"/>
        </w:rPr>
      </w:pPr>
      <w:r>
        <w:rPr>
          <w:sz w:val="22"/>
          <w:szCs w:val="22"/>
        </w:rPr>
        <w:t>При необходимости дополнительных требований к способам затаривания, упаковки и транспортировки, Стороны согласуют их в Спецификации в отношении каждого вида Продукции в соответствии с требованиями ГОСТ, технических регламентов, ОСТ и другой нормативно-технической документации.</w:t>
      </w:r>
    </w:p>
    <w:p>
      <w:pPr>
        <w:pStyle w:val="Normal"/>
        <w:widowControl w:val="false"/>
        <w:numPr>
          <w:ilvl w:val="1"/>
          <w:numId w:val="15"/>
        </w:numPr>
        <w:shd w:val="clear" w:color="auto" w:fill="FFFFFF"/>
        <w:tabs>
          <w:tab w:val="clear" w:pos="720"/>
          <w:tab w:val="left" w:pos="1276" w:leader="none"/>
        </w:tabs>
        <w:ind w:firstLine="567" w:left="0"/>
        <w:jc w:val="both"/>
        <w:rPr>
          <w:sz w:val="22"/>
          <w:szCs w:val="22"/>
        </w:rPr>
      </w:pPr>
      <w:r>
        <w:rPr>
          <w:sz w:val="22"/>
          <w:szCs w:val="22"/>
        </w:rPr>
        <w:t>Продукция, упаковка, тара должны быть надлежащим образом промаркированы. На таре и упаковке должны быть указаны:</w:t>
      </w:r>
    </w:p>
    <w:p>
      <w:pPr>
        <w:pStyle w:val="Normal"/>
        <w:widowControl w:val="false"/>
        <w:numPr>
          <w:ilvl w:val="0"/>
          <w:numId w:val="4"/>
        </w:numPr>
        <w:shd w:val="clear" w:color="auto" w:fill="FFFFFF"/>
        <w:tabs>
          <w:tab w:val="clear" w:pos="720"/>
          <w:tab w:val="left" w:pos="1276" w:leader="none"/>
          <w:tab w:val="left" w:pos="1418" w:leader="none"/>
        </w:tabs>
        <w:ind w:firstLine="567" w:left="0"/>
        <w:jc w:val="both"/>
        <w:rPr>
          <w:sz w:val="22"/>
          <w:szCs w:val="22"/>
        </w:rPr>
      </w:pPr>
      <w:r>
        <w:rPr>
          <w:sz w:val="22"/>
          <w:szCs w:val="22"/>
        </w:rPr>
        <w:t>наименование и адрес грузоотправителя и грузополучателя;</w:t>
      </w:r>
    </w:p>
    <w:p>
      <w:pPr>
        <w:pStyle w:val="Normal"/>
        <w:widowControl w:val="false"/>
        <w:numPr>
          <w:ilvl w:val="0"/>
          <w:numId w:val="4"/>
        </w:numPr>
        <w:shd w:val="clear" w:color="auto" w:fill="FFFFFF"/>
        <w:tabs>
          <w:tab w:val="clear" w:pos="720"/>
          <w:tab w:val="left" w:pos="1276" w:leader="none"/>
          <w:tab w:val="left" w:pos="1418" w:leader="none"/>
        </w:tabs>
        <w:ind w:firstLine="567" w:left="0"/>
        <w:jc w:val="both"/>
        <w:rPr>
          <w:sz w:val="22"/>
          <w:szCs w:val="22"/>
        </w:rPr>
      </w:pPr>
      <w:r>
        <w:rPr>
          <w:sz w:val="22"/>
          <w:szCs w:val="22"/>
        </w:rPr>
        <w:t>номер Товарной накладной и/или Товарно-транспортной накладной;</w:t>
      </w:r>
    </w:p>
    <w:p>
      <w:pPr>
        <w:pStyle w:val="Normal"/>
        <w:widowControl w:val="false"/>
        <w:numPr>
          <w:ilvl w:val="0"/>
          <w:numId w:val="4"/>
        </w:numPr>
        <w:shd w:val="clear" w:color="auto" w:fill="FFFFFF"/>
        <w:tabs>
          <w:tab w:val="clear" w:pos="720"/>
          <w:tab w:val="left" w:pos="1276" w:leader="none"/>
          <w:tab w:val="left" w:pos="1418" w:leader="none"/>
        </w:tabs>
        <w:ind w:firstLine="567" w:left="0"/>
        <w:jc w:val="both"/>
        <w:rPr>
          <w:sz w:val="22"/>
          <w:szCs w:val="22"/>
        </w:rPr>
      </w:pPr>
      <w:r>
        <w:rPr>
          <w:sz w:val="22"/>
          <w:szCs w:val="22"/>
        </w:rPr>
        <w:t>вес, брутто/нетто каждого места;</w:t>
      </w:r>
    </w:p>
    <w:p>
      <w:pPr>
        <w:pStyle w:val="Normal"/>
        <w:widowControl w:val="false"/>
        <w:numPr>
          <w:ilvl w:val="0"/>
          <w:numId w:val="4"/>
        </w:numPr>
        <w:shd w:val="clear" w:color="auto" w:fill="FFFFFF"/>
        <w:tabs>
          <w:tab w:val="clear" w:pos="720"/>
          <w:tab w:val="left" w:pos="1276" w:leader="none"/>
          <w:tab w:val="left" w:pos="1418" w:leader="none"/>
        </w:tabs>
        <w:ind w:firstLine="567" w:left="0"/>
        <w:jc w:val="both"/>
        <w:rPr>
          <w:sz w:val="22"/>
          <w:szCs w:val="22"/>
        </w:rPr>
      </w:pPr>
      <w:r>
        <w:rPr>
          <w:sz w:val="22"/>
          <w:szCs w:val="22"/>
        </w:rPr>
        <w:t>наименование Продукции;</w:t>
      </w:r>
    </w:p>
    <w:p>
      <w:pPr>
        <w:pStyle w:val="Normal"/>
        <w:widowControl w:val="false"/>
        <w:numPr>
          <w:ilvl w:val="0"/>
          <w:numId w:val="4"/>
        </w:numPr>
        <w:shd w:val="clear" w:color="auto" w:fill="FFFFFF"/>
        <w:tabs>
          <w:tab w:val="clear" w:pos="720"/>
          <w:tab w:val="left" w:pos="1276" w:leader="none"/>
          <w:tab w:val="left" w:pos="1418" w:leader="none"/>
        </w:tabs>
        <w:ind w:firstLine="567" w:left="0"/>
        <w:jc w:val="both"/>
        <w:rPr>
          <w:sz w:val="22"/>
          <w:szCs w:val="22"/>
        </w:rPr>
      </w:pPr>
      <w:r>
        <w:rPr>
          <w:sz w:val="22"/>
          <w:szCs w:val="22"/>
        </w:rPr>
        <w:t>номера мест и их общее количество;</w:t>
      </w:r>
    </w:p>
    <w:p>
      <w:pPr>
        <w:pStyle w:val="Normal"/>
        <w:widowControl w:val="false"/>
        <w:numPr>
          <w:ilvl w:val="0"/>
          <w:numId w:val="4"/>
        </w:numPr>
        <w:shd w:val="clear" w:color="auto" w:fill="FFFFFF"/>
        <w:tabs>
          <w:tab w:val="clear" w:pos="720"/>
          <w:tab w:val="left" w:pos="1276" w:leader="none"/>
          <w:tab w:val="left" w:pos="1418" w:leader="none"/>
        </w:tabs>
        <w:ind w:firstLine="567" w:left="0"/>
        <w:jc w:val="both"/>
        <w:rPr>
          <w:sz w:val="22"/>
          <w:szCs w:val="22"/>
        </w:rPr>
      </w:pPr>
      <w:r>
        <w:rPr>
          <w:sz w:val="22"/>
          <w:szCs w:val="22"/>
        </w:rPr>
        <w:t>весогабаритные характеристики мест;</w:t>
      </w:r>
    </w:p>
    <w:p>
      <w:pPr>
        <w:pStyle w:val="Normal"/>
        <w:widowControl w:val="false"/>
        <w:numPr>
          <w:ilvl w:val="0"/>
          <w:numId w:val="4"/>
        </w:numPr>
        <w:shd w:val="clear" w:color="auto" w:fill="FFFFFF"/>
        <w:tabs>
          <w:tab w:val="clear" w:pos="720"/>
          <w:tab w:val="left" w:pos="1276" w:leader="none"/>
          <w:tab w:val="left" w:pos="1418" w:leader="none"/>
        </w:tabs>
        <w:ind w:firstLine="567" w:left="0"/>
        <w:jc w:val="both"/>
        <w:rPr>
          <w:sz w:val="22"/>
          <w:szCs w:val="22"/>
        </w:rPr>
      </w:pPr>
      <w:r>
        <w:rPr>
          <w:sz w:val="22"/>
          <w:szCs w:val="22"/>
        </w:rPr>
        <w:t>центр тяжести;</w:t>
      </w:r>
    </w:p>
    <w:p>
      <w:pPr>
        <w:pStyle w:val="Normal"/>
        <w:widowControl w:val="false"/>
        <w:numPr>
          <w:ilvl w:val="0"/>
          <w:numId w:val="4"/>
        </w:numPr>
        <w:shd w:val="clear" w:color="auto" w:fill="FFFFFF"/>
        <w:tabs>
          <w:tab w:val="clear" w:pos="720"/>
          <w:tab w:val="left" w:pos="1276" w:leader="none"/>
          <w:tab w:val="left" w:pos="1418" w:leader="none"/>
        </w:tabs>
        <w:ind w:firstLine="567" w:left="0"/>
        <w:jc w:val="both"/>
        <w:rPr>
          <w:sz w:val="22"/>
          <w:szCs w:val="22"/>
        </w:rPr>
      </w:pPr>
      <w:r>
        <w:rPr>
          <w:sz w:val="22"/>
          <w:szCs w:val="22"/>
        </w:rPr>
        <w:t>условия хранения;</w:t>
      </w:r>
    </w:p>
    <w:p>
      <w:pPr>
        <w:pStyle w:val="Normal"/>
        <w:widowControl w:val="false"/>
        <w:numPr>
          <w:ilvl w:val="0"/>
          <w:numId w:val="4"/>
        </w:numPr>
        <w:shd w:val="clear" w:color="auto" w:fill="FFFFFF"/>
        <w:tabs>
          <w:tab w:val="clear" w:pos="720"/>
          <w:tab w:val="left" w:pos="1276" w:leader="none"/>
          <w:tab w:val="left" w:pos="1418" w:leader="none"/>
        </w:tabs>
        <w:ind w:firstLine="567" w:left="0"/>
        <w:jc w:val="both"/>
        <w:rPr>
          <w:sz w:val="22"/>
          <w:szCs w:val="22"/>
        </w:rPr>
      </w:pPr>
      <w:r>
        <w:rPr>
          <w:sz w:val="22"/>
          <w:szCs w:val="22"/>
        </w:rPr>
        <w:t>обозначения типа «не бросать» и другие обычно используемые обозначения.</w:t>
      </w:r>
    </w:p>
    <w:p>
      <w:pPr>
        <w:pStyle w:val="Normal"/>
        <w:widowControl w:val="false"/>
        <w:numPr>
          <w:ilvl w:val="1"/>
          <w:numId w:val="15"/>
        </w:numPr>
        <w:shd w:val="clear" w:color="auto" w:fill="FFFFFF"/>
        <w:tabs>
          <w:tab w:val="clear" w:pos="720"/>
          <w:tab w:val="left" w:pos="1276" w:leader="none"/>
        </w:tabs>
        <w:ind w:firstLine="567" w:left="0"/>
        <w:jc w:val="both"/>
        <w:rPr>
          <w:sz w:val="22"/>
          <w:szCs w:val="22"/>
        </w:rPr>
      </w:pPr>
      <w:r>
        <w:rPr>
          <w:sz w:val="22"/>
          <w:szCs w:val="22"/>
        </w:rPr>
        <w:t>Стоимость тары и упаковки включена в Цену Договора; тара и упаковка возврату не подлежат.</w:t>
      </w:r>
    </w:p>
    <w:p>
      <w:pPr>
        <w:pStyle w:val="Normal"/>
        <w:widowControl w:val="false"/>
        <w:shd w:val="clear" w:color="auto" w:fill="FFFFFF"/>
        <w:tabs>
          <w:tab w:val="clear" w:pos="720"/>
          <w:tab w:val="left" w:pos="1276" w:leader="none"/>
          <w:tab w:val="left" w:pos="1418" w:leader="none"/>
        </w:tabs>
        <w:ind w:firstLine="567"/>
        <w:jc w:val="both"/>
        <w:rPr>
          <w:sz w:val="22"/>
          <w:szCs w:val="22"/>
        </w:rPr>
      </w:pPr>
      <w:r>
        <w:rPr>
          <w:sz w:val="22"/>
          <w:szCs w:val="22"/>
        </w:rPr>
      </w:r>
    </w:p>
    <w:p>
      <w:pPr>
        <w:pStyle w:val="Normal"/>
        <w:widowControl w:val="false"/>
        <w:numPr>
          <w:ilvl w:val="0"/>
          <w:numId w:val="15"/>
        </w:numPr>
        <w:shd w:val="clear" w:color="auto" w:fill="FFFFFF"/>
        <w:tabs>
          <w:tab w:val="clear" w:pos="720"/>
          <w:tab w:val="left" w:pos="284" w:leader="none"/>
        </w:tabs>
        <w:ind w:hanging="0" w:left="0"/>
        <w:jc w:val="center"/>
        <w:rPr>
          <w:b/>
          <w:sz w:val="22"/>
          <w:szCs w:val="22"/>
        </w:rPr>
      </w:pPr>
      <w:r>
        <w:rPr>
          <w:b/>
          <w:sz w:val="22"/>
          <w:szCs w:val="22"/>
        </w:rPr>
        <w:t>Сроки, порядок и условия поставки, переход права собственности</w:t>
      </w:r>
    </w:p>
    <w:p>
      <w:pPr>
        <w:pStyle w:val="Normal"/>
        <w:widowControl w:val="false"/>
        <w:shd w:val="clear" w:color="auto" w:fill="FFFFFF"/>
        <w:rPr>
          <w:b/>
          <w:sz w:val="22"/>
          <w:szCs w:val="22"/>
        </w:rPr>
      </w:pPr>
      <w:r>
        <w:rPr>
          <w:b/>
          <w:sz w:val="22"/>
          <w:szCs w:val="22"/>
        </w:rPr>
      </w:r>
    </w:p>
    <w:p>
      <w:pPr>
        <w:pStyle w:val="ListParagraph"/>
        <w:numPr>
          <w:ilvl w:val="1"/>
          <w:numId w:val="15"/>
        </w:numPr>
        <w:tabs>
          <w:tab w:val="clear" w:pos="720"/>
          <w:tab w:val="left" w:pos="1276" w:leader="none"/>
        </w:tabs>
        <w:spacing w:before="0" w:after="0"/>
        <w:ind w:firstLine="567" w:left="0"/>
        <w:contextualSpacing w:val="false"/>
        <w:jc w:val="both"/>
        <w:rPr>
          <w:sz w:val="22"/>
          <w:szCs w:val="22"/>
        </w:rPr>
      </w:pPr>
      <w:r>
        <w:rPr>
          <w:sz w:val="22"/>
          <w:szCs w:val="22"/>
        </w:rPr>
        <w:t xml:space="preserve">Поставка Продукции по Договору осуществляется Поставщиком одной партией в Место поставки согласно п. 1.4. Договора. Доставка и разгрузка Продукции осуществляются Поставщиком. </w:t>
      </w:r>
    </w:p>
    <w:p>
      <w:pPr>
        <w:pStyle w:val="Normal"/>
        <w:widowControl w:val="false"/>
        <w:numPr>
          <w:ilvl w:val="1"/>
          <w:numId w:val="15"/>
        </w:numPr>
        <w:shd w:val="clear" w:color="auto" w:fill="FFFFFF"/>
        <w:tabs>
          <w:tab w:val="clear" w:pos="720"/>
          <w:tab w:val="left" w:pos="1276" w:leader="none"/>
        </w:tabs>
        <w:ind w:firstLine="567" w:left="0"/>
        <w:jc w:val="both"/>
        <w:rPr>
          <w:sz w:val="22"/>
          <w:szCs w:val="22"/>
        </w:rPr>
      </w:pPr>
      <w:r>
        <w:rPr>
          <w:sz w:val="22"/>
          <w:szCs w:val="22"/>
        </w:rPr>
        <w:t>Поставщик обязан уведомить Покупателя о дате поставки Продукции не позднее, чем за 2 (Два) календарных дня до даты поставки.</w:t>
      </w:r>
    </w:p>
    <w:p>
      <w:pPr>
        <w:pStyle w:val="Normal"/>
        <w:widowControl w:val="false"/>
        <w:numPr>
          <w:ilvl w:val="1"/>
          <w:numId w:val="15"/>
        </w:numPr>
        <w:shd w:val="clear" w:color="auto" w:fill="FFFFFF"/>
        <w:tabs>
          <w:tab w:val="clear" w:pos="720"/>
          <w:tab w:val="left" w:pos="1276" w:leader="none"/>
        </w:tabs>
        <w:ind w:firstLine="567" w:left="0"/>
        <w:jc w:val="both"/>
        <w:rPr>
          <w:sz w:val="22"/>
          <w:szCs w:val="22"/>
        </w:rPr>
      </w:pPr>
      <w:r>
        <w:rPr>
          <w:sz w:val="22"/>
          <w:szCs w:val="22"/>
        </w:rPr>
        <w:t xml:space="preserve">Право собственности и риск случайного повреждения, гибели Продукции переходит от Поставщика к Покупателю с момента подписания Покупателем Товарной накладной по форме ТОРГ-12 или Универсального передаточного документа (УПД). Датой поставки Продукции считается дата подписания товарной накладной по форме ТОРГ-12 или Универсального передаточного документа (УПД) Покупателем. </w:t>
      </w:r>
    </w:p>
    <w:p>
      <w:pPr>
        <w:pStyle w:val="Normal"/>
        <w:widowControl w:val="false"/>
        <w:numPr>
          <w:ilvl w:val="1"/>
          <w:numId w:val="15"/>
        </w:numPr>
        <w:shd w:val="clear" w:color="auto" w:fill="FFFFFF"/>
        <w:tabs>
          <w:tab w:val="clear" w:pos="720"/>
          <w:tab w:val="left" w:pos="1276" w:leader="none"/>
        </w:tabs>
        <w:ind w:firstLine="567" w:left="0"/>
        <w:jc w:val="both"/>
        <w:rPr>
          <w:sz w:val="22"/>
          <w:szCs w:val="22"/>
        </w:rPr>
      </w:pPr>
      <w:r>
        <w:rPr>
          <w:sz w:val="22"/>
          <w:szCs w:val="22"/>
        </w:rPr>
        <w:t xml:space="preserve">В случае если документы первичной отчетности оформлены не по форме и/или оформлены не полностью (отсутствуют обязательные реквизиты, заполнены не все поля, разделы), либо оформлены с ошибками, либо предоставлены не в полном объеме, то Покупатель вправе вернуть такие документы Поставщику на переоформление, что не освобождает Поставщика от ответственности за просрочку срока поставки Продукции, до момента предоставления Поставщиком надлежаще оформленных первичных документов. </w:t>
      </w:r>
    </w:p>
    <w:p>
      <w:pPr>
        <w:pStyle w:val="Normal"/>
        <w:widowControl w:val="false"/>
        <w:numPr>
          <w:ilvl w:val="1"/>
          <w:numId w:val="15"/>
        </w:numPr>
        <w:shd w:val="clear" w:color="auto" w:fill="FFFFFF"/>
        <w:tabs>
          <w:tab w:val="clear" w:pos="720"/>
          <w:tab w:val="left" w:pos="1276" w:leader="none"/>
        </w:tabs>
        <w:ind w:firstLine="567" w:left="0"/>
        <w:jc w:val="both"/>
        <w:rPr>
          <w:sz w:val="22"/>
          <w:szCs w:val="22"/>
        </w:rPr>
      </w:pPr>
      <w:r>
        <w:rPr>
          <w:sz w:val="22"/>
          <w:szCs w:val="22"/>
        </w:rPr>
        <w:t xml:space="preserve">Поставщик несет ответственность за получение (если это необходимо) разрешений властей на транспортировку Продукции в Место поставки, лицензий и иных необходимых документов. </w:t>
      </w:r>
    </w:p>
    <w:p>
      <w:pPr>
        <w:pStyle w:val="Normal"/>
        <w:widowControl w:val="false"/>
        <w:shd w:val="clear" w:color="auto" w:fill="FFFFFF"/>
        <w:tabs>
          <w:tab w:val="clear" w:pos="720"/>
          <w:tab w:val="left" w:pos="1276" w:leader="none"/>
        </w:tabs>
        <w:ind w:firstLine="567" w:left="360"/>
        <w:jc w:val="both"/>
        <w:rPr>
          <w:sz w:val="22"/>
          <w:szCs w:val="22"/>
        </w:rPr>
      </w:pPr>
      <w:r>
        <w:rPr>
          <w:sz w:val="22"/>
          <w:szCs w:val="22"/>
        </w:rPr>
      </w:r>
    </w:p>
    <w:p>
      <w:pPr>
        <w:pStyle w:val="Normal"/>
        <w:widowControl w:val="false"/>
        <w:numPr>
          <w:ilvl w:val="0"/>
          <w:numId w:val="15"/>
        </w:numPr>
        <w:shd w:val="clear" w:color="auto" w:fill="FFFFFF"/>
        <w:tabs>
          <w:tab w:val="clear" w:pos="720"/>
          <w:tab w:val="left" w:pos="284" w:leader="none"/>
        </w:tabs>
        <w:ind w:hanging="0" w:left="0"/>
        <w:jc w:val="center"/>
        <w:rPr>
          <w:b/>
          <w:sz w:val="22"/>
          <w:szCs w:val="22"/>
        </w:rPr>
      </w:pPr>
      <w:r>
        <w:rPr>
          <w:b/>
          <w:sz w:val="22"/>
          <w:szCs w:val="22"/>
        </w:rPr>
        <w:t>Ответственность по Договору</w:t>
      </w:r>
    </w:p>
    <w:p>
      <w:pPr>
        <w:pStyle w:val="Normal"/>
        <w:widowControl w:val="false"/>
        <w:shd w:val="clear" w:color="auto" w:fill="FFFFFF"/>
        <w:ind w:left="567"/>
        <w:rPr>
          <w:b/>
          <w:sz w:val="22"/>
          <w:szCs w:val="22"/>
        </w:rPr>
      </w:pPr>
      <w:r>
        <w:rPr>
          <w:b/>
          <w:sz w:val="22"/>
          <w:szCs w:val="22"/>
        </w:rPr>
      </w:r>
    </w:p>
    <w:p>
      <w:pPr>
        <w:pStyle w:val="Normal"/>
        <w:widowControl w:val="false"/>
        <w:numPr>
          <w:ilvl w:val="1"/>
          <w:numId w:val="15"/>
        </w:numPr>
        <w:shd w:val="clear" w:color="auto" w:fill="FFFFFF"/>
        <w:tabs>
          <w:tab w:val="clear" w:pos="720"/>
          <w:tab w:val="left" w:pos="1276" w:leader="none"/>
        </w:tabs>
        <w:ind w:firstLine="567" w:left="0"/>
        <w:jc w:val="both"/>
        <w:rPr>
          <w:sz w:val="22"/>
          <w:szCs w:val="22"/>
        </w:rPr>
      </w:pPr>
      <w:r>
        <w:rPr>
          <w:sz w:val="22"/>
          <w:szCs w:val="22"/>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 </w:t>
      </w:r>
    </w:p>
    <w:p>
      <w:pPr>
        <w:pStyle w:val="Normal"/>
        <w:widowControl w:val="false"/>
        <w:numPr>
          <w:ilvl w:val="1"/>
          <w:numId w:val="15"/>
        </w:numPr>
        <w:shd w:val="clear" w:color="auto" w:fill="FFFFFF"/>
        <w:tabs>
          <w:tab w:val="clear" w:pos="720"/>
          <w:tab w:val="left" w:pos="1276" w:leader="none"/>
        </w:tabs>
        <w:ind w:firstLine="567" w:left="0"/>
        <w:jc w:val="both"/>
        <w:rPr>
          <w:sz w:val="22"/>
          <w:szCs w:val="22"/>
        </w:rPr>
      </w:pPr>
      <w:r>
        <w:rPr>
          <w:sz w:val="22"/>
          <w:szCs w:val="22"/>
        </w:rPr>
        <w:t>Неустойка и/или иные штрафные санкции за ненадлежащее исполнение (неисполнение) Покупателем обязательств по внесению предварительной оплаты (аванса) не устанавливается, если иное не предусмотрено законодательством Российской Федерации.</w:t>
      </w:r>
    </w:p>
    <w:p>
      <w:pPr>
        <w:pStyle w:val="Normal"/>
        <w:widowControl w:val="false"/>
        <w:numPr>
          <w:ilvl w:val="1"/>
          <w:numId w:val="15"/>
        </w:numPr>
        <w:shd w:val="clear" w:color="auto" w:fill="FFFFFF"/>
        <w:tabs>
          <w:tab w:val="clear" w:pos="720"/>
          <w:tab w:val="left" w:pos="1276" w:leader="none"/>
        </w:tabs>
        <w:ind w:firstLine="567" w:left="0"/>
        <w:jc w:val="both"/>
        <w:rPr>
          <w:sz w:val="22"/>
          <w:szCs w:val="22"/>
        </w:rPr>
      </w:pPr>
      <w:r>
        <w:rPr>
          <w:sz w:val="22"/>
          <w:szCs w:val="22"/>
        </w:rPr>
        <w:t>В случае нарушения Покупателем сроков оплаты поставленной Продукции Поставщик вправе потребовать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 При этом такая неустойка является единственным возмещением объективно оцененных Сторонами возможных убытков Поставщика.</w:t>
      </w:r>
    </w:p>
    <w:p>
      <w:pPr>
        <w:pStyle w:val="Normal"/>
        <w:widowControl w:val="false"/>
        <w:numPr>
          <w:ilvl w:val="1"/>
          <w:numId w:val="15"/>
        </w:numPr>
        <w:shd w:val="clear" w:color="auto" w:fill="FFFFFF"/>
        <w:tabs>
          <w:tab w:val="clear" w:pos="720"/>
          <w:tab w:val="left" w:pos="1276" w:leader="none"/>
        </w:tabs>
        <w:ind w:firstLine="567" w:left="0"/>
        <w:jc w:val="both"/>
        <w:rPr>
          <w:sz w:val="22"/>
          <w:szCs w:val="22"/>
        </w:rPr>
      </w:pPr>
      <w:r>
        <w:rPr>
          <w:sz w:val="22"/>
          <w:szCs w:val="22"/>
        </w:rPr>
        <w:t xml:space="preserve">В случае просрочки Поставщиком обязательств по поставке Продукции, а также в случае несвоевременного устранения выявленных недостатков Продукции согласно п. 3.14 Договора, Покупатель вправе потребовать уплаты Поставщиком неустойки в размере 0,1% от Цены Договора, за каждый день просрочки. </w:t>
      </w:r>
    </w:p>
    <w:p>
      <w:pPr>
        <w:pStyle w:val="Normal"/>
        <w:widowControl w:val="false"/>
        <w:shd w:val="clear" w:color="auto" w:fill="FFFFFF"/>
        <w:tabs>
          <w:tab w:val="clear" w:pos="720"/>
          <w:tab w:val="left" w:pos="1276" w:leader="none"/>
        </w:tabs>
        <w:jc w:val="both"/>
        <w:rPr>
          <w:sz w:val="22"/>
          <w:szCs w:val="22"/>
        </w:rPr>
      </w:pPr>
      <w:r>
        <w:rPr>
          <w:sz w:val="22"/>
          <w:szCs w:val="22"/>
        </w:rPr>
        <w:t xml:space="preserve">     </w:t>
      </w:r>
      <w:r>
        <w:rPr>
          <w:sz w:val="22"/>
          <w:szCs w:val="22"/>
        </w:rPr>
        <w:t xml:space="preserve">Уплата неустойки не лишает Покупателя права требовать от Поставщика уплаты процентов за пользование чужими денежными средствами в отношении предварительной оплаты (аванса), а также компенсации убытков. </w:t>
      </w:r>
    </w:p>
    <w:p>
      <w:pPr>
        <w:pStyle w:val="Normal"/>
        <w:widowControl w:val="false"/>
        <w:numPr>
          <w:ilvl w:val="1"/>
          <w:numId w:val="15"/>
        </w:numPr>
        <w:shd w:val="clear" w:color="auto" w:fill="FFFFFF"/>
        <w:tabs>
          <w:tab w:val="clear" w:pos="720"/>
          <w:tab w:val="left" w:pos="1276" w:leader="none"/>
        </w:tabs>
        <w:ind w:firstLine="567" w:left="0"/>
        <w:jc w:val="both"/>
        <w:rPr>
          <w:sz w:val="22"/>
          <w:szCs w:val="22"/>
        </w:rPr>
      </w:pPr>
      <w:r>
        <w:rPr>
          <w:sz w:val="22"/>
          <w:szCs w:val="22"/>
        </w:rPr>
        <w:t>В случае нарушения Поставщиком обязательств по поставке Продукции на срок свыше 15 (пятнадцати) календарных дней Покупатель имеет право расторгнуть Договор в одностороннем порядке, а также потребовать возмещения убытков. При этом Покупатель также вправе возвратить Поставщику не бывшую в употреблении Продукцию, ранее принятую по Договору, и потребовать возврата уплаченных денежных средств. В случае отказа Поставщика от приемки Продукции, Покупатель вправе передать ее в депозит нотариуса с отнесением расходов на счет Поставщика.</w:t>
      </w:r>
    </w:p>
    <w:p>
      <w:pPr>
        <w:pStyle w:val="Normal"/>
        <w:widowControl w:val="false"/>
        <w:numPr>
          <w:ilvl w:val="1"/>
          <w:numId w:val="15"/>
        </w:numPr>
        <w:shd w:val="clear" w:color="auto" w:fill="FFFFFF"/>
        <w:tabs>
          <w:tab w:val="clear" w:pos="720"/>
          <w:tab w:val="left" w:pos="1276" w:leader="none"/>
        </w:tabs>
        <w:ind w:firstLine="567" w:left="0"/>
        <w:jc w:val="both"/>
        <w:rPr>
          <w:sz w:val="22"/>
          <w:szCs w:val="22"/>
        </w:rPr>
      </w:pPr>
      <w:r>
        <w:rPr>
          <w:sz w:val="22"/>
          <w:szCs w:val="22"/>
        </w:rPr>
        <w:t>В случае, если в результате составления и выставления Поставщиком счетов-фактур с нарушением порядка и требований, установленных законодательством Российской Федерации, Покупатель понес расходы, связанные с уплатой начисленных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В случае нарушения Поставщиком срока замены счета-фактуры, предусмотренного Договором, Покупатель имеет право требовать от Поставщика уплаты штрафа в размере 50 000 (Пятидесяти тысяч) рублей за каждый случай нарушения.</w:t>
      </w:r>
    </w:p>
    <w:p>
      <w:pPr>
        <w:pStyle w:val="Normal"/>
        <w:widowControl w:val="false"/>
        <w:numPr>
          <w:ilvl w:val="1"/>
          <w:numId w:val="15"/>
        </w:numPr>
        <w:shd w:val="clear" w:color="auto" w:fill="FFFFFF"/>
        <w:tabs>
          <w:tab w:val="clear" w:pos="720"/>
          <w:tab w:val="left" w:pos="1276" w:leader="none"/>
        </w:tabs>
        <w:ind w:firstLine="567" w:left="0"/>
        <w:jc w:val="both"/>
        <w:rPr>
          <w:sz w:val="22"/>
          <w:szCs w:val="22"/>
        </w:rPr>
      </w:pPr>
      <w:r>
        <w:rPr>
          <w:sz w:val="22"/>
          <w:szCs w:val="22"/>
        </w:rPr>
        <w:t xml:space="preserve">Поставщик гарантирует Покупателю, что он обладает всеми необходимыми правами на соответствующие патенты и изобретения, связанные с поставляемой Продукцией. Если Покупателю будет предъявлена претензия, связанная с нарушением патентных или иных имущественных прав, то Поставщик обязан полностью возместить убытки, возникшие у Покупателя из-за нарушения вышеуказанных прав.  </w:t>
      </w:r>
    </w:p>
    <w:p>
      <w:pPr>
        <w:pStyle w:val="Normal"/>
        <w:widowControl w:val="false"/>
        <w:numPr>
          <w:ilvl w:val="1"/>
          <w:numId w:val="15"/>
        </w:numPr>
        <w:shd w:val="clear" w:color="auto" w:fill="FFFFFF"/>
        <w:tabs>
          <w:tab w:val="clear" w:pos="720"/>
          <w:tab w:val="left" w:pos="1276" w:leader="none"/>
        </w:tabs>
        <w:ind w:firstLine="567" w:left="0"/>
        <w:jc w:val="both"/>
        <w:rPr>
          <w:sz w:val="22"/>
          <w:szCs w:val="22"/>
        </w:rPr>
      </w:pPr>
      <w:r>
        <w:rPr>
          <w:sz w:val="22"/>
          <w:szCs w:val="22"/>
        </w:rPr>
        <w:t xml:space="preserve">Помимо иных предусмотренных Договором и законодательством Российской Федерации мер ответственности Поставщика за невыполнение (ненадлежащее выполнение) Договора, Поставщик возмещает Покупателю, причиненный ущерб в размере фактически понесенных и документально подтвержденных расходов Покупателя, произведенных им для восстановления нарушенного права. Кроме того, Покупатель имеет право требовать от Поставщика возмещения упущенной выгоды, а также штрафов и неустоек, предъявленных Покупателю третьими лицами и связанных с неисполнением (ненадлежащим исполнением) Поставщиком обязательств по Договору.  </w:t>
      </w:r>
    </w:p>
    <w:p>
      <w:pPr>
        <w:pStyle w:val="Normal"/>
        <w:widowControl w:val="false"/>
        <w:numPr>
          <w:ilvl w:val="1"/>
          <w:numId w:val="15"/>
        </w:numPr>
        <w:shd w:val="clear" w:color="auto" w:fill="FFFFFF"/>
        <w:tabs>
          <w:tab w:val="clear" w:pos="720"/>
          <w:tab w:val="left" w:pos="1283" w:leader="none"/>
        </w:tabs>
        <w:ind w:firstLine="567" w:left="0"/>
        <w:jc w:val="both"/>
        <w:rPr>
          <w:sz w:val="22"/>
          <w:szCs w:val="22"/>
        </w:rPr>
      </w:pPr>
      <w:r>
        <w:rPr>
          <w:sz w:val="22"/>
          <w:szCs w:val="22"/>
        </w:rPr>
        <w:t xml:space="preserve">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 </w:t>
      </w:r>
    </w:p>
    <w:p>
      <w:pPr>
        <w:pStyle w:val="Normal"/>
        <w:widowControl w:val="false"/>
        <w:numPr>
          <w:ilvl w:val="1"/>
          <w:numId w:val="15"/>
        </w:numPr>
        <w:shd w:val="clear" w:color="auto" w:fill="FFFFFF"/>
        <w:tabs>
          <w:tab w:val="clear" w:pos="720"/>
          <w:tab w:val="left" w:pos="1283" w:leader="none"/>
        </w:tabs>
        <w:ind w:firstLine="567" w:left="0"/>
        <w:jc w:val="both"/>
        <w:rPr>
          <w:sz w:val="22"/>
          <w:szCs w:val="22"/>
        </w:rPr>
      </w:pPr>
      <w:r>
        <w:rPr>
          <w:sz w:val="22"/>
          <w:szCs w:val="22"/>
        </w:rPr>
        <w:t xml:space="preserve">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 </w:t>
      </w:r>
    </w:p>
    <w:p>
      <w:pPr>
        <w:pStyle w:val="Normal"/>
        <w:widowControl w:val="false"/>
        <w:numPr>
          <w:ilvl w:val="1"/>
          <w:numId w:val="15"/>
        </w:numPr>
        <w:shd w:val="clear" w:color="auto" w:fill="FFFFFF"/>
        <w:tabs>
          <w:tab w:val="clear" w:pos="720"/>
          <w:tab w:val="left" w:pos="1276" w:leader="none"/>
        </w:tabs>
        <w:ind w:firstLine="567" w:left="0"/>
        <w:jc w:val="both"/>
        <w:rPr>
          <w:sz w:val="22"/>
          <w:szCs w:val="22"/>
        </w:rPr>
      </w:pPr>
      <w:r>
        <w:rPr>
          <w:sz w:val="22"/>
          <w:szCs w:val="22"/>
        </w:rPr>
        <w:t>В случае изменения в течение срока действия Договора каких-либо собственников (включая конечных бенефициаров) Поставщика, а также внесения изменений в документы, упомянутые в настоящем пункте, Поставщик обязуется в течение 3 (трех) рабочих дней уведомить о таких изменениях Покупателя в порядке, установленном п.13.7 Договора, представив заверенные копии документов, подтверждающие такие изменения, а именно:</w:t>
      </w:r>
    </w:p>
    <w:p>
      <w:pPr>
        <w:pStyle w:val="ListParagraph"/>
        <w:numPr>
          <w:ilvl w:val="2"/>
          <w:numId w:val="15"/>
        </w:numPr>
        <w:tabs>
          <w:tab w:val="clear" w:pos="720"/>
          <w:tab w:val="left" w:pos="567" w:leader="none"/>
        </w:tabs>
        <w:spacing w:before="0" w:after="0"/>
        <w:ind w:firstLine="567" w:left="0"/>
        <w:contextualSpacing w:val="false"/>
        <w:jc w:val="both"/>
        <w:outlineLvl w:val="0"/>
        <w:rPr>
          <w:sz w:val="22"/>
          <w:szCs w:val="22"/>
        </w:rPr>
      </w:pPr>
      <w:r>
        <w:rPr>
          <w:sz w:val="22"/>
          <w:szCs w:val="22"/>
        </w:rPr>
        <w:t xml:space="preserve">Для всех юридических лиц, созданных и действующих в соответствии с законодательством Российской Федерации: </w:t>
      </w:r>
    </w:p>
    <w:p>
      <w:pPr>
        <w:pStyle w:val="Normal"/>
        <w:numPr>
          <w:ilvl w:val="0"/>
          <w:numId w:val="8"/>
        </w:numPr>
        <w:tabs>
          <w:tab w:val="clear" w:pos="720"/>
          <w:tab w:val="left" w:pos="0" w:leader="none"/>
        </w:tabs>
        <w:ind w:firstLine="567" w:left="0"/>
        <w:jc w:val="both"/>
        <w:outlineLvl w:val="0"/>
        <w:rPr>
          <w:sz w:val="22"/>
          <w:szCs w:val="22"/>
        </w:rPr>
      </w:pPr>
      <w:r>
        <w:rPr>
          <w:sz w:val="22"/>
          <w:szCs w:val="22"/>
        </w:rPr>
        <w:t>выписка из Единого государственного реестра юридических лиц, после изменений, указанных в п. 7.10 Договора, а также:</w:t>
      </w:r>
    </w:p>
    <w:p>
      <w:pPr>
        <w:pStyle w:val="ListParagraph"/>
        <w:numPr>
          <w:ilvl w:val="2"/>
          <w:numId w:val="15"/>
        </w:numPr>
        <w:tabs>
          <w:tab w:val="clear" w:pos="720"/>
          <w:tab w:val="left" w:pos="567" w:leader="none"/>
        </w:tabs>
        <w:spacing w:before="0" w:after="0"/>
        <w:ind w:firstLine="567" w:left="0"/>
        <w:contextualSpacing w:val="false"/>
        <w:jc w:val="both"/>
        <w:outlineLvl w:val="0"/>
        <w:rPr>
          <w:sz w:val="22"/>
          <w:szCs w:val="22"/>
        </w:rPr>
      </w:pPr>
      <w:r>
        <w:rPr>
          <w:sz w:val="22"/>
          <w:szCs w:val="22"/>
        </w:rPr>
        <w:t>для юридических лиц, зарегистрированных в форме акционерных обществ:</w:t>
      </w:r>
    </w:p>
    <w:p>
      <w:pPr>
        <w:pStyle w:val="Normal"/>
        <w:numPr>
          <w:ilvl w:val="0"/>
          <w:numId w:val="8"/>
        </w:numPr>
        <w:tabs>
          <w:tab w:val="clear" w:pos="720"/>
          <w:tab w:val="left" w:pos="567" w:leader="none"/>
        </w:tabs>
        <w:ind w:firstLine="567" w:left="0"/>
        <w:outlineLvl w:val="0"/>
        <w:rPr>
          <w:sz w:val="22"/>
          <w:szCs w:val="22"/>
        </w:rPr>
      </w:pPr>
      <w:r>
        <w:rPr>
          <w:sz w:val="22"/>
          <w:szCs w:val="22"/>
        </w:rPr>
        <w:t>список владельцев ценных бумаг;</w:t>
      </w:r>
    </w:p>
    <w:p>
      <w:pPr>
        <w:pStyle w:val="Normal"/>
        <w:numPr>
          <w:ilvl w:val="0"/>
          <w:numId w:val="8"/>
        </w:numPr>
        <w:tabs>
          <w:tab w:val="clear" w:pos="720"/>
          <w:tab w:val="left" w:pos="567" w:leader="none"/>
        </w:tabs>
        <w:ind w:firstLine="567" w:left="0"/>
        <w:outlineLvl w:val="0"/>
        <w:rPr>
          <w:sz w:val="22"/>
          <w:szCs w:val="22"/>
        </w:rPr>
      </w:pPr>
      <w:r>
        <w:rPr>
          <w:sz w:val="22"/>
          <w:szCs w:val="22"/>
        </w:rPr>
        <w:t>список аффилированных лиц на последнюю отчетную дату;</w:t>
      </w:r>
    </w:p>
    <w:p>
      <w:pPr>
        <w:pStyle w:val="Normal"/>
        <w:numPr>
          <w:ilvl w:val="0"/>
          <w:numId w:val="8"/>
        </w:numPr>
        <w:tabs>
          <w:tab w:val="clear" w:pos="720"/>
          <w:tab w:val="left" w:pos="567" w:leader="none"/>
        </w:tabs>
        <w:ind w:firstLine="567" w:left="0"/>
        <w:outlineLvl w:val="0"/>
        <w:rPr>
          <w:sz w:val="22"/>
          <w:szCs w:val="22"/>
        </w:rPr>
      </w:pPr>
      <w:r>
        <w:rPr>
          <w:sz w:val="22"/>
          <w:szCs w:val="22"/>
        </w:rPr>
        <w:t>ежеквартальный отчет на последнюю отчетную дату.</w:t>
      </w:r>
    </w:p>
    <w:p>
      <w:pPr>
        <w:pStyle w:val="ListParagraph"/>
        <w:numPr>
          <w:ilvl w:val="2"/>
          <w:numId w:val="15"/>
        </w:numPr>
        <w:tabs>
          <w:tab w:val="clear" w:pos="720"/>
          <w:tab w:val="left" w:pos="567" w:leader="none"/>
        </w:tabs>
        <w:spacing w:before="0" w:after="0"/>
        <w:ind w:firstLine="567" w:left="0"/>
        <w:contextualSpacing w:val="false"/>
        <w:jc w:val="both"/>
        <w:outlineLvl w:val="0"/>
        <w:rPr>
          <w:sz w:val="22"/>
          <w:szCs w:val="22"/>
        </w:rPr>
      </w:pPr>
      <w:r>
        <w:rPr>
          <w:sz w:val="22"/>
          <w:szCs w:val="22"/>
        </w:rPr>
        <w:t>для юридических лиц, зарегистрированных в форме обществ с ограниченной ответственностью:</w:t>
      </w:r>
    </w:p>
    <w:p>
      <w:pPr>
        <w:pStyle w:val="Normal"/>
        <w:numPr>
          <w:ilvl w:val="0"/>
          <w:numId w:val="8"/>
        </w:numPr>
        <w:tabs>
          <w:tab w:val="clear" w:pos="720"/>
          <w:tab w:val="left" w:pos="567" w:leader="none"/>
        </w:tabs>
        <w:ind w:firstLine="567" w:left="0"/>
        <w:jc w:val="both"/>
        <w:outlineLvl w:val="0"/>
        <w:rPr>
          <w:sz w:val="22"/>
          <w:szCs w:val="22"/>
        </w:rPr>
      </w:pPr>
      <w:r>
        <w:rPr>
          <w:sz w:val="22"/>
          <w:szCs w:val="22"/>
        </w:rPr>
        <w:t xml:space="preserve">учредительный договор/договор об учреждении (создании)/решение единственного учредителя о создании; </w:t>
      </w:r>
    </w:p>
    <w:p>
      <w:pPr>
        <w:pStyle w:val="Normal"/>
        <w:numPr>
          <w:ilvl w:val="0"/>
          <w:numId w:val="8"/>
        </w:numPr>
        <w:tabs>
          <w:tab w:val="clear" w:pos="720"/>
          <w:tab w:val="left" w:pos="567" w:leader="none"/>
        </w:tabs>
        <w:ind w:firstLine="567" w:left="0"/>
        <w:jc w:val="both"/>
        <w:outlineLvl w:val="0"/>
        <w:rPr>
          <w:sz w:val="22"/>
          <w:szCs w:val="22"/>
        </w:rPr>
      </w:pPr>
      <w:r>
        <w:rPr>
          <w:sz w:val="22"/>
          <w:szCs w:val="22"/>
        </w:rPr>
        <w:t>решение (протокол) о приеме новых участников;</w:t>
      </w:r>
    </w:p>
    <w:p>
      <w:pPr>
        <w:pStyle w:val="Normal"/>
        <w:numPr>
          <w:ilvl w:val="0"/>
          <w:numId w:val="8"/>
        </w:numPr>
        <w:tabs>
          <w:tab w:val="clear" w:pos="720"/>
          <w:tab w:val="left" w:pos="567" w:leader="none"/>
        </w:tabs>
        <w:ind w:firstLine="567" w:left="0"/>
        <w:jc w:val="both"/>
        <w:outlineLvl w:val="0"/>
        <w:rPr>
          <w:sz w:val="22"/>
          <w:szCs w:val="22"/>
        </w:rPr>
      </w:pPr>
      <w:r>
        <w:rPr>
          <w:sz w:val="22"/>
          <w:szCs w:val="22"/>
        </w:rPr>
        <w:t>устав.</w:t>
      </w:r>
    </w:p>
    <w:p>
      <w:pPr>
        <w:pStyle w:val="ListParagraph"/>
        <w:numPr>
          <w:ilvl w:val="2"/>
          <w:numId w:val="15"/>
        </w:numPr>
        <w:tabs>
          <w:tab w:val="clear" w:pos="720"/>
          <w:tab w:val="left" w:pos="567" w:leader="none"/>
        </w:tabs>
        <w:spacing w:before="0" w:after="0"/>
        <w:ind w:firstLine="567" w:left="0"/>
        <w:contextualSpacing w:val="false"/>
        <w:jc w:val="both"/>
        <w:outlineLvl w:val="0"/>
        <w:rPr>
          <w:sz w:val="22"/>
          <w:szCs w:val="22"/>
        </w:rPr>
      </w:pPr>
      <w:r>
        <w:rPr>
          <w:sz w:val="22"/>
          <w:szCs w:val="22"/>
        </w:rPr>
        <w:t xml:space="preserve">для юридических лиц, зарегистрированных в форме общественных или религиозных организаций (объединений): </w:t>
      </w:r>
    </w:p>
    <w:p>
      <w:pPr>
        <w:pStyle w:val="Normal"/>
        <w:numPr>
          <w:ilvl w:val="0"/>
          <w:numId w:val="8"/>
        </w:numPr>
        <w:tabs>
          <w:tab w:val="clear" w:pos="720"/>
          <w:tab w:val="left" w:pos="567" w:leader="none"/>
        </w:tabs>
        <w:ind w:firstLine="567" w:left="0"/>
        <w:jc w:val="both"/>
        <w:outlineLvl w:val="0"/>
        <w:rPr>
          <w:sz w:val="22"/>
          <w:szCs w:val="22"/>
        </w:rPr>
      </w:pPr>
      <w:r>
        <w:rPr>
          <w:sz w:val="22"/>
          <w:szCs w:val="22"/>
        </w:rPr>
        <w:t>учредительный договор или положение;</w:t>
      </w:r>
    </w:p>
    <w:p>
      <w:pPr>
        <w:pStyle w:val="Normal"/>
        <w:numPr>
          <w:ilvl w:val="0"/>
          <w:numId w:val="8"/>
        </w:numPr>
        <w:tabs>
          <w:tab w:val="clear" w:pos="720"/>
          <w:tab w:val="left" w:pos="567" w:leader="none"/>
        </w:tabs>
        <w:ind w:firstLine="567" w:left="0"/>
        <w:jc w:val="both"/>
        <w:outlineLvl w:val="0"/>
        <w:rPr>
          <w:sz w:val="22"/>
          <w:szCs w:val="22"/>
        </w:rPr>
      </w:pPr>
      <w:r>
        <w:rPr>
          <w:sz w:val="22"/>
          <w:szCs w:val="22"/>
        </w:rPr>
        <w:t>решение о создании.</w:t>
      </w:r>
    </w:p>
    <w:p>
      <w:pPr>
        <w:pStyle w:val="ListParagraph"/>
        <w:numPr>
          <w:ilvl w:val="2"/>
          <w:numId w:val="15"/>
        </w:numPr>
        <w:tabs>
          <w:tab w:val="clear" w:pos="720"/>
          <w:tab w:val="left" w:pos="567" w:leader="none"/>
        </w:tabs>
        <w:spacing w:before="0" w:after="0"/>
        <w:ind w:firstLine="567" w:left="0"/>
        <w:contextualSpacing w:val="false"/>
        <w:jc w:val="both"/>
        <w:outlineLvl w:val="0"/>
        <w:rPr>
          <w:sz w:val="22"/>
          <w:szCs w:val="22"/>
        </w:rPr>
      </w:pPr>
      <w:r>
        <w:rPr>
          <w:sz w:val="22"/>
          <w:szCs w:val="22"/>
        </w:rPr>
        <w:t xml:space="preserve">для юридических лиц, зарегистрированных в форме фонда: </w:t>
      </w:r>
    </w:p>
    <w:p>
      <w:pPr>
        <w:pStyle w:val="Normal"/>
        <w:numPr>
          <w:ilvl w:val="0"/>
          <w:numId w:val="8"/>
        </w:numPr>
        <w:tabs>
          <w:tab w:val="clear" w:pos="720"/>
          <w:tab w:val="left" w:pos="567" w:leader="none"/>
        </w:tabs>
        <w:ind w:firstLine="567" w:left="0"/>
        <w:jc w:val="both"/>
        <w:outlineLvl w:val="0"/>
        <w:rPr>
          <w:sz w:val="22"/>
          <w:szCs w:val="22"/>
        </w:rPr>
      </w:pPr>
      <w:r>
        <w:rPr>
          <w:sz w:val="22"/>
          <w:szCs w:val="22"/>
        </w:rPr>
        <w:t xml:space="preserve">документ о выборе (назначении) попечительского совета фонда; </w:t>
      </w:r>
    </w:p>
    <w:p>
      <w:pPr>
        <w:pStyle w:val="Normal"/>
        <w:numPr>
          <w:ilvl w:val="0"/>
          <w:numId w:val="8"/>
        </w:numPr>
        <w:tabs>
          <w:tab w:val="clear" w:pos="720"/>
          <w:tab w:val="left" w:pos="567" w:leader="none"/>
        </w:tabs>
        <w:ind w:firstLine="567" w:left="0"/>
        <w:jc w:val="both"/>
        <w:outlineLvl w:val="0"/>
        <w:rPr>
          <w:sz w:val="22"/>
          <w:szCs w:val="22"/>
        </w:rPr>
      </w:pPr>
      <w:r>
        <w:rPr>
          <w:sz w:val="22"/>
          <w:szCs w:val="22"/>
        </w:rPr>
        <w:t>решение о создании.</w:t>
      </w:r>
    </w:p>
    <w:p>
      <w:pPr>
        <w:pStyle w:val="ListParagraph"/>
        <w:numPr>
          <w:ilvl w:val="2"/>
          <w:numId w:val="15"/>
        </w:numPr>
        <w:tabs>
          <w:tab w:val="clear" w:pos="720"/>
          <w:tab w:val="left" w:pos="567" w:leader="none"/>
        </w:tabs>
        <w:spacing w:before="0" w:after="0"/>
        <w:ind w:firstLine="567" w:left="0"/>
        <w:contextualSpacing w:val="false"/>
        <w:jc w:val="both"/>
        <w:outlineLvl w:val="0"/>
        <w:rPr>
          <w:sz w:val="22"/>
          <w:szCs w:val="22"/>
        </w:rPr>
      </w:pPr>
      <w:r>
        <w:rPr>
          <w:sz w:val="22"/>
          <w:szCs w:val="22"/>
        </w:rPr>
        <w:t>для юридических лиц, зарегистрированных в форме некоммерческого партнерства:</w:t>
      </w:r>
    </w:p>
    <w:p>
      <w:pPr>
        <w:pStyle w:val="Normal"/>
        <w:numPr>
          <w:ilvl w:val="0"/>
          <w:numId w:val="8"/>
        </w:numPr>
        <w:tabs>
          <w:tab w:val="clear" w:pos="720"/>
          <w:tab w:val="left" w:pos="567" w:leader="none"/>
        </w:tabs>
        <w:ind w:firstLine="567" w:left="0"/>
        <w:outlineLvl w:val="0"/>
        <w:rPr>
          <w:sz w:val="22"/>
          <w:szCs w:val="22"/>
        </w:rPr>
      </w:pPr>
      <w:r>
        <w:rPr>
          <w:sz w:val="22"/>
          <w:szCs w:val="22"/>
        </w:rPr>
        <w:t xml:space="preserve">решение и договор о создании. </w:t>
      </w:r>
    </w:p>
    <w:p>
      <w:pPr>
        <w:pStyle w:val="ListParagraph"/>
        <w:numPr>
          <w:ilvl w:val="2"/>
          <w:numId w:val="15"/>
        </w:numPr>
        <w:tabs>
          <w:tab w:val="clear" w:pos="720"/>
          <w:tab w:val="left" w:pos="567" w:leader="none"/>
        </w:tabs>
        <w:spacing w:before="0" w:after="0"/>
        <w:ind w:firstLine="567" w:left="0"/>
        <w:contextualSpacing w:val="false"/>
        <w:jc w:val="both"/>
        <w:outlineLvl w:val="0"/>
        <w:rPr>
          <w:sz w:val="22"/>
          <w:szCs w:val="22"/>
        </w:rPr>
      </w:pPr>
      <w:r>
        <w:rPr>
          <w:sz w:val="22"/>
          <w:szCs w:val="22"/>
        </w:rPr>
        <w:t xml:space="preserve">для иных организационно-правовых форм юридических лиц – документы, предусмотренные действующим законодательством РФ, устанавливающие правоспособность и правовой статус юридического лица, а также документы, содержащие сведения об учредителях (участниках, акционерах, товарищах или вкладчиках) или иных лицах, способных прямо или косвенно контролировать деятельность юридического лица. </w:t>
      </w:r>
    </w:p>
    <w:p>
      <w:pPr>
        <w:pStyle w:val="ListParagraph"/>
        <w:numPr>
          <w:ilvl w:val="2"/>
          <w:numId w:val="15"/>
        </w:numPr>
        <w:tabs>
          <w:tab w:val="clear" w:pos="720"/>
          <w:tab w:val="left" w:pos="567" w:leader="none"/>
        </w:tabs>
        <w:spacing w:before="0" w:after="0"/>
        <w:ind w:firstLine="567" w:left="0"/>
        <w:contextualSpacing w:val="false"/>
        <w:jc w:val="both"/>
        <w:outlineLvl w:val="0"/>
        <w:rPr>
          <w:sz w:val="22"/>
          <w:szCs w:val="22"/>
        </w:rPr>
      </w:pPr>
      <w:r>
        <w:rPr>
          <w:sz w:val="22"/>
          <w:szCs w:val="22"/>
        </w:rPr>
        <w:t>Для всех организаций, созданных и действующих в соответствии с законодательством иностранных государств:</w:t>
      </w:r>
    </w:p>
    <w:p>
      <w:pPr>
        <w:pStyle w:val="Normal"/>
        <w:numPr>
          <w:ilvl w:val="0"/>
          <w:numId w:val="8"/>
        </w:numPr>
        <w:ind w:firstLine="567" w:left="0"/>
        <w:jc w:val="both"/>
        <w:outlineLvl w:val="0"/>
        <w:rPr>
          <w:sz w:val="22"/>
          <w:szCs w:val="22"/>
        </w:rPr>
      </w:pPr>
      <w:r>
        <w:rPr>
          <w:sz w:val="22"/>
          <w:szCs w:val="22"/>
        </w:rPr>
        <w:t>выписка из торгового реестра страны инкорпорации;</w:t>
      </w:r>
    </w:p>
    <w:p>
      <w:pPr>
        <w:pStyle w:val="Normal"/>
        <w:numPr>
          <w:ilvl w:val="0"/>
          <w:numId w:val="8"/>
        </w:numPr>
        <w:ind w:firstLine="567" w:left="0"/>
        <w:jc w:val="both"/>
        <w:outlineLvl w:val="0"/>
        <w:rPr>
          <w:sz w:val="22"/>
          <w:szCs w:val="22"/>
        </w:rPr>
      </w:pPr>
      <w:r>
        <w:rPr>
          <w:sz w:val="22"/>
          <w:szCs w:val="22"/>
        </w:rPr>
        <w:t>предусмотренные законодательством иностранного государства документы обо всех лицах, способных прямо или косвенно контролировать деятельность юридического лица.</w:t>
      </w:r>
    </w:p>
    <w:p>
      <w:pPr>
        <w:pStyle w:val="ListParagraph"/>
        <w:numPr>
          <w:ilvl w:val="2"/>
          <w:numId w:val="15"/>
        </w:numPr>
        <w:tabs>
          <w:tab w:val="clear" w:pos="720"/>
          <w:tab w:val="left" w:pos="567" w:leader="none"/>
        </w:tabs>
        <w:spacing w:before="0" w:after="0"/>
        <w:ind w:firstLine="567" w:left="0"/>
        <w:contextualSpacing w:val="false"/>
        <w:jc w:val="both"/>
        <w:outlineLvl w:val="0"/>
        <w:rPr>
          <w:sz w:val="22"/>
          <w:szCs w:val="22"/>
        </w:rPr>
      </w:pPr>
      <w:r>
        <w:rPr>
          <w:sz w:val="22"/>
          <w:szCs w:val="22"/>
        </w:rPr>
        <w:t>Для всех организаций независимо от страны инкорпорации и при наличии в составе учредителей, участников или иных владельцев доверительных управляющих, номинальных держателей, трастов или иных лиц, не являющихся собственниками – документы, служащие основанием прав таких лиц.</w:t>
      </w:r>
    </w:p>
    <w:p>
      <w:pPr>
        <w:pStyle w:val="ListParagraph"/>
        <w:numPr>
          <w:ilvl w:val="2"/>
          <w:numId w:val="15"/>
        </w:numPr>
        <w:tabs>
          <w:tab w:val="clear" w:pos="720"/>
          <w:tab w:val="left" w:pos="567" w:leader="none"/>
        </w:tabs>
        <w:spacing w:before="0" w:after="0"/>
        <w:ind w:firstLine="567" w:left="0"/>
        <w:contextualSpacing w:val="false"/>
        <w:jc w:val="both"/>
        <w:outlineLvl w:val="0"/>
        <w:rPr>
          <w:sz w:val="22"/>
          <w:szCs w:val="22"/>
        </w:rPr>
      </w:pPr>
      <w:r>
        <w:rPr>
          <w:sz w:val="22"/>
          <w:szCs w:val="22"/>
        </w:rPr>
        <w:t>Для физических лиц, являющихся налоговыми резидентами Российской Федерации – оригинал Согласия на передачу персональных и охраняемых законом данных по утверждённой форме.</w:t>
      </w:r>
    </w:p>
    <w:p>
      <w:pPr>
        <w:pStyle w:val="Normal"/>
        <w:numPr>
          <w:ilvl w:val="0"/>
          <w:numId w:val="0"/>
        </w:numPr>
        <w:tabs>
          <w:tab w:val="clear" w:pos="720"/>
          <w:tab w:val="left" w:pos="567" w:leader="none"/>
        </w:tabs>
        <w:ind w:firstLine="567"/>
        <w:jc w:val="both"/>
        <w:outlineLvl w:val="0"/>
        <w:rPr>
          <w:sz w:val="22"/>
          <w:szCs w:val="22"/>
        </w:rPr>
      </w:pPr>
      <w:r>
        <w:rPr>
          <w:sz w:val="22"/>
          <w:szCs w:val="22"/>
        </w:rPr>
        <w:t>6.12. 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numPr>
          <w:ilvl w:val="0"/>
          <w:numId w:val="0"/>
        </w:numPr>
        <w:tabs>
          <w:tab w:val="clear" w:pos="720"/>
          <w:tab w:val="left" w:pos="567" w:leader="none"/>
        </w:tabs>
        <w:ind w:firstLine="567"/>
        <w:jc w:val="both"/>
        <w:outlineLvl w:val="0"/>
        <w:rPr>
          <w:sz w:val="22"/>
          <w:szCs w:val="22"/>
        </w:rPr>
      </w:pPr>
      <w:r>
        <w:rPr>
          <w:sz w:val="22"/>
          <w:szCs w:val="22"/>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numPr>
          <w:ilvl w:val="0"/>
          <w:numId w:val="0"/>
        </w:numPr>
        <w:tabs>
          <w:tab w:val="clear" w:pos="720"/>
          <w:tab w:val="left" w:pos="567" w:leader="none"/>
        </w:tabs>
        <w:ind w:firstLine="567"/>
        <w:jc w:val="both"/>
        <w:outlineLvl w:val="0"/>
        <w:rPr>
          <w:sz w:val="22"/>
          <w:szCs w:val="22"/>
        </w:rPr>
      </w:pPr>
      <w:r>
        <w:rPr>
          <w:sz w:val="22"/>
          <w:szCs w:val="22"/>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numPr>
          <w:ilvl w:val="0"/>
          <w:numId w:val="0"/>
        </w:numPr>
        <w:tabs>
          <w:tab w:val="clear" w:pos="720"/>
          <w:tab w:val="left" w:pos="567" w:leader="none"/>
        </w:tabs>
        <w:ind w:firstLine="567"/>
        <w:jc w:val="both"/>
        <w:outlineLvl w:val="0"/>
        <w:rPr>
          <w:sz w:val="22"/>
          <w:szCs w:val="22"/>
        </w:rPr>
      </w:pPr>
      <w:r>
        <w:rPr>
          <w:sz w:val="22"/>
          <w:szCs w:val="22"/>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numPr>
          <w:ilvl w:val="0"/>
          <w:numId w:val="0"/>
        </w:numPr>
        <w:tabs>
          <w:tab w:val="clear" w:pos="720"/>
          <w:tab w:val="left" w:pos="567" w:leader="none"/>
        </w:tabs>
        <w:ind w:firstLine="567"/>
        <w:jc w:val="both"/>
        <w:outlineLvl w:val="0"/>
        <w:rPr>
          <w:sz w:val="22"/>
          <w:szCs w:val="22"/>
        </w:rPr>
      </w:pPr>
      <w:r>
        <w:rPr>
          <w:sz w:val="22"/>
          <w:szCs w:val="22"/>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numPr>
          <w:ilvl w:val="0"/>
          <w:numId w:val="0"/>
        </w:numPr>
        <w:tabs>
          <w:tab w:val="clear" w:pos="720"/>
          <w:tab w:val="left" w:pos="567" w:leader="none"/>
        </w:tabs>
        <w:ind w:firstLine="567"/>
        <w:jc w:val="both"/>
        <w:outlineLvl w:val="0"/>
        <w:rPr>
          <w:sz w:val="22"/>
          <w:szCs w:val="22"/>
        </w:rPr>
      </w:pPr>
      <w:r>
        <w:rPr>
          <w:sz w:val="22"/>
          <w:szCs w:val="22"/>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numPr>
          <w:ilvl w:val="0"/>
          <w:numId w:val="0"/>
        </w:numPr>
        <w:tabs>
          <w:tab w:val="clear" w:pos="720"/>
          <w:tab w:val="left" w:pos="567" w:leader="none"/>
        </w:tabs>
        <w:ind w:firstLine="567"/>
        <w:jc w:val="both"/>
        <w:outlineLvl w:val="0"/>
        <w:rPr>
          <w:sz w:val="22"/>
          <w:szCs w:val="22"/>
        </w:rPr>
      </w:pPr>
      <w:r>
        <w:rPr>
          <w:sz w:val="22"/>
          <w:szCs w:val="22"/>
        </w:rPr>
        <w:t xml:space="preserve">Каналы связи Линия доверия Группы РусГидро: </w:t>
      </w:r>
    </w:p>
    <w:p>
      <w:pPr>
        <w:pStyle w:val="Normal"/>
        <w:numPr>
          <w:ilvl w:val="0"/>
          <w:numId w:val="0"/>
        </w:numPr>
        <w:tabs>
          <w:tab w:val="clear" w:pos="720"/>
          <w:tab w:val="left" w:pos="567" w:leader="none"/>
        </w:tabs>
        <w:ind w:firstLine="567"/>
        <w:jc w:val="both"/>
        <w:outlineLvl w:val="0"/>
        <w:rPr>
          <w:sz w:val="22"/>
          <w:szCs w:val="22"/>
        </w:rPr>
      </w:pPr>
      <w:r>
        <w:rPr>
          <w:sz w:val="22"/>
          <w:szCs w:val="22"/>
        </w:rPr>
        <w:t>Электронная почта: ld@rushydro.ru.</w:t>
      </w:r>
    </w:p>
    <w:p>
      <w:pPr>
        <w:pStyle w:val="Normal"/>
        <w:numPr>
          <w:ilvl w:val="0"/>
          <w:numId w:val="0"/>
        </w:numPr>
        <w:tabs>
          <w:tab w:val="clear" w:pos="720"/>
          <w:tab w:val="left" w:pos="567" w:leader="none"/>
        </w:tabs>
        <w:ind w:firstLine="567"/>
        <w:jc w:val="both"/>
        <w:outlineLvl w:val="0"/>
        <w:rPr>
          <w:sz w:val="22"/>
          <w:szCs w:val="22"/>
        </w:rPr>
      </w:pPr>
      <w:r>
        <w:rPr>
          <w:sz w:val="22"/>
          <w:szCs w:val="22"/>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Normal"/>
        <w:numPr>
          <w:ilvl w:val="0"/>
          <w:numId w:val="0"/>
        </w:numPr>
        <w:tabs>
          <w:tab w:val="clear" w:pos="720"/>
          <w:tab w:val="left" w:pos="567" w:leader="none"/>
        </w:tabs>
        <w:ind w:firstLine="567"/>
        <w:jc w:val="both"/>
        <w:outlineLvl w:val="0"/>
        <w:rPr>
          <w:sz w:val="22"/>
          <w:szCs w:val="22"/>
        </w:rPr>
      </w:pPr>
      <w:r>
        <w:rPr>
          <w:sz w:val="22"/>
          <w:szCs w:val="22"/>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numPr>
          <w:ilvl w:val="0"/>
          <w:numId w:val="0"/>
        </w:numPr>
        <w:tabs>
          <w:tab w:val="clear" w:pos="720"/>
          <w:tab w:val="left" w:pos="567" w:leader="none"/>
        </w:tabs>
        <w:ind w:firstLine="567"/>
        <w:jc w:val="both"/>
        <w:outlineLvl w:val="0"/>
        <w:rPr>
          <w:sz w:val="22"/>
          <w:szCs w:val="22"/>
        </w:rPr>
      </w:pPr>
      <w:r>
        <w:rPr>
          <w:sz w:val="22"/>
          <w:szCs w:val="22"/>
        </w:rPr>
      </w:r>
    </w:p>
    <w:p>
      <w:pPr>
        <w:pStyle w:val="Normal"/>
        <w:widowControl w:val="false"/>
        <w:numPr>
          <w:ilvl w:val="0"/>
          <w:numId w:val="15"/>
        </w:numPr>
        <w:shd w:val="clear" w:color="auto" w:fill="FFFFFF"/>
        <w:tabs>
          <w:tab w:val="clear" w:pos="720"/>
          <w:tab w:val="left" w:pos="426" w:leader="none"/>
        </w:tabs>
        <w:ind w:hanging="0" w:left="0"/>
        <w:jc w:val="center"/>
        <w:rPr>
          <w:b/>
          <w:bCs/>
          <w:sz w:val="22"/>
          <w:szCs w:val="22"/>
        </w:rPr>
      </w:pPr>
      <w:r>
        <w:rPr>
          <w:b/>
          <w:bCs/>
          <w:sz w:val="22"/>
          <w:szCs w:val="22"/>
        </w:rPr>
        <w:t>Особые положения</w:t>
      </w:r>
    </w:p>
    <w:p>
      <w:pPr>
        <w:pStyle w:val="Normal"/>
        <w:widowControl w:val="false"/>
        <w:shd w:val="clear" w:color="auto" w:fill="FFFFFF"/>
        <w:tabs>
          <w:tab w:val="clear" w:pos="720"/>
          <w:tab w:val="left" w:pos="1276" w:leader="none"/>
        </w:tabs>
        <w:ind w:left="567"/>
        <w:rPr>
          <w:b/>
          <w:bCs/>
          <w:sz w:val="22"/>
          <w:szCs w:val="22"/>
        </w:rPr>
      </w:pPr>
      <w:r>
        <w:rPr>
          <w:b/>
          <w:bCs/>
          <w:sz w:val="22"/>
          <w:szCs w:val="22"/>
        </w:rPr>
      </w:r>
    </w:p>
    <w:p>
      <w:pPr>
        <w:pStyle w:val="Normal"/>
        <w:widowControl w:val="false"/>
        <w:numPr>
          <w:ilvl w:val="1"/>
          <w:numId w:val="15"/>
        </w:numPr>
        <w:shd w:val="clear" w:color="auto" w:fill="FFFFFF"/>
        <w:tabs>
          <w:tab w:val="clear" w:pos="720"/>
          <w:tab w:val="left" w:pos="1276" w:leader="none"/>
        </w:tabs>
        <w:ind w:firstLine="567" w:left="0"/>
        <w:jc w:val="both"/>
        <w:rPr>
          <w:sz w:val="22"/>
          <w:szCs w:val="22"/>
        </w:rPr>
      </w:pPr>
      <w:r>
        <w:rPr>
          <w:sz w:val="22"/>
          <w:szCs w:val="22"/>
        </w:rPr>
        <w:t xml:space="preserve">Поставщик обязуется не привлекать и не допускать привлечения к исполнению обязательств по Договору (каждому из Договоров)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sz w:val="22"/>
            <w:szCs w:val="22"/>
          </w:rPr>
          <w:t>№ 18162/09</w:t>
        </w:r>
      </w:hyperlink>
      <w:r>
        <w:rPr>
          <w:sz w:val="22"/>
          <w:szCs w:val="22"/>
        </w:rPr>
        <w:t xml:space="preserve"> и от 25.05.2010 </w:t>
      </w:r>
      <w:hyperlink r:id="rId3">
        <w:r>
          <w:rPr>
            <w:sz w:val="22"/>
            <w:szCs w:val="22"/>
          </w:rPr>
          <w:t>№ 15658/09</w:t>
        </w:r>
      </w:hyperlink>
      <w:r>
        <w:rPr>
          <w:sz w:val="22"/>
          <w:szCs w:val="22"/>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4">
        <w:r>
          <w:rPr>
            <w:sz w:val="22"/>
            <w:szCs w:val="22"/>
          </w:rPr>
          <w:t>Критери</w:t>
        </w:r>
      </w:hyperlink>
      <w:r>
        <w:rPr>
          <w:sz w:val="22"/>
          <w:szCs w:val="22"/>
        </w:rPr>
        <w:t xml:space="preserve">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 </w:t>
      </w:r>
    </w:p>
    <w:p>
      <w:pPr>
        <w:pStyle w:val="Normal"/>
        <w:widowControl w:val="false"/>
        <w:numPr>
          <w:ilvl w:val="1"/>
          <w:numId w:val="15"/>
        </w:numPr>
        <w:shd w:val="clear" w:color="auto" w:fill="FFFFFF"/>
        <w:tabs>
          <w:tab w:val="clear" w:pos="720"/>
          <w:tab w:val="left" w:pos="1276" w:leader="none"/>
        </w:tabs>
        <w:ind w:firstLine="567" w:left="0"/>
        <w:jc w:val="both"/>
        <w:rPr>
          <w:sz w:val="22"/>
          <w:szCs w:val="22"/>
        </w:rPr>
      </w:pPr>
      <w:r>
        <w:rPr>
          <w:sz w:val="22"/>
          <w:szCs w:val="22"/>
        </w:rPr>
        <w:t xml:space="preserve">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 7.1 Договора, а также обеспечить прекращение участия таких организаций в исполнении Договора. </w:t>
      </w:r>
    </w:p>
    <w:p>
      <w:pPr>
        <w:pStyle w:val="Normal"/>
        <w:widowControl w:val="false"/>
        <w:numPr>
          <w:ilvl w:val="1"/>
          <w:numId w:val="15"/>
        </w:numPr>
        <w:shd w:val="clear" w:color="auto" w:fill="FFFFFF"/>
        <w:tabs>
          <w:tab w:val="clear" w:pos="720"/>
          <w:tab w:val="left" w:pos="1276" w:leader="none"/>
        </w:tabs>
        <w:ind w:firstLine="567" w:left="0"/>
        <w:jc w:val="both"/>
        <w:rPr>
          <w:sz w:val="22"/>
          <w:szCs w:val="22"/>
        </w:rPr>
      </w:pPr>
      <w:r>
        <w:rPr>
          <w:sz w:val="22"/>
          <w:szCs w:val="22"/>
        </w:rPr>
        <w:t>В случае нарушения Поставщиком обязательств, установленных в п.п. 7.1, 7.2 Договора, Покупатель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Поставщиком. 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pPr>
        <w:pStyle w:val="Normal"/>
        <w:widowControl w:val="false"/>
        <w:numPr>
          <w:ilvl w:val="1"/>
          <w:numId w:val="15"/>
        </w:numPr>
        <w:shd w:val="clear" w:color="auto" w:fill="FFFFFF"/>
        <w:tabs>
          <w:tab w:val="clear" w:pos="720"/>
          <w:tab w:val="left" w:pos="1276" w:leader="none"/>
        </w:tabs>
        <w:ind w:firstLine="567" w:left="0"/>
        <w:jc w:val="both"/>
        <w:rPr>
          <w:sz w:val="22"/>
          <w:szCs w:val="22"/>
        </w:rPr>
      </w:pPr>
      <w:r>
        <w:rPr>
          <w:sz w:val="22"/>
          <w:szCs w:val="22"/>
        </w:rPr>
        <w:t>При этом Поставщик принимает обязательство уплатить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Покупателю в результате нарушения обязательств, установленных в п.п. 7.1, 7.2 Договора, сверх суммы штрафа.</w:t>
      </w:r>
    </w:p>
    <w:p>
      <w:pPr>
        <w:pStyle w:val="Normal"/>
        <w:widowControl w:val="false"/>
        <w:numPr>
          <w:ilvl w:val="1"/>
          <w:numId w:val="15"/>
        </w:numPr>
        <w:shd w:val="clear" w:color="auto" w:fill="FFFFFF"/>
        <w:tabs>
          <w:tab w:val="clear" w:pos="720"/>
          <w:tab w:val="left" w:pos="1276" w:leader="none"/>
        </w:tabs>
        <w:ind w:firstLine="567" w:left="0"/>
        <w:jc w:val="both"/>
        <w:rPr>
          <w:sz w:val="22"/>
          <w:szCs w:val="22"/>
        </w:rPr>
      </w:pPr>
      <w:r>
        <w:rPr>
          <w:sz w:val="22"/>
          <w:szCs w:val="22"/>
        </w:rPr>
        <w:t>Штраф, предусмотренный п. 7.4 Договора, оплачивается в течение 10 (десяти) 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 п. 7.3 Договора.</w:t>
      </w:r>
    </w:p>
    <w:p>
      <w:pPr>
        <w:pStyle w:val="Normal"/>
        <w:widowControl w:val="false"/>
        <w:numPr>
          <w:ilvl w:val="1"/>
          <w:numId w:val="15"/>
        </w:numPr>
        <w:shd w:val="clear" w:color="auto" w:fill="FFFFFF"/>
        <w:tabs>
          <w:tab w:val="clear" w:pos="720"/>
          <w:tab w:val="left" w:pos="1276" w:leader="none"/>
        </w:tabs>
        <w:ind w:firstLine="567" w:left="0"/>
        <w:jc w:val="both"/>
        <w:rPr>
          <w:sz w:val="22"/>
          <w:szCs w:val="22"/>
        </w:rPr>
      </w:pPr>
      <w:r>
        <w:rPr>
          <w:sz w:val="22"/>
          <w:szCs w:val="22"/>
        </w:rPr>
        <w:t>Покупатель вправе приостановить осуществление платежей, причитающихся Поставщику, независимо от наличия оснований и наступления сроков таких платежей, до уплаты штрафа, предусмотренного п. 7.4 Договора, при этом Покупатель не будет считаться просрочившим и/или нарушившим свои обязательства по Договору.</w:t>
      </w:r>
    </w:p>
    <w:p>
      <w:pPr>
        <w:pStyle w:val="Normal"/>
        <w:widowControl w:val="false"/>
        <w:shd w:val="clear" w:color="auto" w:fill="FFFFFF"/>
        <w:tabs>
          <w:tab w:val="clear" w:pos="720"/>
          <w:tab w:val="left" w:pos="1276" w:leader="none"/>
        </w:tabs>
        <w:ind w:firstLine="567"/>
        <w:jc w:val="both"/>
        <w:rPr>
          <w:sz w:val="22"/>
          <w:szCs w:val="22"/>
        </w:rPr>
      </w:pPr>
      <w:r>
        <w:rPr>
          <w:sz w:val="22"/>
          <w:szCs w:val="22"/>
        </w:rPr>
        <w:t xml:space="preserve">Независимо от других положений Договора, обязательства Поставщика по п. 7.3-7.5 Договора продолжают действовать в течение 4 (четырех) лет после окончания срока действия Договора. </w:t>
      </w:r>
    </w:p>
    <w:p>
      <w:pPr>
        <w:pStyle w:val="Normal"/>
        <w:widowControl w:val="false"/>
        <w:shd w:val="clear" w:color="auto" w:fill="FFFFFF"/>
        <w:tabs>
          <w:tab w:val="clear" w:pos="720"/>
          <w:tab w:val="left" w:pos="1276" w:leader="none"/>
        </w:tabs>
        <w:ind w:firstLine="567"/>
        <w:jc w:val="both"/>
        <w:rPr>
          <w:sz w:val="22"/>
          <w:szCs w:val="22"/>
        </w:rPr>
      </w:pPr>
      <w:r>
        <w:rPr>
          <w:sz w:val="22"/>
          <w:szCs w:val="22"/>
        </w:rPr>
        <w:t xml:space="preserve"> </w:t>
      </w:r>
    </w:p>
    <w:p>
      <w:pPr>
        <w:pStyle w:val="Normal"/>
        <w:widowControl w:val="false"/>
        <w:numPr>
          <w:ilvl w:val="0"/>
          <w:numId w:val="15"/>
        </w:numPr>
        <w:shd w:val="clear" w:color="auto" w:fill="FFFFFF"/>
        <w:tabs>
          <w:tab w:val="clear" w:pos="720"/>
          <w:tab w:val="left" w:pos="284" w:leader="none"/>
        </w:tabs>
        <w:ind w:hanging="0" w:left="0"/>
        <w:jc w:val="center"/>
        <w:rPr>
          <w:b/>
          <w:bCs/>
          <w:sz w:val="22"/>
          <w:szCs w:val="22"/>
        </w:rPr>
      </w:pPr>
      <w:r>
        <w:rPr>
          <w:b/>
          <w:sz w:val="22"/>
          <w:szCs w:val="22"/>
        </w:rPr>
        <w:t>Форс</w:t>
      </w:r>
      <w:r>
        <w:rPr>
          <w:b/>
          <w:bCs/>
          <w:sz w:val="22"/>
          <w:szCs w:val="22"/>
        </w:rPr>
        <w:t>-мажор</w:t>
      </w:r>
    </w:p>
    <w:p>
      <w:pPr>
        <w:pStyle w:val="Normal"/>
        <w:widowControl w:val="false"/>
        <w:shd w:val="clear" w:color="auto" w:fill="FFFFFF"/>
        <w:ind w:left="567"/>
        <w:rPr>
          <w:b/>
          <w:bCs/>
          <w:sz w:val="22"/>
          <w:szCs w:val="22"/>
        </w:rPr>
      </w:pPr>
      <w:r>
        <w:rPr>
          <w:b/>
          <w:bCs/>
          <w:sz w:val="22"/>
          <w:szCs w:val="22"/>
        </w:rPr>
      </w:r>
    </w:p>
    <w:p>
      <w:pPr>
        <w:pStyle w:val="Normal"/>
        <w:widowControl w:val="false"/>
        <w:numPr>
          <w:ilvl w:val="1"/>
          <w:numId w:val="15"/>
        </w:numPr>
        <w:shd w:val="clear" w:color="auto" w:fill="FFFFFF"/>
        <w:tabs>
          <w:tab w:val="clear" w:pos="720"/>
          <w:tab w:val="left" w:pos="1283" w:leader="none"/>
        </w:tabs>
        <w:ind w:firstLine="567" w:left="0"/>
        <w:jc w:val="both"/>
        <w:rPr>
          <w:sz w:val="22"/>
          <w:szCs w:val="22"/>
        </w:rPr>
      </w:pPr>
      <w:r>
        <w:rPr>
          <w:sz w:val="22"/>
          <w:szCs w:val="22"/>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pPr>
        <w:pStyle w:val="Normal"/>
        <w:widowControl w:val="false"/>
        <w:numPr>
          <w:ilvl w:val="1"/>
          <w:numId w:val="15"/>
        </w:numPr>
        <w:shd w:val="clear" w:color="auto" w:fill="FFFFFF"/>
        <w:tabs>
          <w:tab w:val="clear" w:pos="720"/>
          <w:tab w:val="left" w:pos="1283" w:leader="none"/>
        </w:tabs>
        <w:ind w:firstLine="567" w:left="0"/>
        <w:jc w:val="both"/>
        <w:rPr>
          <w:sz w:val="22"/>
          <w:szCs w:val="22"/>
        </w:rPr>
      </w:pPr>
      <w:r>
        <w:rPr>
          <w:sz w:val="22"/>
          <w:szCs w:val="22"/>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Normal"/>
        <w:widowControl w:val="false"/>
        <w:numPr>
          <w:ilvl w:val="1"/>
          <w:numId w:val="15"/>
        </w:numPr>
        <w:shd w:val="clear" w:color="auto" w:fill="FFFFFF"/>
        <w:tabs>
          <w:tab w:val="clear" w:pos="720"/>
          <w:tab w:val="left" w:pos="1283" w:leader="none"/>
        </w:tabs>
        <w:ind w:firstLine="567" w:left="0"/>
        <w:jc w:val="both"/>
        <w:rPr>
          <w:sz w:val="22"/>
          <w:szCs w:val="22"/>
        </w:rPr>
      </w:pPr>
      <w:r>
        <w:rPr>
          <w:sz w:val="22"/>
          <w:szCs w:val="22"/>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pPr>
        <w:pStyle w:val="Normal"/>
        <w:widowControl w:val="false"/>
        <w:numPr>
          <w:ilvl w:val="1"/>
          <w:numId w:val="15"/>
        </w:numPr>
        <w:shd w:val="clear" w:color="auto" w:fill="FFFFFF"/>
        <w:tabs>
          <w:tab w:val="clear" w:pos="720"/>
          <w:tab w:val="left" w:pos="1283" w:leader="none"/>
        </w:tabs>
        <w:ind w:firstLine="567" w:left="0"/>
        <w:jc w:val="both"/>
        <w:rPr>
          <w:sz w:val="22"/>
          <w:szCs w:val="22"/>
        </w:rPr>
      </w:pPr>
      <w:r>
        <w:rPr>
          <w:sz w:val="22"/>
          <w:szCs w:val="22"/>
        </w:rPr>
        <w:t xml:space="preserve">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pPr>
        <w:pStyle w:val="Normal"/>
        <w:widowControl w:val="false"/>
        <w:numPr>
          <w:ilvl w:val="1"/>
          <w:numId w:val="15"/>
        </w:numPr>
        <w:shd w:val="clear" w:color="auto" w:fill="FFFFFF"/>
        <w:tabs>
          <w:tab w:val="clear" w:pos="720"/>
          <w:tab w:val="left" w:pos="1283" w:leader="none"/>
        </w:tabs>
        <w:ind w:firstLine="567" w:left="0"/>
        <w:jc w:val="both"/>
        <w:rPr>
          <w:sz w:val="22"/>
          <w:szCs w:val="22"/>
        </w:rPr>
      </w:pPr>
      <w:r>
        <w:rPr>
          <w:sz w:val="22"/>
          <w:szCs w:val="22"/>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pPr>
        <w:pStyle w:val="Normal"/>
        <w:widowControl w:val="false"/>
        <w:numPr>
          <w:ilvl w:val="1"/>
          <w:numId w:val="15"/>
        </w:numPr>
        <w:shd w:val="clear" w:color="auto" w:fill="FFFFFF"/>
        <w:tabs>
          <w:tab w:val="clear" w:pos="720"/>
          <w:tab w:val="left" w:pos="1283" w:leader="none"/>
        </w:tabs>
        <w:ind w:firstLine="567" w:left="0"/>
        <w:jc w:val="both"/>
        <w:rPr>
          <w:sz w:val="22"/>
          <w:szCs w:val="22"/>
        </w:rPr>
      </w:pPr>
      <w:r>
        <w:rPr>
          <w:sz w:val="22"/>
          <w:szCs w:val="22"/>
        </w:rPr>
        <w:t>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pPr>
        <w:pStyle w:val="Normal"/>
        <w:widowControl w:val="false"/>
        <w:shd w:val="clear" w:color="auto" w:fill="FFFFFF"/>
        <w:tabs>
          <w:tab w:val="clear" w:pos="720"/>
          <w:tab w:val="left" w:pos="1425" w:leader="none"/>
          <w:tab w:val="left" w:pos="5321" w:leader="none"/>
        </w:tabs>
        <w:ind w:left="567"/>
        <w:jc w:val="both"/>
        <w:rPr>
          <w:sz w:val="22"/>
          <w:szCs w:val="22"/>
        </w:rPr>
      </w:pPr>
      <w:r>
        <w:rPr>
          <w:sz w:val="22"/>
          <w:szCs w:val="22"/>
        </w:rPr>
      </w:r>
    </w:p>
    <w:p>
      <w:pPr>
        <w:pStyle w:val="Normal"/>
        <w:widowControl w:val="false"/>
        <w:numPr>
          <w:ilvl w:val="0"/>
          <w:numId w:val="15"/>
        </w:numPr>
        <w:shd w:val="clear" w:color="auto" w:fill="FFFFFF"/>
        <w:tabs>
          <w:tab w:val="clear" w:pos="720"/>
          <w:tab w:val="left" w:pos="420" w:leader="none"/>
          <w:tab w:val="left" w:pos="930" w:leader="none"/>
          <w:tab w:val="left" w:pos="1470" w:leader="none"/>
          <w:tab w:val="left" w:pos="2085" w:leader="none"/>
          <w:tab w:val="left" w:pos="4260" w:leader="none"/>
        </w:tabs>
        <w:ind w:hanging="0" w:left="0"/>
        <w:jc w:val="center"/>
        <w:rPr>
          <w:b/>
          <w:bCs/>
          <w:sz w:val="22"/>
          <w:szCs w:val="22"/>
        </w:rPr>
      </w:pPr>
      <w:r>
        <w:rPr>
          <w:b/>
          <w:sz w:val="22"/>
          <w:szCs w:val="22"/>
        </w:rPr>
        <w:t>Конфиденциальность</w:t>
      </w:r>
    </w:p>
    <w:p>
      <w:pPr>
        <w:pStyle w:val="Normal"/>
        <w:widowControl w:val="false"/>
        <w:shd w:val="clear" w:color="auto" w:fill="FFFFFF"/>
        <w:ind w:left="567"/>
        <w:rPr>
          <w:b/>
          <w:bCs/>
          <w:sz w:val="22"/>
          <w:szCs w:val="22"/>
        </w:rPr>
      </w:pPr>
      <w:r>
        <w:rPr>
          <w:b/>
          <w:bCs/>
          <w:sz w:val="22"/>
          <w:szCs w:val="22"/>
        </w:rPr>
      </w:r>
    </w:p>
    <w:p>
      <w:pPr>
        <w:pStyle w:val="Normal"/>
        <w:widowControl w:val="false"/>
        <w:numPr>
          <w:ilvl w:val="1"/>
          <w:numId w:val="15"/>
        </w:numPr>
        <w:shd w:val="clear" w:color="auto" w:fill="FFFFFF"/>
        <w:tabs>
          <w:tab w:val="clear" w:pos="720"/>
          <w:tab w:val="left" w:pos="1283" w:leader="none"/>
        </w:tabs>
        <w:ind w:firstLine="567" w:left="0"/>
        <w:jc w:val="both"/>
        <w:rPr>
          <w:sz w:val="22"/>
          <w:szCs w:val="22"/>
        </w:rPr>
      </w:pPr>
      <w:r>
        <w:rPr>
          <w:sz w:val="22"/>
          <w:szCs w:val="22"/>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7"/>
        </w:numPr>
        <w:tabs>
          <w:tab w:val="clear" w:pos="720"/>
          <w:tab w:val="left" w:pos="709" w:leader="none"/>
        </w:tabs>
        <w:ind w:firstLine="567" w:left="0"/>
        <w:jc w:val="both"/>
        <w:rPr>
          <w:bCs/>
          <w:sz w:val="22"/>
          <w:szCs w:val="22"/>
        </w:rPr>
      </w:pPr>
      <w:r>
        <w:rPr>
          <w:bCs/>
          <w:sz w:val="22"/>
          <w:szCs w:val="22"/>
        </w:rPr>
        <w:t xml:space="preserve"> </w:t>
      </w:r>
      <w:r>
        <w:rPr>
          <w:bCs/>
          <w:sz w:val="22"/>
          <w:szCs w:val="22"/>
        </w:rPr>
        <w:t>данная Информация имеет действительную или потенциальную коммерческую ценность для Покупателя в силу неизвестности ее третьим лицам;</w:t>
      </w:r>
    </w:p>
    <w:p>
      <w:pPr>
        <w:pStyle w:val="Normal"/>
        <w:numPr>
          <w:ilvl w:val="0"/>
          <w:numId w:val="7"/>
        </w:numPr>
        <w:tabs>
          <w:tab w:val="clear" w:pos="720"/>
          <w:tab w:val="left" w:pos="709" w:leader="none"/>
        </w:tabs>
        <w:ind w:firstLine="567" w:left="0"/>
        <w:jc w:val="both"/>
        <w:rPr>
          <w:bCs/>
          <w:sz w:val="22"/>
          <w:szCs w:val="22"/>
        </w:rPr>
      </w:pPr>
      <w:r>
        <w:rPr>
          <w:bCs/>
          <w:sz w:val="22"/>
          <w:szCs w:val="22"/>
        </w:rPr>
        <w:t xml:space="preserve"> </w:t>
      </w:r>
      <w:r>
        <w:rPr>
          <w:bCs/>
          <w:sz w:val="22"/>
          <w:szCs w:val="22"/>
        </w:rPr>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pPr>
        <w:pStyle w:val="Normal"/>
        <w:widowControl w:val="false"/>
        <w:numPr>
          <w:ilvl w:val="1"/>
          <w:numId w:val="15"/>
        </w:numPr>
        <w:shd w:val="clear" w:color="auto" w:fill="FFFFFF"/>
        <w:tabs>
          <w:tab w:val="clear" w:pos="720"/>
          <w:tab w:val="left" w:pos="1283" w:leader="none"/>
        </w:tabs>
        <w:ind w:firstLine="567" w:left="0"/>
        <w:jc w:val="both"/>
        <w:rPr>
          <w:sz w:val="22"/>
          <w:szCs w:val="22"/>
        </w:rPr>
      </w:pPr>
      <w:r>
        <w:rPr>
          <w:sz w:val="22"/>
          <w:szCs w:val="22"/>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Normal"/>
        <w:widowControl w:val="false"/>
        <w:numPr>
          <w:ilvl w:val="1"/>
          <w:numId w:val="15"/>
        </w:numPr>
        <w:shd w:val="clear" w:color="auto" w:fill="FFFFFF"/>
        <w:tabs>
          <w:tab w:val="clear" w:pos="720"/>
          <w:tab w:val="left" w:pos="1283" w:leader="none"/>
        </w:tabs>
        <w:ind w:firstLine="567" w:left="0"/>
        <w:jc w:val="both"/>
        <w:rPr>
          <w:sz w:val="22"/>
          <w:szCs w:val="22"/>
        </w:rPr>
      </w:pPr>
      <w:r>
        <w:rPr>
          <w:sz w:val="22"/>
          <w:szCs w:val="22"/>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Normal"/>
        <w:widowControl w:val="false"/>
        <w:numPr>
          <w:ilvl w:val="1"/>
          <w:numId w:val="15"/>
        </w:numPr>
        <w:shd w:val="clear" w:color="auto" w:fill="FFFFFF"/>
        <w:tabs>
          <w:tab w:val="clear" w:pos="720"/>
          <w:tab w:val="left" w:pos="1283" w:leader="none"/>
        </w:tabs>
        <w:ind w:firstLine="567" w:left="0"/>
        <w:jc w:val="both"/>
        <w:rPr>
          <w:sz w:val="22"/>
          <w:szCs w:val="22"/>
        </w:rPr>
      </w:pPr>
      <w:r>
        <w:rPr>
          <w:sz w:val="22"/>
          <w:szCs w:val="22"/>
        </w:rPr>
        <w:t>На документ, содержащий Информацию, Покупателем может быть нанесен гриф «Коммерческая тайна» с указанием обладателя этой информации.</w:t>
      </w:r>
    </w:p>
    <w:p>
      <w:pPr>
        <w:pStyle w:val="Normal"/>
        <w:widowControl w:val="false"/>
        <w:numPr>
          <w:ilvl w:val="1"/>
          <w:numId w:val="15"/>
        </w:numPr>
        <w:shd w:val="clear" w:color="auto" w:fill="FFFFFF"/>
        <w:tabs>
          <w:tab w:val="clear" w:pos="720"/>
          <w:tab w:val="left" w:pos="1283" w:leader="none"/>
        </w:tabs>
        <w:ind w:firstLine="567" w:left="0"/>
        <w:jc w:val="both"/>
        <w:rPr>
          <w:sz w:val="22"/>
          <w:szCs w:val="22"/>
        </w:rPr>
      </w:pPr>
      <w:r>
        <w:rPr>
          <w:sz w:val="22"/>
          <w:szCs w:val="22"/>
        </w:rPr>
        <w:t>Информация, подлежащая сохранению в тайне и неразглашению, может включать в себя, без ограничения приведенным перечнем:</w:t>
      </w:r>
    </w:p>
    <w:p>
      <w:pPr>
        <w:pStyle w:val="Normal"/>
        <w:numPr>
          <w:ilvl w:val="0"/>
          <w:numId w:val="7"/>
        </w:numPr>
        <w:tabs>
          <w:tab w:val="clear" w:pos="720"/>
          <w:tab w:val="left" w:pos="0" w:leader="none"/>
        </w:tabs>
        <w:ind w:firstLine="567" w:left="0"/>
        <w:jc w:val="both"/>
        <w:rPr>
          <w:bCs/>
          <w:sz w:val="22"/>
          <w:szCs w:val="22"/>
        </w:rPr>
      </w:pPr>
      <w:r>
        <w:rPr>
          <w:bCs/>
          <w:sz w:val="22"/>
          <w:szCs w:val="22"/>
        </w:rPr>
        <w:t>финансовую отчетность;</w:t>
      </w:r>
    </w:p>
    <w:p>
      <w:pPr>
        <w:pStyle w:val="Normal"/>
        <w:numPr>
          <w:ilvl w:val="0"/>
          <w:numId w:val="7"/>
        </w:numPr>
        <w:tabs>
          <w:tab w:val="clear" w:pos="720"/>
          <w:tab w:val="left" w:pos="0" w:leader="none"/>
        </w:tabs>
        <w:ind w:firstLine="567" w:left="0"/>
        <w:jc w:val="both"/>
        <w:rPr>
          <w:bCs/>
          <w:sz w:val="22"/>
          <w:szCs w:val="22"/>
        </w:rPr>
      </w:pPr>
      <w:r>
        <w:rPr>
          <w:bCs/>
          <w:sz w:val="22"/>
          <w:szCs w:val="22"/>
        </w:rPr>
        <w:t>учетные регистры бухгалтерского учета;</w:t>
      </w:r>
    </w:p>
    <w:p>
      <w:pPr>
        <w:pStyle w:val="Normal"/>
        <w:numPr>
          <w:ilvl w:val="0"/>
          <w:numId w:val="7"/>
        </w:numPr>
        <w:tabs>
          <w:tab w:val="clear" w:pos="720"/>
          <w:tab w:val="left" w:pos="0" w:leader="none"/>
        </w:tabs>
        <w:ind w:firstLine="567" w:left="0"/>
        <w:jc w:val="both"/>
        <w:rPr>
          <w:bCs/>
          <w:sz w:val="22"/>
          <w:szCs w:val="22"/>
        </w:rPr>
      </w:pPr>
      <w:r>
        <w:rPr>
          <w:bCs/>
          <w:sz w:val="22"/>
          <w:szCs w:val="22"/>
        </w:rPr>
        <w:t>бизнес-планы;</w:t>
      </w:r>
    </w:p>
    <w:p>
      <w:pPr>
        <w:pStyle w:val="Normal"/>
        <w:numPr>
          <w:ilvl w:val="0"/>
          <w:numId w:val="7"/>
        </w:numPr>
        <w:tabs>
          <w:tab w:val="clear" w:pos="720"/>
          <w:tab w:val="left" w:pos="0" w:leader="none"/>
        </w:tabs>
        <w:ind w:firstLine="567" w:left="0"/>
        <w:jc w:val="both"/>
        <w:rPr>
          <w:bCs/>
          <w:sz w:val="22"/>
          <w:szCs w:val="22"/>
        </w:rPr>
      </w:pPr>
      <w:r>
        <w:rPr>
          <w:bCs/>
          <w:sz w:val="22"/>
          <w:szCs w:val="22"/>
        </w:rPr>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pPr>
        <w:pStyle w:val="Normal"/>
        <w:numPr>
          <w:ilvl w:val="0"/>
          <w:numId w:val="7"/>
        </w:numPr>
        <w:tabs>
          <w:tab w:val="clear" w:pos="720"/>
          <w:tab w:val="left" w:pos="0" w:leader="none"/>
        </w:tabs>
        <w:ind w:firstLine="567" w:left="0"/>
        <w:jc w:val="both"/>
        <w:rPr>
          <w:bCs/>
          <w:sz w:val="22"/>
          <w:szCs w:val="22"/>
        </w:rPr>
      </w:pPr>
      <w:r>
        <w:rPr>
          <w:bCs/>
          <w:sz w:val="22"/>
          <w:szCs w:val="22"/>
        </w:rPr>
        <w:t>сведения о финансовых, правовых, организационных и других взаимоотношениях между Покупателем и третьими лицами;</w:t>
      </w:r>
    </w:p>
    <w:p>
      <w:pPr>
        <w:pStyle w:val="Normal"/>
        <w:numPr>
          <w:ilvl w:val="0"/>
          <w:numId w:val="7"/>
        </w:numPr>
        <w:tabs>
          <w:tab w:val="clear" w:pos="720"/>
          <w:tab w:val="left" w:pos="0" w:leader="none"/>
        </w:tabs>
        <w:ind w:firstLine="567" w:left="0"/>
        <w:jc w:val="both"/>
        <w:rPr>
          <w:bCs/>
          <w:sz w:val="22"/>
          <w:szCs w:val="22"/>
        </w:rPr>
      </w:pPr>
      <w:r>
        <w:rPr>
          <w:bCs/>
          <w:sz w:val="22"/>
          <w:szCs w:val="22"/>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7"/>
        </w:numPr>
        <w:tabs>
          <w:tab w:val="clear" w:pos="720"/>
          <w:tab w:val="left" w:pos="0" w:leader="none"/>
        </w:tabs>
        <w:ind w:firstLine="567" w:left="0"/>
        <w:jc w:val="both"/>
        <w:rPr>
          <w:bCs/>
          <w:sz w:val="22"/>
          <w:szCs w:val="22"/>
        </w:rPr>
      </w:pPr>
      <w:r>
        <w:rPr>
          <w:bCs/>
          <w:sz w:val="22"/>
          <w:szCs w:val="22"/>
        </w:rPr>
        <w:t>сведения о подрядчиках, поставщиках оборудования, сырья и материалов, а также о покупателях продукции и их аффилированных лицах;</w:t>
      </w:r>
    </w:p>
    <w:p>
      <w:pPr>
        <w:pStyle w:val="Normal"/>
        <w:numPr>
          <w:ilvl w:val="0"/>
          <w:numId w:val="7"/>
        </w:numPr>
        <w:tabs>
          <w:tab w:val="clear" w:pos="720"/>
          <w:tab w:val="left" w:pos="0" w:leader="none"/>
        </w:tabs>
        <w:ind w:firstLine="567" w:left="0"/>
        <w:jc w:val="both"/>
        <w:rPr>
          <w:bCs/>
          <w:sz w:val="22"/>
          <w:szCs w:val="22"/>
        </w:rPr>
      </w:pPr>
      <w:r>
        <w:rPr>
          <w:bCs/>
          <w:sz w:val="22"/>
          <w:szCs w:val="22"/>
        </w:rPr>
        <w:t>сведения об объемах производства и/или реализации продукции и услуг Заказчика или его аффилированных лиц;</w:t>
      </w:r>
    </w:p>
    <w:p>
      <w:pPr>
        <w:pStyle w:val="Normal"/>
        <w:numPr>
          <w:ilvl w:val="0"/>
          <w:numId w:val="7"/>
        </w:numPr>
        <w:tabs>
          <w:tab w:val="clear" w:pos="720"/>
          <w:tab w:val="left" w:pos="0" w:leader="none"/>
        </w:tabs>
        <w:ind w:firstLine="567" w:left="0"/>
        <w:jc w:val="both"/>
        <w:rPr>
          <w:bCs/>
          <w:sz w:val="22"/>
          <w:szCs w:val="22"/>
        </w:rPr>
      </w:pPr>
      <w:r>
        <w:rPr>
          <w:bCs/>
          <w:sz w:val="22"/>
          <w:szCs w:val="22"/>
        </w:rPr>
        <w:t>материалы обобщения, анализа, оценки, иных действий по обработке вышеуказанной Информации и документов.</w:t>
      </w:r>
    </w:p>
    <w:p>
      <w:pPr>
        <w:pStyle w:val="Normal"/>
        <w:widowControl w:val="false"/>
        <w:numPr>
          <w:ilvl w:val="1"/>
          <w:numId w:val="15"/>
        </w:numPr>
        <w:shd w:val="clear" w:color="auto" w:fill="FFFFFF"/>
        <w:tabs>
          <w:tab w:val="clear" w:pos="720"/>
          <w:tab w:val="left" w:pos="1283" w:leader="none"/>
        </w:tabs>
        <w:ind w:firstLine="567" w:left="0"/>
        <w:jc w:val="both"/>
        <w:rPr>
          <w:sz w:val="22"/>
          <w:szCs w:val="22"/>
        </w:rPr>
      </w:pPr>
      <w:r>
        <w:rPr>
          <w:sz w:val="22"/>
          <w:szCs w:val="22"/>
        </w:rPr>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pPr>
        <w:pStyle w:val="Normal"/>
        <w:widowControl w:val="false"/>
        <w:numPr>
          <w:ilvl w:val="2"/>
          <w:numId w:val="15"/>
        </w:numPr>
        <w:shd w:val="clear" w:color="auto" w:fill="FFFFFF"/>
        <w:tabs>
          <w:tab w:val="clear" w:pos="720"/>
          <w:tab w:val="left" w:pos="1276" w:leader="none"/>
        </w:tabs>
        <w:ind w:firstLine="567" w:left="0"/>
        <w:jc w:val="both"/>
        <w:rPr>
          <w:sz w:val="22"/>
          <w:szCs w:val="22"/>
        </w:rPr>
      </w:pPr>
      <w:r>
        <w:rPr>
          <w:sz w:val="22"/>
          <w:szCs w:val="22"/>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 и п. 9.6.7 Договора;</w:t>
      </w:r>
    </w:p>
    <w:p>
      <w:pPr>
        <w:pStyle w:val="Normal"/>
        <w:widowControl w:val="false"/>
        <w:numPr>
          <w:ilvl w:val="2"/>
          <w:numId w:val="15"/>
        </w:numPr>
        <w:shd w:val="clear" w:color="auto" w:fill="FFFFFF"/>
        <w:tabs>
          <w:tab w:val="clear" w:pos="720"/>
          <w:tab w:val="left" w:pos="1276" w:leader="none"/>
        </w:tabs>
        <w:ind w:firstLine="567" w:left="0"/>
        <w:jc w:val="both"/>
        <w:rPr>
          <w:sz w:val="22"/>
          <w:szCs w:val="22"/>
        </w:rPr>
      </w:pPr>
      <w:r>
        <w:rPr>
          <w:sz w:val="22"/>
          <w:szCs w:val="22"/>
        </w:rPr>
        <w:t>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pPr>
        <w:pStyle w:val="Normal"/>
        <w:widowControl w:val="false"/>
        <w:numPr>
          <w:ilvl w:val="2"/>
          <w:numId w:val="15"/>
        </w:numPr>
        <w:shd w:val="clear" w:color="auto" w:fill="FFFFFF"/>
        <w:tabs>
          <w:tab w:val="clear" w:pos="720"/>
          <w:tab w:val="left" w:pos="1276" w:leader="none"/>
        </w:tabs>
        <w:ind w:firstLine="567" w:left="0"/>
        <w:jc w:val="both"/>
        <w:rPr>
          <w:sz w:val="22"/>
          <w:szCs w:val="22"/>
        </w:rPr>
      </w:pPr>
      <w:r>
        <w:rPr>
          <w:sz w:val="22"/>
          <w:szCs w:val="22"/>
        </w:rPr>
        <w:t xml:space="preserve">использовать Информацию исключительно для целей, для которых она была предоставлена; </w:t>
      </w:r>
    </w:p>
    <w:p>
      <w:pPr>
        <w:pStyle w:val="Normal"/>
        <w:widowControl w:val="false"/>
        <w:numPr>
          <w:ilvl w:val="2"/>
          <w:numId w:val="15"/>
        </w:numPr>
        <w:shd w:val="clear" w:color="auto" w:fill="FFFFFF"/>
        <w:tabs>
          <w:tab w:val="clear" w:pos="720"/>
          <w:tab w:val="left" w:pos="1276" w:leader="none"/>
        </w:tabs>
        <w:ind w:firstLine="567" w:left="0"/>
        <w:jc w:val="both"/>
        <w:rPr>
          <w:sz w:val="22"/>
          <w:szCs w:val="22"/>
        </w:rPr>
      </w:pPr>
      <w:r>
        <w:rPr>
          <w:sz w:val="22"/>
          <w:szCs w:val="22"/>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Normal"/>
        <w:widowControl w:val="false"/>
        <w:numPr>
          <w:ilvl w:val="2"/>
          <w:numId w:val="15"/>
        </w:numPr>
        <w:shd w:val="clear" w:color="auto" w:fill="FFFFFF"/>
        <w:tabs>
          <w:tab w:val="clear" w:pos="720"/>
          <w:tab w:val="left" w:pos="1276" w:leader="none"/>
        </w:tabs>
        <w:ind w:firstLine="567" w:left="0"/>
        <w:jc w:val="both"/>
        <w:rPr>
          <w:sz w:val="22"/>
          <w:szCs w:val="22"/>
        </w:rPr>
      </w:pPr>
      <w:r>
        <w:rPr>
          <w:sz w:val="22"/>
          <w:szCs w:val="22"/>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pPr>
        <w:pStyle w:val="Normal"/>
        <w:widowControl w:val="false"/>
        <w:numPr>
          <w:ilvl w:val="2"/>
          <w:numId w:val="15"/>
        </w:numPr>
        <w:shd w:val="clear" w:color="auto" w:fill="FFFFFF"/>
        <w:tabs>
          <w:tab w:val="clear" w:pos="720"/>
          <w:tab w:val="left" w:pos="1276" w:leader="none"/>
        </w:tabs>
        <w:ind w:firstLine="567" w:left="0"/>
        <w:jc w:val="both"/>
        <w:rPr>
          <w:sz w:val="22"/>
          <w:szCs w:val="22"/>
        </w:rPr>
      </w:pPr>
      <w:r>
        <w:rPr>
          <w:sz w:val="22"/>
          <w:szCs w:val="22"/>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Normal"/>
        <w:widowControl w:val="false"/>
        <w:numPr>
          <w:ilvl w:val="2"/>
          <w:numId w:val="15"/>
        </w:numPr>
        <w:shd w:val="clear" w:color="auto" w:fill="FFFFFF"/>
        <w:tabs>
          <w:tab w:val="clear" w:pos="720"/>
          <w:tab w:val="left" w:pos="1276" w:leader="none"/>
        </w:tabs>
        <w:ind w:firstLine="567" w:left="0"/>
        <w:jc w:val="both"/>
        <w:rPr>
          <w:sz w:val="22"/>
          <w:szCs w:val="22"/>
        </w:rPr>
      </w:pPr>
      <w:r>
        <w:rPr>
          <w:sz w:val="22"/>
          <w:szCs w:val="22"/>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pPr>
        <w:pStyle w:val="Normal"/>
        <w:widowControl w:val="false"/>
        <w:numPr>
          <w:ilvl w:val="2"/>
          <w:numId w:val="15"/>
        </w:numPr>
        <w:shd w:val="clear" w:color="auto" w:fill="FFFFFF"/>
        <w:tabs>
          <w:tab w:val="clear" w:pos="720"/>
          <w:tab w:val="left" w:pos="1276" w:leader="none"/>
        </w:tabs>
        <w:ind w:firstLine="567" w:left="0"/>
        <w:jc w:val="both"/>
        <w:rPr>
          <w:sz w:val="22"/>
          <w:szCs w:val="22"/>
        </w:rPr>
      </w:pPr>
      <w:r>
        <w:rPr>
          <w:sz w:val="22"/>
          <w:szCs w:val="22"/>
        </w:rPr>
        <w:t>не разглашать третьим лицам факта передачи или получения Информации.</w:t>
      </w:r>
    </w:p>
    <w:p>
      <w:pPr>
        <w:pStyle w:val="Normal"/>
        <w:widowControl w:val="false"/>
        <w:numPr>
          <w:ilvl w:val="1"/>
          <w:numId w:val="15"/>
        </w:numPr>
        <w:shd w:val="clear" w:color="auto" w:fill="FFFFFF"/>
        <w:tabs>
          <w:tab w:val="clear" w:pos="720"/>
          <w:tab w:val="left" w:pos="1283" w:leader="none"/>
        </w:tabs>
        <w:ind w:firstLine="567" w:left="0"/>
        <w:jc w:val="both"/>
        <w:rPr>
          <w:sz w:val="22"/>
          <w:szCs w:val="22"/>
        </w:rPr>
      </w:pPr>
      <w:r>
        <w:rPr>
          <w:sz w:val="22"/>
          <w:szCs w:val="22"/>
        </w:rPr>
        <w:t>Поставщик, нарушивший условия настоящего раздела Договора, возмещает Покупателю все понесенные расходы и убытки, вызванные таким нарушением, в течение 10 (десяти) дней с даты получения соответствующего требования.</w:t>
      </w:r>
    </w:p>
    <w:p>
      <w:pPr>
        <w:pStyle w:val="Normal"/>
        <w:widowControl w:val="false"/>
        <w:numPr>
          <w:ilvl w:val="1"/>
          <w:numId w:val="15"/>
        </w:numPr>
        <w:shd w:val="clear" w:color="auto" w:fill="FFFFFF"/>
        <w:tabs>
          <w:tab w:val="clear" w:pos="720"/>
          <w:tab w:val="left" w:pos="1283" w:leader="none"/>
        </w:tabs>
        <w:ind w:firstLine="567" w:left="0"/>
        <w:jc w:val="both"/>
        <w:rPr>
          <w:sz w:val="22"/>
          <w:szCs w:val="22"/>
        </w:rPr>
      </w:pPr>
      <w:r>
        <w:rPr>
          <w:sz w:val="22"/>
          <w:szCs w:val="22"/>
        </w:rPr>
        <w:t xml:space="preserve">Поставщик обязуется в договорах с третьими лицами обеспечить повторение условий Договора в части соблюдения режима конфиденциальности. </w:t>
      </w:r>
    </w:p>
    <w:p>
      <w:pPr>
        <w:pStyle w:val="Normal"/>
        <w:widowControl w:val="false"/>
        <w:numPr>
          <w:ilvl w:val="1"/>
          <w:numId w:val="15"/>
        </w:numPr>
        <w:shd w:val="clear" w:color="auto" w:fill="FFFFFF"/>
        <w:tabs>
          <w:tab w:val="clear" w:pos="720"/>
          <w:tab w:val="left" w:pos="1283" w:leader="none"/>
        </w:tabs>
        <w:ind w:firstLine="567" w:left="0"/>
        <w:jc w:val="both"/>
        <w:rPr>
          <w:sz w:val="22"/>
          <w:szCs w:val="22"/>
        </w:rPr>
      </w:pPr>
      <w:r>
        <w:rPr>
          <w:sz w:val="22"/>
          <w:szCs w:val="22"/>
        </w:rPr>
        <w:t xml:space="preserve">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 </w:t>
      </w:r>
    </w:p>
    <w:p>
      <w:pPr>
        <w:pStyle w:val="Normal"/>
        <w:widowControl w:val="false"/>
        <w:shd w:val="clear" w:color="auto" w:fill="FFFFFF"/>
        <w:tabs>
          <w:tab w:val="clear" w:pos="720"/>
          <w:tab w:val="left" w:pos="1425" w:leader="none"/>
          <w:tab w:val="left" w:pos="5321" w:leader="none"/>
        </w:tabs>
        <w:ind w:left="567"/>
        <w:jc w:val="both"/>
        <w:rPr>
          <w:sz w:val="22"/>
          <w:szCs w:val="22"/>
        </w:rPr>
      </w:pPr>
      <w:r>
        <w:rPr>
          <w:sz w:val="22"/>
          <w:szCs w:val="22"/>
        </w:rPr>
      </w:r>
    </w:p>
    <w:p>
      <w:pPr>
        <w:pStyle w:val="Normal"/>
        <w:widowControl w:val="false"/>
        <w:numPr>
          <w:ilvl w:val="0"/>
          <w:numId w:val="15"/>
        </w:numPr>
        <w:shd w:val="clear" w:color="auto" w:fill="FFFFFF"/>
        <w:tabs>
          <w:tab w:val="clear" w:pos="720"/>
          <w:tab w:val="left" w:pos="284" w:leader="none"/>
        </w:tabs>
        <w:ind w:hanging="0" w:left="0"/>
        <w:jc w:val="center"/>
        <w:rPr>
          <w:b/>
          <w:sz w:val="22"/>
          <w:szCs w:val="22"/>
        </w:rPr>
      </w:pPr>
      <w:r>
        <w:rPr>
          <w:b/>
          <w:sz w:val="22"/>
          <w:szCs w:val="22"/>
        </w:rPr>
        <w:t xml:space="preserve"> </w:t>
      </w:r>
      <w:r>
        <w:rPr>
          <w:b/>
          <w:sz w:val="22"/>
          <w:szCs w:val="22"/>
        </w:rPr>
        <w:t>Инсайдерская оговорка</w:t>
      </w:r>
    </w:p>
    <w:p>
      <w:pPr>
        <w:pStyle w:val="Normal"/>
        <w:widowControl w:val="false"/>
        <w:shd w:val="clear" w:color="auto" w:fill="FFFFFF"/>
        <w:ind w:left="567"/>
        <w:rPr>
          <w:b/>
          <w:sz w:val="22"/>
          <w:szCs w:val="22"/>
        </w:rPr>
      </w:pPr>
      <w:r>
        <w:rPr>
          <w:b/>
          <w:sz w:val="22"/>
          <w:szCs w:val="22"/>
        </w:rPr>
      </w:r>
    </w:p>
    <w:p>
      <w:pPr>
        <w:pStyle w:val="Normal"/>
        <w:widowControl w:val="false"/>
        <w:numPr>
          <w:ilvl w:val="1"/>
          <w:numId w:val="15"/>
        </w:numPr>
        <w:shd w:val="clear" w:color="auto" w:fill="FFFFFF"/>
        <w:tabs>
          <w:tab w:val="clear" w:pos="720"/>
          <w:tab w:val="left" w:pos="1283" w:leader="none"/>
        </w:tabs>
        <w:ind w:firstLine="567" w:left="0"/>
        <w:jc w:val="both"/>
        <w:rPr>
          <w:sz w:val="22"/>
          <w:szCs w:val="22"/>
        </w:rPr>
      </w:pPr>
      <w:r>
        <w:rPr>
          <w:sz w:val="22"/>
          <w:szCs w:val="22"/>
        </w:rPr>
        <w:t>Поставщик также обязуется:</w:t>
      </w:r>
    </w:p>
    <w:p>
      <w:pPr>
        <w:pStyle w:val="ListParagraph"/>
        <w:numPr>
          <w:ilvl w:val="2"/>
          <w:numId w:val="15"/>
        </w:numPr>
        <w:shd w:val="clear" w:color="auto" w:fill="FFFFFF"/>
        <w:spacing w:before="0" w:after="0"/>
        <w:ind w:firstLine="567" w:left="0"/>
        <w:contextualSpacing w:val="false"/>
        <w:jc w:val="both"/>
        <w:rPr>
          <w:sz w:val="22"/>
          <w:szCs w:val="22"/>
        </w:rPr>
      </w:pPr>
      <w:r>
        <w:rPr>
          <w:sz w:val="22"/>
          <w:szCs w:val="22"/>
        </w:rPr>
        <w:t>не допускать случаев неправомерного использования инсайдерской информации Покупателя и/или ПАО «РусГидро» и/или разглашения инсайдерской информации Покупателя и/или ПАО «РусГидро», а также принимать все зависящие от него меры для защиты инсайдерской информации Покупателя и/или ПАО «РусГидро» от неправомерного использования;</w:t>
      </w:r>
    </w:p>
    <w:p>
      <w:pPr>
        <w:pStyle w:val="ListParagraph"/>
        <w:numPr>
          <w:ilvl w:val="2"/>
          <w:numId w:val="15"/>
        </w:numPr>
        <w:shd w:val="clear" w:color="auto" w:fill="FFFFFF"/>
        <w:spacing w:before="0" w:after="0"/>
        <w:ind w:firstLine="567" w:left="0"/>
        <w:contextualSpacing w:val="false"/>
        <w:jc w:val="both"/>
        <w:rPr>
          <w:sz w:val="22"/>
          <w:szCs w:val="22"/>
        </w:rPr>
      </w:pPr>
      <w:r>
        <w:rPr>
          <w:sz w:val="22"/>
          <w:szCs w:val="22"/>
        </w:rPr>
        <w:t>ознакомиться с действующей редакцией Положения об инсайдерской информации ПАО «РусГидро», размещенной на официальном сайте ПАО «РусГидро» в сети Интернет и соблюдать ее требования, а также требования законодательства Российской Федерации об инсайдерской информации и манипулировании рынком.</w:t>
      </w:r>
    </w:p>
    <w:p>
      <w:pPr>
        <w:pStyle w:val="ListParagraph"/>
        <w:shd w:val="clear" w:color="auto" w:fill="FFFFFF"/>
        <w:tabs>
          <w:tab w:val="clear" w:pos="720"/>
          <w:tab w:val="left" w:pos="5321" w:leader="none"/>
        </w:tabs>
        <w:spacing w:before="0" w:after="0"/>
        <w:ind w:left="567"/>
        <w:contextualSpacing w:val="false"/>
        <w:jc w:val="both"/>
        <w:rPr>
          <w:sz w:val="22"/>
          <w:szCs w:val="22"/>
        </w:rPr>
      </w:pPr>
      <w:r>
        <w:rPr>
          <w:sz w:val="22"/>
          <w:szCs w:val="22"/>
        </w:rPr>
      </w:r>
    </w:p>
    <w:p>
      <w:pPr>
        <w:pStyle w:val="Normal"/>
        <w:widowControl w:val="false"/>
        <w:numPr>
          <w:ilvl w:val="0"/>
          <w:numId w:val="15"/>
        </w:numPr>
        <w:shd w:val="clear" w:color="auto" w:fill="FFFFFF"/>
        <w:tabs>
          <w:tab w:val="clear" w:pos="720"/>
          <w:tab w:val="left" w:pos="426" w:leader="none"/>
        </w:tabs>
        <w:ind w:hanging="0" w:left="0"/>
        <w:jc w:val="center"/>
        <w:rPr>
          <w:b/>
          <w:sz w:val="22"/>
          <w:szCs w:val="22"/>
        </w:rPr>
      </w:pPr>
      <w:r>
        <w:rPr>
          <w:b/>
          <w:sz w:val="22"/>
          <w:szCs w:val="22"/>
        </w:rPr>
        <w:t>Разрешение споров</w:t>
      </w:r>
    </w:p>
    <w:p>
      <w:pPr>
        <w:pStyle w:val="Normal"/>
        <w:widowControl w:val="false"/>
        <w:shd w:val="clear" w:color="auto" w:fill="FFFFFF"/>
        <w:ind w:left="567"/>
        <w:rPr>
          <w:b/>
          <w:sz w:val="22"/>
          <w:szCs w:val="22"/>
        </w:rPr>
      </w:pPr>
      <w:r>
        <w:rPr>
          <w:b/>
          <w:sz w:val="22"/>
          <w:szCs w:val="22"/>
        </w:rPr>
      </w:r>
    </w:p>
    <w:p>
      <w:pPr>
        <w:pStyle w:val="Normal"/>
        <w:widowControl w:val="false"/>
        <w:numPr>
          <w:ilvl w:val="1"/>
          <w:numId w:val="15"/>
        </w:numPr>
        <w:shd w:val="clear" w:color="auto" w:fill="FFFFFF"/>
        <w:tabs>
          <w:tab w:val="left" w:pos="720" w:leader="none"/>
        </w:tabs>
        <w:ind w:firstLine="567" w:left="0"/>
        <w:jc w:val="both"/>
        <w:rPr>
          <w:sz w:val="22"/>
          <w:szCs w:val="22"/>
        </w:rPr>
      </w:pPr>
      <w:r>
        <w:rPr>
          <w:sz w:val="22"/>
          <w:szCs w:val="22"/>
        </w:rPr>
        <w:t>Все споры, разногласия и требования, возникающие между Сторонами по Договору или в связи с ним, связанные, в том числе, с его заключением, исполнением, толкованием, изменением, дополнением, расторжением и действительностью, разрешаются путем переговоров.</w:t>
      </w:r>
    </w:p>
    <w:p>
      <w:pPr>
        <w:pStyle w:val="Normal"/>
        <w:widowControl w:val="false"/>
        <w:numPr>
          <w:ilvl w:val="1"/>
          <w:numId w:val="15"/>
        </w:numPr>
        <w:shd w:val="clear" w:color="auto" w:fill="FFFFFF"/>
        <w:tabs>
          <w:tab w:val="left" w:pos="720" w:leader="none"/>
        </w:tabs>
        <w:ind w:firstLine="567" w:left="0"/>
        <w:jc w:val="both"/>
        <w:rPr>
          <w:sz w:val="22"/>
          <w:szCs w:val="22"/>
        </w:rPr>
      </w:pPr>
      <w:r>
        <w:rPr>
          <w:sz w:val="22"/>
          <w:szCs w:val="22"/>
        </w:rPr>
        <w:t>В случае недостижения соглашения в ходе переговоров, указанных в п. 11.1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курьерской службой и т.д.) и получения, либо вручена другой Стороне под расписку.</w:t>
      </w:r>
    </w:p>
    <w:p>
      <w:pPr>
        <w:pStyle w:val="Normal"/>
        <w:widowControl w:val="false"/>
        <w:numPr>
          <w:ilvl w:val="1"/>
          <w:numId w:val="15"/>
        </w:numPr>
        <w:shd w:val="clear" w:color="auto" w:fill="FFFFFF"/>
        <w:tabs>
          <w:tab w:val="left" w:pos="720" w:leader="none"/>
        </w:tabs>
        <w:ind w:firstLine="567" w:left="0"/>
        <w:jc w:val="both"/>
        <w:rPr>
          <w:sz w:val="22"/>
          <w:szCs w:val="22"/>
        </w:rPr>
      </w:pPr>
      <w:r>
        <w:rPr>
          <w:sz w:val="22"/>
          <w:szCs w:val="22"/>
        </w:rPr>
        <w:t xml:space="preserve"> </w:t>
      </w:r>
      <w:r>
        <w:rPr>
          <w:sz w:val="22"/>
          <w:szCs w:val="22"/>
        </w:rPr>
        <w:t>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bookmarkStart w:id="0" w:name="Par2"/>
      <w:bookmarkEnd w:id="0"/>
    </w:p>
    <w:p>
      <w:pPr>
        <w:pStyle w:val="Normal"/>
        <w:widowControl w:val="false"/>
        <w:numPr>
          <w:ilvl w:val="1"/>
          <w:numId w:val="15"/>
        </w:numPr>
        <w:shd w:val="clear" w:color="auto" w:fill="FFFFFF"/>
        <w:tabs>
          <w:tab w:val="left" w:pos="720" w:leader="none"/>
        </w:tabs>
        <w:ind w:firstLine="567" w:left="0"/>
        <w:jc w:val="both"/>
        <w:rPr>
          <w:sz w:val="22"/>
          <w:szCs w:val="22"/>
        </w:rPr>
      </w:pPr>
      <w:r>
        <w:rPr>
          <w:sz w:val="22"/>
          <w:szCs w:val="22"/>
        </w:rP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p>
      <w:pPr>
        <w:pStyle w:val="Normal"/>
        <w:widowControl w:val="false"/>
        <w:numPr>
          <w:ilvl w:val="1"/>
          <w:numId w:val="15"/>
        </w:numPr>
        <w:shd w:val="clear" w:color="auto" w:fill="FFFFFF"/>
        <w:tabs>
          <w:tab w:val="left" w:pos="720" w:leader="none"/>
        </w:tabs>
        <w:ind w:firstLine="567" w:left="0"/>
        <w:jc w:val="both"/>
        <w:rPr>
          <w:sz w:val="22"/>
          <w:szCs w:val="22"/>
        </w:rPr>
      </w:pPr>
      <w:r>
        <w:rPr>
          <w:sz w:val="22"/>
          <w:szCs w:val="22"/>
        </w:rPr>
        <w:t xml:space="preserve"> </w:t>
      </w:r>
      <w:r>
        <w:rPr>
          <w:sz w:val="22"/>
          <w:szCs w:val="22"/>
        </w:rPr>
        <w:t>В случае неурегулирования разногласий в претензионном порядке, а также в случае неполучения ответа на претензию в течение срока, указанного в п. 11.4. Договора, спор передается в арбитражный суд в соответствии с действующим законодательством РФ по месту нахождения ответчика.</w:t>
      </w:r>
    </w:p>
    <w:p>
      <w:pPr>
        <w:pStyle w:val="Normal"/>
        <w:widowControl w:val="false"/>
        <w:shd w:val="clear" w:color="auto" w:fill="FFFFFF"/>
        <w:tabs>
          <w:tab w:val="left" w:pos="720" w:leader="none"/>
        </w:tabs>
        <w:ind w:firstLine="567" w:left="567"/>
        <w:jc w:val="both"/>
        <w:rPr>
          <w:sz w:val="22"/>
          <w:szCs w:val="22"/>
        </w:rPr>
      </w:pPr>
      <w:r>
        <w:rPr>
          <w:sz w:val="22"/>
          <w:szCs w:val="22"/>
        </w:rPr>
      </w:r>
    </w:p>
    <w:p>
      <w:pPr>
        <w:pStyle w:val="Normal"/>
        <w:widowControl w:val="false"/>
        <w:numPr>
          <w:ilvl w:val="0"/>
          <w:numId w:val="15"/>
        </w:numPr>
        <w:shd w:val="clear" w:color="auto" w:fill="FFFFFF"/>
        <w:tabs>
          <w:tab w:val="clear" w:pos="720"/>
          <w:tab w:val="left" w:pos="284" w:leader="none"/>
        </w:tabs>
        <w:ind w:hanging="0" w:left="0"/>
        <w:jc w:val="center"/>
        <w:rPr>
          <w:b/>
          <w:bCs/>
          <w:sz w:val="22"/>
          <w:szCs w:val="22"/>
        </w:rPr>
      </w:pPr>
      <w:r>
        <w:rPr>
          <w:b/>
          <w:bCs/>
          <w:sz w:val="22"/>
          <w:szCs w:val="22"/>
        </w:rPr>
        <w:t xml:space="preserve"> </w:t>
      </w:r>
      <w:r>
        <w:rPr>
          <w:b/>
          <w:bCs/>
          <w:sz w:val="22"/>
          <w:szCs w:val="22"/>
        </w:rPr>
        <w:t>Прекращение (расторжение) Договора</w:t>
      </w:r>
    </w:p>
    <w:p>
      <w:pPr>
        <w:pStyle w:val="Normal"/>
        <w:widowControl w:val="false"/>
        <w:shd w:val="clear" w:color="auto" w:fill="FFFFFF"/>
        <w:rPr>
          <w:b/>
          <w:bCs/>
          <w:sz w:val="22"/>
          <w:szCs w:val="22"/>
        </w:rPr>
      </w:pPr>
      <w:r>
        <w:rPr>
          <w:b/>
          <w:bCs/>
          <w:sz w:val="22"/>
          <w:szCs w:val="22"/>
        </w:rPr>
      </w:r>
    </w:p>
    <w:p>
      <w:pPr>
        <w:pStyle w:val="Normal"/>
        <w:widowControl w:val="false"/>
        <w:numPr>
          <w:ilvl w:val="1"/>
          <w:numId w:val="15"/>
        </w:numPr>
        <w:shd w:val="clear" w:color="auto" w:fill="FFFFFF"/>
        <w:ind w:firstLine="567" w:left="0"/>
        <w:jc w:val="both"/>
        <w:rPr>
          <w:sz w:val="22"/>
          <w:szCs w:val="22"/>
        </w:rPr>
      </w:pPr>
      <w:r>
        <w:rPr>
          <w:sz w:val="22"/>
          <w:szCs w:val="22"/>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14.7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Normal"/>
        <w:widowControl w:val="false"/>
        <w:numPr>
          <w:ilvl w:val="1"/>
          <w:numId w:val="15"/>
        </w:numPr>
        <w:shd w:val="clear" w:color="auto" w:fill="FFFFFF"/>
        <w:ind w:firstLine="567" w:left="0"/>
        <w:jc w:val="both"/>
        <w:rPr>
          <w:sz w:val="22"/>
          <w:szCs w:val="22"/>
        </w:rPr>
      </w:pPr>
      <w:r>
        <w:rPr>
          <w:sz w:val="22"/>
          <w:szCs w:val="22"/>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pPr>
        <w:pStyle w:val="Normal"/>
        <w:widowControl w:val="false"/>
        <w:shd w:val="clear" w:color="auto" w:fill="FFFFFF"/>
        <w:ind w:firstLine="567"/>
        <w:jc w:val="both"/>
        <w:rPr>
          <w:sz w:val="22"/>
          <w:szCs w:val="22"/>
        </w:rPr>
      </w:pPr>
      <w:r>
        <w:rPr>
          <w:sz w:val="22"/>
          <w:szCs w:val="22"/>
        </w:rPr>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оплатить Покупателю убытки не позднее 15 (пятнадцати) календарных дней с момента получения расчета суммы убытков от Покупателя.</w:t>
      </w:r>
    </w:p>
    <w:p>
      <w:pPr>
        <w:pStyle w:val="Normal"/>
        <w:widowControl w:val="false"/>
        <w:numPr>
          <w:ilvl w:val="1"/>
          <w:numId w:val="15"/>
        </w:numPr>
        <w:shd w:val="clear" w:color="auto" w:fill="FFFFFF"/>
        <w:ind w:firstLine="567" w:left="0"/>
        <w:jc w:val="both"/>
        <w:rPr>
          <w:sz w:val="22"/>
          <w:szCs w:val="22"/>
        </w:rPr>
      </w:pPr>
      <w:r>
        <w:rPr>
          <w:sz w:val="22"/>
          <w:szCs w:val="22"/>
        </w:rPr>
        <w:t>Стороны установили, что существенным нарушением Договора Поставщиком является:</w:t>
      </w:r>
    </w:p>
    <w:p>
      <w:pPr>
        <w:pStyle w:val="Normal"/>
        <w:widowControl w:val="false"/>
        <w:numPr>
          <w:ilvl w:val="2"/>
          <w:numId w:val="15"/>
        </w:numPr>
        <w:shd w:val="clear" w:color="auto" w:fill="FFFFFF"/>
        <w:ind w:firstLine="567" w:left="0"/>
        <w:jc w:val="both"/>
        <w:rPr>
          <w:sz w:val="22"/>
          <w:szCs w:val="22"/>
        </w:rPr>
      </w:pPr>
      <w:r>
        <w:rPr>
          <w:sz w:val="22"/>
          <w:szCs w:val="22"/>
        </w:rPr>
        <w:t>просрочка Поставщиком выполнения обязательств по Договору более чем на 15 (пятнадцать) календарных дней;</w:t>
      </w:r>
    </w:p>
    <w:p>
      <w:pPr>
        <w:pStyle w:val="Normal"/>
        <w:widowControl w:val="false"/>
        <w:numPr>
          <w:ilvl w:val="2"/>
          <w:numId w:val="15"/>
        </w:numPr>
        <w:shd w:val="clear" w:color="auto" w:fill="FFFFFF"/>
        <w:ind w:firstLine="567" w:left="0"/>
        <w:jc w:val="both"/>
        <w:rPr>
          <w:sz w:val="22"/>
          <w:szCs w:val="22"/>
        </w:rPr>
      </w:pPr>
      <w:r>
        <w:rPr>
          <w:sz w:val="22"/>
          <w:szCs w:val="22"/>
        </w:rPr>
        <w:t>несоблюдение Поставщиком требований к качеству Продукции, если исправление выявленных Покупателем недостатков, несоответствий и / или дефектов Продукции влечет нарушение сроков Поставки более чем на 15 (пятнадцать) календарных дней либо такие недостатки являются неустранимыми;</w:t>
      </w:r>
    </w:p>
    <w:p>
      <w:pPr>
        <w:pStyle w:val="Normal"/>
        <w:widowControl w:val="false"/>
        <w:numPr>
          <w:ilvl w:val="2"/>
          <w:numId w:val="15"/>
        </w:numPr>
        <w:shd w:val="clear" w:color="auto" w:fill="FFFFFF"/>
        <w:ind w:firstLine="567" w:left="0"/>
        <w:jc w:val="both"/>
        <w:rPr>
          <w:sz w:val="22"/>
          <w:szCs w:val="22"/>
        </w:rPr>
      </w:pPr>
      <w:r>
        <w:rPr>
          <w:sz w:val="22"/>
          <w:szCs w:val="22"/>
        </w:rPr>
        <w:t>при установлении Покупателем нецелесообразности дальнейшего исполнения Договора – с возмещением Поставщику фактически понесенных затрат;</w:t>
      </w:r>
    </w:p>
    <w:p>
      <w:pPr>
        <w:pStyle w:val="Normal"/>
        <w:widowControl w:val="false"/>
        <w:numPr>
          <w:ilvl w:val="2"/>
          <w:numId w:val="15"/>
        </w:numPr>
        <w:shd w:val="clear" w:color="auto" w:fill="FFFFFF"/>
        <w:ind w:firstLine="567" w:left="0"/>
        <w:jc w:val="both"/>
        <w:rPr>
          <w:sz w:val="22"/>
          <w:szCs w:val="22"/>
        </w:rPr>
      </w:pPr>
      <w:r>
        <w:rPr>
          <w:sz w:val="22"/>
          <w:szCs w:val="22"/>
        </w:rPr>
        <w:t>наложение ареста на имущество Поставщика, введение арбитражным судом процедуры несостоятельности (банкротства) в отношении Поставщика;</w:t>
      </w:r>
    </w:p>
    <w:p>
      <w:pPr>
        <w:pStyle w:val="Normal"/>
        <w:widowControl w:val="false"/>
        <w:numPr>
          <w:ilvl w:val="2"/>
          <w:numId w:val="15"/>
        </w:numPr>
        <w:shd w:val="clear" w:color="auto" w:fill="FFFFFF"/>
        <w:ind w:firstLine="567" w:left="0"/>
        <w:jc w:val="both"/>
        <w:rPr>
          <w:sz w:val="22"/>
          <w:szCs w:val="22"/>
        </w:rPr>
      </w:pPr>
      <w:r>
        <w:rPr>
          <w:sz w:val="22"/>
          <w:szCs w:val="22"/>
        </w:rPr>
        <w:t>нарушение более чем на 15 (пятнадцать)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pPr>
        <w:pStyle w:val="Normal"/>
        <w:widowControl w:val="false"/>
        <w:numPr>
          <w:ilvl w:val="2"/>
          <w:numId w:val="15"/>
        </w:numPr>
        <w:shd w:val="clear" w:color="auto" w:fill="FFFFFF"/>
        <w:ind w:firstLine="567" w:left="0"/>
        <w:jc w:val="both"/>
        <w:rPr>
          <w:sz w:val="22"/>
          <w:szCs w:val="22"/>
        </w:rPr>
      </w:pPr>
      <w:r>
        <w:rPr>
          <w:sz w:val="22"/>
          <w:szCs w:val="22"/>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13 Договора, и имеющих существенное значение для его заключения и исполнения;</w:t>
      </w:r>
    </w:p>
    <w:p>
      <w:pPr>
        <w:pStyle w:val="Normal"/>
        <w:widowControl w:val="false"/>
        <w:numPr>
          <w:ilvl w:val="2"/>
          <w:numId w:val="15"/>
        </w:numPr>
        <w:shd w:val="clear" w:color="auto" w:fill="FFFFFF"/>
        <w:ind w:firstLine="567" w:left="0"/>
        <w:jc w:val="both"/>
        <w:rPr>
          <w:sz w:val="22"/>
          <w:szCs w:val="22"/>
        </w:rPr>
      </w:pPr>
      <w:r>
        <w:rPr>
          <w:sz w:val="22"/>
          <w:szCs w:val="22"/>
        </w:rPr>
        <w:t xml:space="preserve">если Поставщик без согласия Покупателя передает и/или пытается передать третьим лицам права и обязанности по Договору или какие-либо права и обязанности, установленные в нем. </w:t>
      </w:r>
    </w:p>
    <w:p>
      <w:pPr>
        <w:pStyle w:val="Normal"/>
        <w:widowControl w:val="false"/>
        <w:numPr>
          <w:ilvl w:val="1"/>
          <w:numId w:val="15"/>
        </w:numPr>
        <w:shd w:val="clear" w:color="auto" w:fill="FFFFFF"/>
        <w:ind w:firstLine="567" w:left="0"/>
        <w:jc w:val="both"/>
        <w:rPr>
          <w:sz w:val="22"/>
          <w:szCs w:val="22"/>
        </w:rPr>
      </w:pPr>
      <w:r>
        <w:rPr>
          <w:sz w:val="22"/>
          <w:szCs w:val="22"/>
        </w:rPr>
        <w:t>Уведомление о расторжении Договора должно быть направлено Покупателем Поставщику посредством факсимильной/электронной связи не позднее, чем за 5 (пять) календарных дней до предполагаемой даты расторжения Договора с последующим направлением оригинала.</w:t>
      </w:r>
    </w:p>
    <w:p>
      <w:pPr>
        <w:pStyle w:val="Normal"/>
        <w:widowControl w:val="false"/>
        <w:numPr>
          <w:ilvl w:val="1"/>
          <w:numId w:val="15"/>
        </w:numPr>
        <w:shd w:val="clear" w:color="auto" w:fill="FFFFFF"/>
        <w:ind w:firstLine="567" w:left="0"/>
        <w:jc w:val="both"/>
        <w:rPr>
          <w:sz w:val="22"/>
          <w:szCs w:val="22"/>
        </w:rPr>
      </w:pPr>
      <w:r>
        <w:rPr>
          <w:sz w:val="22"/>
          <w:szCs w:val="22"/>
        </w:rPr>
        <w:t>Договор считается расторгнутым по основаниям, предусмотренным пунктом 12.1, с даты, указанной в уведомлении о расторжении Договора.</w:t>
      </w:r>
    </w:p>
    <w:p>
      <w:pPr>
        <w:pStyle w:val="ListParagraph"/>
        <w:numPr>
          <w:ilvl w:val="1"/>
          <w:numId w:val="15"/>
        </w:numPr>
        <w:shd w:val="clear" w:color="auto" w:fill="FFFFFF"/>
        <w:spacing w:before="0" w:after="0"/>
        <w:ind w:firstLine="567" w:left="0"/>
        <w:contextualSpacing w:val="false"/>
        <w:jc w:val="both"/>
        <w:rPr>
          <w:sz w:val="22"/>
          <w:szCs w:val="22"/>
        </w:rPr>
      </w:pPr>
      <w:r>
        <w:rPr>
          <w:sz w:val="22"/>
          <w:szCs w:val="22"/>
        </w:rPr>
        <w:t xml:space="preserve">Поставщик ни при каких обстоятельствах не имеет права на компенсацию упущенной выгоды в связи с досрочным расторжением Договора по любым основаниям. </w:t>
      </w:r>
    </w:p>
    <w:p>
      <w:pPr>
        <w:pStyle w:val="ListParagraph"/>
        <w:shd w:val="clear" w:color="auto" w:fill="FFFFFF"/>
        <w:spacing w:before="0" w:after="0"/>
        <w:ind w:left="567"/>
        <w:contextualSpacing w:val="false"/>
        <w:jc w:val="both"/>
        <w:rPr>
          <w:sz w:val="22"/>
          <w:szCs w:val="22"/>
        </w:rPr>
      </w:pPr>
      <w:r>
        <w:rPr>
          <w:sz w:val="22"/>
          <w:szCs w:val="22"/>
        </w:rPr>
      </w:r>
    </w:p>
    <w:p>
      <w:pPr>
        <w:pStyle w:val="Normal"/>
        <w:widowControl w:val="false"/>
        <w:numPr>
          <w:ilvl w:val="0"/>
          <w:numId w:val="15"/>
        </w:numPr>
        <w:shd w:val="clear" w:color="auto" w:fill="FFFFFF"/>
        <w:tabs>
          <w:tab w:val="clear" w:pos="720"/>
          <w:tab w:val="left" w:pos="284" w:leader="none"/>
        </w:tabs>
        <w:ind w:hanging="0" w:left="0"/>
        <w:jc w:val="center"/>
        <w:rPr>
          <w:b/>
          <w:sz w:val="22"/>
          <w:szCs w:val="22"/>
        </w:rPr>
      </w:pPr>
      <w:r>
        <w:rPr>
          <w:b/>
          <w:bCs/>
          <w:sz w:val="22"/>
          <w:szCs w:val="22"/>
        </w:rPr>
        <w:t xml:space="preserve"> </w:t>
      </w:r>
      <w:r>
        <w:rPr>
          <w:b/>
          <w:bCs/>
          <w:sz w:val="22"/>
          <w:szCs w:val="22"/>
        </w:rPr>
        <w:t>Заверения</w:t>
      </w:r>
      <w:r>
        <w:rPr>
          <w:b/>
          <w:sz w:val="22"/>
          <w:szCs w:val="22"/>
        </w:rPr>
        <w:t xml:space="preserve"> Сторон</w:t>
      </w:r>
    </w:p>
    <w:p>
      <w:pPr>
        <w:pStyle w:val="Normal"/>
        <w:widowControl w:val="false"/>
        <w:shd w:val="clear" w:color="auto" w:fill="FFFFFF"/>
        <w:ind w:left="567"/>
        <w:rPr>
          <w:b/>
          <w:sz w:val="22"/>
          <w:szCs w:val="22"/>
        </w:rPr>
      </w:pPr>
      <w:r>
        <w:rPr>
          <w:b/>
          <w:sz w:val="22"/>
          <w:szCs w:val="22"/>
        </w:rPr>
      </w:r>
    </w:p>
    <w:p>
      <w:pPr>
        <w:pStyle w:val="ListParagraph"/>
        <w:numPr>
          <w:ilvl w:val="1"/>
          <w:numId w:val="15"/>
        </w:numPr>
        <w:shd w:val="clear" w:color="auto" w:fill="FFFFFF"/>
        <w:spacing w:before="0" w:after="0"/>
        <w:ind w:firstLine="567" w:left="0"/>
        <w:contextualSpacing w:val="false"/>
        <w:jc w:val="both"/>
        <w:rPr>
          <w:sz w:val="22"/>
          <w:szCs w:val="22"/>
        </w:rPr>
      </w:pPr>
      <w:r>
        <w:rPr>
          <w:bCs/>
          <w:sz w:val="22"/>
          <w:szCs w:val="22"/>
        </w:rPr>
        <w:t>Каждая</w:t>
      </w:r>
      <w:r>
        <w:rPr>
          <w:sz w:val="22"/>
          <w:szCs w:val="22"/>
        </w:rPr>
        <w:t xml:space="preserve"> из Сторон заявляет и подтверждает другой Стороне, что: </w:t>
      </w:r>
    </w:p>
    <w:p>
      <w:pPr>
        <w:pStyle w:val="ListParagraph"/>
        <w:widowControl/>
        <w:numPr>
          <w:ilvl w:val="0"/>
          <w:numId w:val="10"/>
        </w:numPr>
        <w:shd w:val="clear" w:color="auto" w:fill="FFFFFF"/>
        <w:tabs>
          <w:tab w:val="clear" w:pos="720"/>
          <w:tab w:val="left" w:pos="709" w:leader="none"/>
          <w:tab w:val="left" w:pos="1134" w:leader="none"/>
        </w:tabs>
        <w:ind w:firstLine="567" w:left="0"/>
        <w:jc w:val="both"/>
        <w:rPr>
          <w:sz w:val="22"/>
          <w:szCs w:val="22"/>
        </w:rPr>
      </w:pPr>
      <w:r>
        <w:rPr>
          <w:sz w:val="22"/>
          <w:szCs w:val="22"/>
        </w:rPr>
        <w:t xml:space="preserve"> </w:t>
      </w:r>
      <w:r>
        <w:rPr>
          <w:sz w:val="22"/>
          <w:szCs w:val="22"/>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widowControl/>
        <w:numPr>
          <w:ilvl w:val="0"/>
          <w:numId w:val="10"/>
        </w:numPr>
        <w:shd w:val="clear" w:color="auto" w:fill="FFFFFF"/>
        <w:tabs>
          <w:tab w:val="clear" w:pos="720"/>
          <w:tab w:val="left" w:pos="709" w:leader="none"/>
          <w:tab w:val="left" w:pos="1134" w:leader="none"/>
        </w:tabs>
        <w:ind w:firstLine="567" w:left="0"/>
        <w:jc w:val="both"/>
        <w:rPr>
          <w:sz w:val="22"/>
          <w:szCs w:val="22"/>
        </w:rPr>
      </w:pPr>
      <w:r>
        <w:rPr>
          <w:sz w:val="22"/>
          <w:szCs w:val="22"/>
        </w:rPr>
        <w:t xml:space="preserve">  </w:t>
      </w:r>
      <w:r>
        <w:rPr>
          <w:sz w:val="22"/>
          <w:szCs w:val="22"/>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widowControl/>
        <w:numPr>
          <w:ilvl w:val="0"/>
          <w:numId w:val="10"/>
        </w:numPr>
        <w:shd w:val="clear" w:color="auto" w:fill="FFFFFF"/>
        <w:tabs>
          <w:tab w:val="clear" w:pos="720"/>
          <w:tab w:val="left" w:pos="709" w:leader="none"/>
          <w:tab w:val="left" w:pos="1134" w:leader="none"/>
        </w:tabs>
        <w:ind w:firstLine="567" w:left="0"/>
        <w:jc w:val="both"/>
        <w:rPr>
          <w:sz w:val="22"/>
          <w:szCs w:val="22"/>
        </w:rPr>
      </w:pPr>
      <w:r>
        <w:rPr>
          <w:sz w:val="22"/>
          <w:szCs w:val="22"/>
        </w:rPr>
        <w:t xml:space="preserve"> </w:t>
      </w:r>
      <w:r>
        <w:rPr>
          <w:sz w:val="22"/>
          <w:szCs w:val="22"/>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widowControl/>
        <w:numPr>
          <w:ilvl w:val="0"/>
          <w:numId w:val="10"/>
        </w:numPr>
        <w:shd w:val="clear" w:color="auto" w:fill="FFFFFF"/>
        <w:tabs>
          <w:tab w:val="clear" w:pos="720"/>
          <w:tab w:val="left" w:pos="709" w:leader="none"/>
          <w:tab w:val="left" w:pos="1134" w:leader="none"/>
        </w:tabs>
        <w:ind w:firstLine="567" w:left="0"/>
        <w:jc w:val="both"/>
        <w:rPr>
          <w:sz w:val="22"/>
          <w:szCs w:val="22"/>
        </w:rPr>
      </w:pPr>
      <w:r>
        <w:rPr>
          <w:sz w:val="22"/>
          <w:szCs w:val="22"/>
        </w:rPr>
        <w:t xml:space="preserve"> </w:t>
      </w:r>
      <w:r>
        <w:rPr>
          <w:sz w:val="22"/>
          <w:szCs w:val="22"/>
        </w:rPr>
        <w:t>лица, подписывающие от имени Сторон настоящий Договор, надлежащим образом уполномочены на его подписание;</w:t>
      </w:r>
    </w:p>
    <w:p>
      <w:pPr>
        <w:pStyle w:val="ListParagraph"/>
        <w:widowControl/>
        <w:numPr>
          <w:ilvl w:val="0"/>
          <w:numId w:val="10"/>
        </w:numPr>
        <w:shd w:val="clear" w:color="auto" w:fill="FFFFFF"/>
        <w:tabs>
          <w:tab w:val="clear" w:pos="720"/>
          <w:tab w:val="left" w:pos="709" w:leader="none"/>
          <w:tab w:val="left" w:pos="1134" w:leader="none"/>
        </w:tabs>
        <w:ind w:firstLine="567" w:left="0"/>
        <w:jc w:val="both"/>
        <w:rPr>
          <w:sz w:val="22"/>
          <w:szCs w:val="22"/>
        </w:rPr>
      </w:pPr>
      <w:r>
        <w:rPr>
          <w:sz w:val="22"/>
          <w:szCs w:val="22"/>
        </w:rPr>
        <w:t xml:space="preserve"> </w:t>
      </w:r>
      <w:r>
        <w:rPr>
          <w:sz w:val="22"/>
          <w:szCs w:val="22"/>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15"/>
        </w:numPr>
        <w:shd w:val="clear" w:color="auto" w:fill="FFFFFF"/>
        <w:spacing w:before="0" w:after="0"/>
        <w:ind w:firstLine="567" w:left="0"/>
        <w:contextualSpacing w:val="false"/>
        <w:jc w:val="both"/>
        <w:rPr>
          <w:sz w:val="22"/>
          <w:szCs w:val="22"/>
        </w:rPr>
      </w:pPr>
      <w:r>
        <w:rPr>
          <w:sz w:val="22"/>
          <w:szCs w:val="22"/>
        </w:rPr>
        <w:t>Поставщик заявляет и заверяет Покупателя в том, что на момент заключения настоящего Договора:</w:t>
      </w:r>
    </w:p>
    <w:p>
      <w:pPr>
        <w:pStyle w:val="ListParagraph"/>
        <w:widowControl/>
        <w:numPr>
          <w:ilvl w:val="0"/>
          <w:numId w:val="12"/>
        </w:numPr>
        <w:shd w:val="clear" w:color="auto" w:fill="FFFFFF"/>
        <w:tabs>
          <w:tab w:val="clear" w:pos="720"/>
          <w:tab w:val="left" w:pos="709" w:leader="none"/>
          <w:tab w:val="left" w:pos="1134" w:leader="none"/>
        </w:tabs>
        <w:ind w:firstLine="567" w:left="0"/>
        <w:jc w:val="both"/>
        <w:rPr>
          <w:sz w:val="22"/>
          <w:szCs w:val="22"/>
        </w:rPr>
      </w:pPr>
      <w:r>
        <w:rPr>
          <w:sz w:val="22"/>
          <w:szCs w:val="22"/>
        </w:rPr>
        <w:t xml:space="preserve"> </w:t>
      </w:r>
      <w:r>
        <w:rPr>
          <w:sz w:val="22"/>
          <w:szCs w:val="22"/>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12"/>
        </w:numPr>
        <w:shd w:val="clear" w:color="auto" w:fill="FFFFFF"/>
        <w:tabs>
          <w:tab w:val="clear" w:pos="720"/>
          <w:tab w:val="left" w:pos="709" w:leader="none"/>
          <w:tab w:val="left" w:pos="1134" w:leader="none"/>
        </w:tabs>
        <w:ind w:firstLine="567" w:left="0"/>
        <w:jc w:val="both"/>
        <w:rPr>
          <w:sz w:val="22"/>
          <w:szCs w:val="22"/>
        </w:rPr>
      </w:pPr>
      <w:r>
        <w:rPr>
          <w:sz w:val="22"/>
          <w:szCs w:val="22"/>
        </w:rPr>
        <w:t xml:space="preserve"> </w:t>
      </w:r>
      <w:r>
        <w:rPr>
          <w:sz w:val="22"/>
          <w:szCs w:val="22"/>
        </w:rPr>
        <w:t>руководителем Поставщика является лицо, не являющееся массовым руководителем;</w:t>
      </w:r>
    </w:p>
    <w:p>
      <w:pPr>
        <w:pStyle w:val="ListParagraph"/>
        <w:widowControl/>
        <w:numPr>
          <w:ilvl w:val="0"/>
          <w:numId w:val="12"/>
        </w:numPr>
        <w:shd w:val="clear" w:color="auto" w:fill="FFFFFF"/>
        <w:tabs>
          <w:tab w:val="clear" w:pos="720"/>
          <w:tab w:val="left" w:pos="709" w:leader="none"/>
          <w:tab w:val="left" w:pos="1134" w:leader="none"/>
        </w:tabs>
        <w:ind w:firstLine="567" w:left="0"/>
        <w:jc w:val="both"/>
        <w:rPr>
          <w:sz w:val="22"/>
          <w:szCs w:val="22"/>
        </w:rPr>
      </w:pPr>
      <w:r>
        <w:rPr>
          <w:sz w:val="22"/>
          <w:szCs w:val="22"/>
        </w:rPr>
        <w:t xml:space="preserve"> </w:t>
      </w:r>
      <w:r>
        <w:rPr>
          <w:sz w:val="22"/>
          <w:szCs w:val="22"/>
        </w:rPr>
        <w:t xml:space="preserve">фактически находится по адресу, указанному в Едином государственном реестре юридических лиц; </w:t>
      </w:r>
    </w:p>
    <w:p>
      <w:pPr>
        <w:pStyle w:val="ListParagraph"/>
        <w:widowControl/>
        <w:numPr>
          <w:ilvl w:val="0"/>
          <w:numId w:val="12"/>
        </w:numPr>
        <w:shd w:val="clear" w:color="auto" w:fill="FFFFFF"/>
        <w:tabs>
          <w:tab w:val="clear" w:pos="720"/>
          <w:tab w:val="left" w:pos="709" w:leader="none"/>
          <w:tab w:val="left" w:pos="1134" w:leader="none"/>
        </w:tabs>
        <w:ind w:firstLine="567" w:left="0"/>
        <w:jc w:val="both"/>
        <w:rPr>
          <w:sz w:val="22"/>
          <w:szCs w:val="22"/>
        </w:rPr>
      </w:pPr>
      <w:r>
        <w:rPr>
          <w:sz w:val="22"/>
          <w:szCs w:val="22"/>
        </w:rPr>
        <w:t xml:space="preserve"> </w:t>
      </w:r>
      <w:r>
        <w:rPr>
          <w:sz w:val="22"/>
          <w:szCs w:val="22"/>
        </w:rPr>
        <w:t>своевременно и в полном объеме уплачивает налоги и сборы в соответствии с законодательством Российской Федерации;</w:t>
      </w:r>
    </w:p>
    <w:p>
      <w:pPr>
        <w:pStyle w:val="ListParagraph"/>
        <w:widowControl/>
        <w:numPr>
          <w:ilvl w:val="0"/>
          <w:numId w:val="11"/>
        </w:numPr>
        <w:shd w:val="clear" w:color="auto" w:fill="FFFFFF"/>
        <w:tabs>
          <w:tab w:val="clear" w:pos="720"/>
          <w:tab w:val="left" w:pos="567" w:leader="none"/>
          <w:tab w:val="left" w:pos="1134" w:leader="none"/>
          <w:tab w:val="left" w:pos="1418" w:leader="none"/>
        </w:tabs>
        <w:ind w:firstLine="567" w:left="0"/>
        <w:jc w:val="both"/>
        <w:rPr>
          <w:sz w:val="22"/>
          <w:szCs w:val="22"/>
        </w:rPr>
      </w:pPr>
      <w:r>
        <w:rPr>
          <w:sz w:val="22"/>
          <w:szCs w:val="22"/>
        </w:rPr>
        <w:t>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pPr>
        <w:pStyle w:val="ListParagraph"/>
        <w:widowControl/>
        <w:numPr>
          <w:ilvl w:val="0"/>
          <w:numId w:val="11"/>
        </w:numPr>
        <w:shd w:val="clear" w:color="auto" w:fill="FFFFFF"/>
        <w:tabs>
          <w:tab w:val="clear" w:pos="720"/>
          <w:tab w:val="left" w:pos="567" w:leader="none"/>
          <w:tab w:val="left" w:pos="1134" w:leader="none"/>
          <w:tab w:val="left" w:pos="1418" w:leader="none"/>
        </w:tabs>
        <w:ind w:firstLine="567" w:left="0"/>
        <w:jc w:val="both"/>
        <w:rPr>
          <w:sz w:val="22"/>
          <w:szCs w:val="22"/>
        </w:rPr>
      </w:pPr>
      <w:r>
        <w:rPr>
          <w:sz w:val="22"/>
          <w:szCs w:val="22"/>
        </w:rPr>
        <w:t>тщательно изучил всю информацию, связанную с Договором, в том числе по вопросам, влияющим на сроки поставки, стоимость и качество Продукции, полностью ознакомлен со всеми условиями поставки Продукции, и принимает на себя все расходы, риски и трудности исполнения обязательств, возникающих из Договора или в связи с ним;</w:t>
      </w:r>
    </w:p>
    <w:p>
      <w:pPr>
        <w:pStyle w:val="ListParagraph"/>
        <w:widowControl/>
        <w:numPr>
          <w:ilvl w:val="0"/>
          <w:numId w:val="11"/>
        </w:numPr>
        <w:shd w:val="clear" w:color="auto" w:fill="FFFFFF"/>
        <w:tabs>
          <w:tab w:val="clear" w:pos="720"/>
          <w:tab w:val="left" w:pos="567" w:leader="none"/>
          <w:tab w:val="left" w:pos="1134" w:leader="none"/>
          <w:tab w:val="left" w:pos="1418" w:leader="none"/>
        </w:tabs>
        <w:ind w:firstLine="567" w:left="0"/>
        <w:jc w:val="both"/>
        <w:rPr>
          <w:sz w:val="22"/>
          <w:szCs w:val="22"/>
        </w:rPr>
      </w:pPr>
      <w:r>
        <w:rPr>
          <w:sz w:val="22"/>
          <w:szCs w:val="22"/>
        </w:rPr>
        <w:t>тщательно изучил все регламенты Покупателя и подтверждает готовность неукоснительного соблюдения в полном объеме предъявляемых Покупателем требований;</w:t>
      </w:r>
    </w:p>
    <w:p>
      <w:pPr>
        <w:pStyle w:val="ListParagraph"/>
        <w:widowControl/>
        <w:numPr>
          <w:ilvl w:val="0"/>
          <w:numId w:val="11"/>
        </w:numPr>
        <w:shd w:val="clear" w:color="auto" w:fill="FFFFFF"/>
        <w:tabs>
          <w:tab w:val="clear" w:pos="720"/>
          <w:tab w:val="left" w:pos="567" w:leader="none"/>
          <w:tab w:val="left" w:pos="1134" w:leader="none"/>
          <w:tab w:val="left" w:pos="1418" w:leader="none"/>
        </w:tabs>
        <w:ind w:firstLine="567" w:left="0"/>
        <w:jc w:val="both"/>
        <w:rPr>
          <w:sz w:val="22"/>
          <w:szCs w:val="22"/>
        </w:rPr>
      </w:pPr>
      <w:r>
        <w:rPr>
          <w:sz w:val="22"/>
          <w:szCs w:val="22"/>
        </w:rPr>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11"/>
        </w:numPr>
        <w:shd w:val="clear" w:color="auto" w:fill="FFFFFF"/>
        <w:tabs>
          <w:tab w:val="clear" w:pos="720"/>
          <w:tab w:val="left" w:pos="567" w:leader="none"/>
          <w:tab w:val="left" w:pos="1134" w:leader="none"/>
          <w:tab w:val="left" w:pos="1418" w:leader="none"/>
        </w:tabs>
        <w:ind w:firstLine="567" w:left="0"/>
        <w:jc w:val="both"/>
        <w:rPr>
          <w:sz w:val="22"/>
          <w:szCs w:val="22"/>
        </w:rPr>
      </w:pPr>
      <w:r>
        <w:rPr>
          <w:sz w:val="22"/>
          <w:szCs w:val="22"/>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настоящий Договор на указанных в нем условиях.</w:t>
      </w:r>
    </w:p>
    <w:p>
      <w:pPr>
        <w:pStyle w:val="ListParagraph"/>
        <w:numPr>
          <w:ilvl w:val="1"/>
          <w:numId w:val="15"/>
        </w:numPr>
        <w:shd w:val="clear" w:color="auto" w:fill="FFFFFF"/>
        <w:spacing w:before="0" w:after="0"/>
        <w:ind w:firstLine="567" w:left="0"/>
        <w:contextualSpacing w:val="false"/>
        <w:jc w:val="both"/>
        <w:rPr>
          <w:sz w:val="22"/>
          <w:szCs w:val="22"/>
        </w:rPr>
      </w:pPr>
      <w:r>
        <w:rPr>
          <w:sz w:val="22"/>
          <w:szCs w:val="22"/>
        </w:rPr>
        <w:t xml:space="preserve">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numPr>
          <w:ilvl w:val="1"/>
          <w:numId w:val="15"/>
        </w:numPr>
        <w:shd w:val="clear" w:color="auto" w:fill="FFFFFF"/>
        <w:spacing w:before="0" w:after="0"/>
        <w:ind w:firstLine="567" w:left="0"/>
        <w:contextualSpacing w:val="false"/>
        <w:jc w:val="both"/>
        <w:rPr>
          <w:sz w:val="22"/>
          <w:szCs w:val="22"/>
        </w:rPr>
      </w:pPr>
      <w:r>
        <w:rPr>
          <w:sz w:val="22"/>
          <w:szCs w:val="22"/>
        </w:rPr>
        <w:t xml:space="preserve">В случае, если при заключении Договора Поставщик предоставил </w:t>
      </w:r>
      <w:r>
        <w:rPr>
          <w:bCs/>
          <w:sz w:val="22"/>
          <w:szCs w:val="22"/>
        </w:rPr>
        <w:t>Покупателю</w:t>
      </w:r>
      <w:r>
        <w:rPr>
          <w:sz w:val="22"/>
          <w:szCs w:val="22"/>
        </w:rPr>
        <w:t xml:space="preserve">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sz w:val="22"/>
          <w:szCs w:val="22"/>
        </w:rPr>
        <w:t xml:space="preserve">Поставщик </w:t>
      </w:r>
      <w:r>
        <w:rPr>
          <w:sz w:val="22"/>
          <w:szCs w:val="22"/>
        </w:rPr>
        <w:t xml:space="preserve">обязан по требованию </w:t>
      </w:r>
      <w:r>
        <w:rPr>
          <w:bCs/>
          <w:sz w:val="22"/>
          <w:szCs w:val="22"/>
        </w:rPr>
        <w:t>Покупателя</w:t>
      </w:r>
      <w:r>
        <w:rPr>
          <w:sz w:val="22"/>
          <w:szCs w:val="22"/>
        </w:rPr>
        <w:t xml:space="preserve"> уплатить последнему неустойку в размере 5 (пять) % от Цены Договора, указанной в пункте 2.1 Договора.</w:t>
      </w:r>
    </w:p>
    <w:p>
      <w:pPr>
        <w:pStyle w:val="Normal"/>
        <w:shd w:val="clear" w:color="auto" w:fill="FFFFFF"/>
        <w:ind w:firstLine="567"/>
        <w:jc w:val="both"/>
        <w:rPr>
          <w:sz w:val="22"/>
          <w:szCs w:val="22"/>
        </w:rPr>
      </w:pPr>
      <w:r>
        <w:rPr>
          <w:sz w:val="22"/>
          <w:szCs w:val="22"/>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Normal"/>
        <w:shd w:val="clear" w:color="auto" w:fill="FFFFFF"/>
        <w:ind w:firstLine="567"/>
        <w:jc w:val="both"/>
        <w:rPr>
          <w:sz w:val="22"/>
          <w:szCs w:val="22"/>
        </w:rPr>
      </w:pPr>
      <w:r>
        <w:rPr>
          <w:sz w:val="22"/>
          <w:szCs w:val="22"/>
        </w:rPr>
      </w:r>
    </w:p>
    <w:p>
      <w:pPr>
        <w:pStyle w:val="Normal"/>
        <w:widowControl w:val="false"/>
        <w:numPr>
          <w:ilvl w:val="0"/>
          <w:numId w:val="15"/>
        </w:numPr>
        <w:shd w:val="clear" w:color="auto" w:fill="FFFFFF"/>
        <w:tabs>
          <w:tab w:val="clear" w:pos="720"/>
          <w:tab w:val="left" w:pos="284" w:leader="none"/>
        </w:tabs>
        <w:ind w:hanging="0" w:left="0"/>
        <w:jc w:val="center"/>
        <w:rPr>
          <w:b/>
          <w:sz w:val="22"/>
          <w:szCs w:val="22"/>
        </w:rPr>
      </w:pPr>
      <w:r>
        <w:rPr>
          <w:b/>
          <w:sz w:val="22"/>
          <w:szCs w:val="22"/>
        </w:rPr>
        <w:t xml:space="preserve"> </w:t>
      </w:r>
      <w:r>
        <w:rPr>
          <w:b/>
          <w:sz w:val="22"/>
          <w:szCs w:val="22"/>
        </w:rPr>
        <w:t>Заключительные положения</w:t>
      </w:r>
    </w:p>
    <w:p>
      <w:pPr>
        <w:pStyle w:val="Normal"/>
        <w:widowControl w:val="false"/>
        <w:shd w:val="clear" w:color="auto" w:fill="FFFFFF"/>
        <w:ind w:left="567"/>
        <w:rPr>
          <w:b/>
          <w:sz w:val="22"/>
          <w:szCs w:val="22"/>
        </w:rPr>
      </w:pPr>
      <w:r>
        <w:rPr>
          <w:b/>
          <w:sz w:val="22"/>
          <w:szCs w:val="22"/>
        </w:rPr>
      </w:r>
    </w:p>
    <w:p>
      <w:pPr>
        <w:pStyle w:val="Normal"/>
        <w:widowControl w:val="false"/>
        <w:numPr>
          <w:ilvl w:val="1"/>
          <w:numId w:val="15"/>
        </w:numPr>
        <w:shd w:val="clear" w:color="auto" w:fill="FFFFFF"/>
        <w:tabs>
          <w:tab w:val="left" w:pos="720" w:leader="none"/>
        </w:tabs>
        <w:ind w:firstLine="567" w:left="0"/>
        <w:jc w:val="both"/>
        <w:rPr>
          <w:sz w:val="22"/>
          <w:szCs w:val="22"/>
        </w:rPr>
      </w:pPr>
      <w:r>
        <w:rPr>
          <w:sz w:val="22"/>
          <w:szCs w:val="22"/>
        </w:rPr>
        <w:t>Договор вступает в силу с даты его подписания Сторонами и действует до полного исполнения ими принятых на себя обязательств.</w:t>
      </w:r>
    </w:p>
    <w:p>
      <w:pPr>
        <w:pStyle w:val="Normal"/>
        <w:widowControl w:val="false"/>
        <w:numPr>
          <w:ilvl w:val="1"/>
          <w:numId w:val="15"/>
        </w:numPr>
        <w:shd w:val="clear" w:color="auto" w:fill="FFFFFF"/>
        <w:tabs>
          <w:tab w:val="left" w:pos="720" w:leader="none"/>
        </w:tabs>
        <w:ind w:firstLine="567" w:left="0"/>
        <w:jc w:val="both"/>
        <w:rPr>
          <w:sz w:val="22"/>
          <w:szCs w:val="22"/>
        </w:rPr>
      </w:pPr>
      <w:r>
        <w:rPr>
          <w:sz w:val="22"/>
          <w:szCs w:val="22"/>
        </w:rPr>
        <w:t xml:space="preserve">Все приложения, изменения и дополнения к Договору действительны при условии, что они совершены в письменной форме и подписаны обеими Сторонами, за исключением изменений, предусмотренных п. 14.6 Договора. </w:t>
      </w:r>
    </w:p>
    <w:p>
      <w:pPr>
        <w:pStyle w:val="Normal"/>
        <w:widowControl w:val="false"/>
        <w:numPr>
          <w:ilvl w:val="1"/>
          <w:numId w:val="15"/>
        </w:numPr>
        <w:shd w:val="clear" w:color="auto" w:fill="FFFFFF"/>
        <w:tabs>
          <w:tab w:val="left" w:pos="720" w:leader="none"/>
        </w:tabs>
        <w:ind w:firstLine="567" w:left="0"/>
        <w:jc w:val="both"/>
        <w:rPr>
          <w:sz w:val="22"/>
          <w:szCs w:val="22"/>
        </w:rPr>
      </w:pPr>
      <w:r>
        <w:rPr>
          <w:sz w:val="22"/>
          <w:szCs w:val="22"/>
        </w:rPr>
        <w:t>Приложения, изменения и дополнения, оформленные надлежащим образом, являются неотъемлемой частью Договора.</w:t>
      </w:r>
    </w:p>
    <w:p>
      <w:pPr>
        <w:pStyle w:val="Normal"/>
        <w:widowControl w:val="false"/>
        <w:numPr>
          <w:ilvl w:val="1"/>
          <w:numId w:val="15"/>
        </w:numPr>
        <w:shd w:val="clear" w:color="auto" w:fill="FFFFFF"/>
        <w:tabs>
          <w:tab w:val="left" w:pos="720" w:leader="none"/>
        </w:tabs>
        <w:ind w:firstLine="567" w:left="0"/>
        <w:jc w:val="both"/>
        <w:rPr>
          <w:sz w:val="22"/>
          <w:szCs w:val="22"/>
        </w:rPr>
      </w:pPr>
      <w:r>
        <w:rPr>
          <w:sz w:val="22"/>
          <w:szCs w:val="22"/>
        </w:rPr>
        <w:t>В случае наличия любых расхождений между основным текстом Договора и текстами приложений к нему, приоритет имеет текст Договора.</w:t>
      </w:r>
    </w:p>
    <w:p>
      <w:pPr>
        <w:pStyle w:val="Normal"/>
        <w:widowControl w:val="false"/>
        <w:numPr>
          <w:ilvl w:val="1"/>
          <w:numId w:val="15"/>
        </w:numPr>
        <w:shd w:val="clear" w:color="auto" w:fill="FFFFFF"/>
        <w:tabs>
          <w:tab w:val="left" w:pos="720" w:leader="none"/>
        </w:tabs>
        <w:ind w:firstLine="567" w:left="0"/>
        <w:jc w:val="both"/>
        <w:rPr>
          <w:sz w:val="22"/>
          <w:szCs w:val="22"/>
        </w:rPr>
      </w:pPr>
      <w:r>
        <w:rPr>
          <w:sz w:val="22"/>
          <w:szCs w:val="22"/>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p>
    <w:p>
      <w:pPr>
        <w:pStyle w:val="Normal"/>
        <w:widowControl w:val="false"/>
        <w:numPr>
          <w:ilvl w:val="1"/>
          <w:numId w:val="15"/>
        </w:numPr>
        <w:shd w:val="clear" w:color="auto" w:fill="FFFFFF"/>
        <w:tabs>
          <w:tab w:val="left" w:pos="720" w:leader="none"/>
        </w:tabs>
        <w:ind w:firstLine="567" w:left="0"/>
        <w:jc w:val="both"/>
        <w:rPr>
          <w:sz w:val="22"/>
          <w:szCs w:val="22"/>
        </w:rPr>
      </w:pPr>
      <w:r>
        <w:rPr>
          <w:sz w:val="22"/>
          <w:szCs w:val="22"/>
        </w:rPr>
        <w:t xml:space="preserve">Стороны обязуются уведомлять друг друга об изменении реквизитов, указанных в разделе 16 Договора, не позднее 3 (трех) рабочих дней после такого изменения в порядке, установленном п. 14.7 Договора. </w:t>
      </w:r>
    </w:p>
    <w:p>
      <w:pPr>
        <w:pStyle w:val="Normal"/>
        <w:widowControl w:val="false"/>
        <w:numPr>
          <w:ilvl w:val="1"/>
          <w:numId w:val="15"/>
        </w:numPr>
        <w:shd w:val="clear" w:color="auto" w:fill="FFFFFF"/>
        <w:tabs>
          <w:tab w:val="left" w:pos="720" w:leader="none"/>
        </w:tabs>
        <w:ind w:firstLine="567" w:left="0"/>
        <w:jc w:val="both"/>
        <w:rPr>
          <w:bCs/>
          <w:sz w:val="22"/>
          <w:szCs w:val="22"/>
        </w:rPr>
      </w:pPr>
      <w:r>
        <w:rPr>
          <w:sz w:val="22"/>
          <w:szCs w:val="22"/>
        </w:rPr>
        <w:t>Документ</w:t>
      </w:r>
      <w:r>
        <w:rPr>
          <w:bCs/>
          <w:sz w:val="22"/>
          <w:szCs w:val="22"/>
        </w:rPr>
        <w:t xml:space="preserve"> будет считаться полученным:</w:t>
      </w:r>
    </w:p>
    <w:p>
      <w:pPr>
        <w:pStyle w:val="ListParagraph"/>
        <w:widowControl/>
        <w:numPr>
          <w:ilvl w:val="2"/>
          <w:numId w:val="15"/>
        </w:numPr>
        <w:shd w:val="clear" w:color="auto" w:fill="FFFFFF"/>
        <w:spacing w:before="0" w:after="0"/>
        <w:ind w:firstLine="567" w:left="0"/>
        <w:contextualSpacing w:val="false"/>
        <w:jc w:val="both"/>
        <w:rPr>
          <w:bCs/>
          <w:sz w:val="22"/>
          <w:szCs w:val="22"/>
        </w:rPr>
      </w:pPr>
      <w:r>
        <w:rPr>
          <w:bCs/>
          <w:sz w:val="22"/>
          <w:szCs w:val="22"/>
        </w:rPr>
        <w:t>в случае вручения лично или отправления по почте заказным письмом, курьерской связью – в дату и время фактического вручения;</w:t>
      </w:r>
    </w:p>
    <w:p>
      <w:pPr>
        <w:pStyle w:val="ListParagraph"/>
        <w:widowControl/>
        <w:numPr>
          <w:ilvl w:val="2"/>
          <w:numId w:val="15"/>
        </w:numPr>
        <w:shd w:val="clear" w:color="auto" w:fill="FFFFFF"/>
        <w:spacing w:before="0" w:after="0"/>
        <w:ind w:firstLine="567" w:left="0"/>
        <w:contextualSpacing w:val="false"/>
        <w:jc w:val="both"/>
        <w:rPr>
          <w:bCs/>
          <w:sz w:val="22"/>
          <w:szCs w:val="22"/>
        </w:rPr>
      </w:pPr>
      <w:r>
        <w:rPr>
          <w:bCs/>
          <w:sz w:val="22"/>
          <w:szCs w:val="22"/>
        </w:rPr>
        <w:t xml:space="preserve">в случае передачи по факсимильной или электронной связи – в дату и время отправления, подтвержденного протоколом передачи, распечатанным факсимильным аппаратом отправителя, или отчетом о доставке сообщения. В случае, если передача по факсимильной или электронной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факсимильной связи должны не позднее того же дня направляться с использованием видов связи, указанных в п. 14.7.1 Договора. </w:t>
      </w:r>
    </w:p>
    <w:p>
      <w:pPr>
        <w:pStyle w:val="Normal"/>
        <w:widowControl w:val="false"/>
        <w:numPr>
          <w:ilvl w:val="1"/>
          <w:numId w:val="15"/>
        </w:numPr>
        <w:shd w:val="clear" w:color="auto" w:fill="FFFFFF"/>
        <w:tabs>
          <w:tab w:val="left" w:pos="720" w:leader="none"/>
        </w:tabs>
        <w:ind w:firstLine="567" w:left="0"/>
        <w:jc w:val="both"/>
        <w:rPr>
          <w:sz w:val="22"/>
          <w:szCs w:val="22"/>
        </w:rPr>
      </w:pPr>
      <w:r>
        <w:rPr>
          <w:sz w:val="22"/>
          <w:szCs w:val="22"/>
        </w:rPr>
        <w:t>Поставщик не вправе передавать свои права и обязанности по Договору третьим лицам без предварительного письменного согласия Покупателя. В случае нарушения Поставщиком соответствующего условия, Покупатель вправе потребовать уплаты Поставщиком штрафа в размере 5 % от уступки (переданного в залог прав).</w:t>
      </w:r>
    </w:p>
    <w:p>
      <w:pPr>
        <w:pStyle w:val="Normal"/>
        <w:widowControl w:val="false"/>
        <w:numPr>
          <w:ilvl w:val="1"/>
          <w:numId w:val="15"/>
        </w:numPr>
        <w:shd w:val="clear" w:color="auto" w:fill="FFFFFF"/>
        <w:tabs>
          <w:tab w:val="left" w:pos="720" w:leader="none"/>
        </w:tabs>
        <w:ind w:firstLine="567" w:left="0"/>
        <w:jc w:val="both"/>
        <w:rPr>
          <w:sz w:val="22"/>
          <w:szCs w:val="22"/>
        </w:rPr>
      </w:pPr>
      <w:r>
        <w:rPr>
          <w:sz w:val="22"/>
          <w:szCs w:val="22"/>
        </w:rPr>
        <w:t xml:space="preserve">Во всем, что не урегулировано Договором, Стороны руководствуются положениями законодательства Российской Федерации. </w:t>
      </w:r>
    </w:p>
    <w:p>
      <w:pPr>
        <w:pStyle w:val="Normal"/>
        <w:widowControl w:val="false"/>
        <w:numPr>
          <w:ilvl w:val="1"/>
          <w:numId w:val="15"/>
        </w:numPr>
        <w:shd w:val="clear" w:color="auto" w:fill="FFFFFF"/>
        <w:tabs>
          <w:tab w:val="left" w:pos="720" w:leader="none"/>
        </w:tabs>
        <w:ind w:firstLine="567" w:left="0"/>
        <w:jc w:val="both"/>
        <w:rPr>
          <w:bCs/>
          <w:sz w:val="22"/>
          <w:szCs w:val="22"/>
        </w:rPr>
      </w:pPr>
      <w:r>
        <w:rPr>
          <w:sz w:val="22"/>
          <w:szCs w:val="22"/>
        </w:rPr>
        <w:t>Договор</w:t>
      </w:r>
      <w:r>
        <w:rPr>
          <w:bCs/>
          <w:sz w:val="22"/>
          <w:szCs w:val="22"/>
        </w:rPr>
        <w:t xml:space="preserve"> составлен в двух оригинальных экземплярах, по одному для каждой из Сторон.</w:t>
      </w:r>
    </w:p>
    <w:p>
      <w:pPr>
        <w:pStyle w:val="Normal"/>
        <w:widowControl w:val="false"/>
        <w:shd w:val="clear" w:color="auto" w:fill="FFFFFF"/>
        <w:tabs>
          <w:tab w:val="left" w:pos="720" w:leader="none"/>
        </w:tabs>
        <w:ind w:left="567"/>
        <w:jc w:val="both"/>
        <w:rPr>
          <w:bCs/>
          <w:sz w:val="22"/>
          <w:szCs w:val="22"/>
        </w:rPr>
      </w:pPr>
      <w:r>
        <w:rPr>
          <w:bCs/>
          <w:sz w:val="22"/>
          <w:szCs w:val="22"/>
        </w:rPr>
      </w:r>
    </w:p>
    <w:p>
      <w:pPr>
        <w:pStyle w:val="Normal"/>
        <w:widowControl w:val="false"/>
        <w:numPr>
          <w:ilvl w:val="0"/>
          <w:numId w:val="15"/>
        </w:numPr>
        <w:shd w:val="clear" w:color="auto" w:fill="FFFFFF"/>
        <w:tabs>
          <w:tab w:val="clear" w:pos="720"/>
          <w:tab w:val="left" w:pos="284" w:leader="none"/>
        </w:tabs>
        <w:ind w:hanging="0" w:left="0"/>
        <w:jc w:val="center"/>
        <w:rPr>
          <w:b/>
          <w:sz w:val="22"/>
          <w:szCs w:val="22"/>
        </w:rPr>
      </w:pPr>
      <w:r>
        <w:rPr>
          <w:b/>
          <w:sz w:val="22"/>
          <w:szCs w:val="22"/>
        </w:rPr>
        <w:t>Приложения к Договору</w:t>
      </w:r>
    </w:p>
    <w:p>
      <w:pPr>
        <w:pStyle w:val="Normal"/>
        <w:widowControl w:val="false"/>
        <w:shd w:val="clear" w:color="auto" w:fill="FFFFFF"/>
        <w:ind w:left="567"/>
        <w:rPr>
          <w:b/>
          <w:sz w:val="22"/>
          <w:szCs w:val="22"/>
        </w:rPr>
      </w:pPr>
      <w:r>
        <w:rPr>
          <w:b/>
          <w:sz w:val="22"/>
          <w:szCs w:val="22"/>
        </w:rPr>
      </w:r>
    </w:p>
    <w:p>
      <w:pPr>
        <w:pStyle w:val="Heading3"/>
        <w:keepNext w:val="false"/>
        <w:tabs>
          <w:tab w:val="clear" w:pos="0"/>
        </w:tabs>
        <w:overflowPunct w:val="true"/>
        <w:ind w:left="567"/>
        <w:jc w:val="both"/>
        <w:textAlignment w:val="baseline"/>
        <w:rPr>
          <w:b w:val="false"/>
          <w:sz w:val="22"/>
          <w:szCs w:val="22"/>
        </w:rPr>
      </w:pPr>
      <w:bookmarkStart w:id="1" w:name="sub_1"/>
      <w:bookmarkEnd w:id="1"/>
      <w:r>
        <w:rPr>
          <w:b w:val="false"/>
          <w:sz w:val="22"/>
          <w:szCs w:val="22"/>
        </w:rPr>
        <w:t>15.1. Приложение № 1 – Спецификация № 1.</w:t>
      </w:r>
    </w:p>
    <w:p>
      <w:pPr>
        <w:pStyle w:val="Normal"/>
        <w:rPr/>
      </w:pPr>
      <w:r>
        <w:rPr/>
      </w:r>
      <w:bookmarkStart w:id="2" w:name="sub_1_Копия_1"/>
      <w:bookmarkStart w:id="3" w:name="sub_1_Копия_1"/>
      <w:bookmarkEnd w:id="3"/>
    </w:p>
    <w:p>
      <w:pPr>
        <w:pStyle w:val="Normal"/>
        <w:jc w:val="center"/>
        <w:rPr>
          <w:b/>
          <w:sz w:val="22"/>
          <w:szCs w:val="22"/>
        </w:rPr>
      </w:pPr>
      <w:r>
        <w:rPr>
          <w:b/>
          <w:sz w:val="22"/>
          <w:szCs w:val="22"/>
        </w:rPr>
        <w:t>16.</w:t>
      </w:r>
      <w:r>
        <w:rPr>
          <w:sz w:val="22"/>
          <w:szCs w:val="22"/>
        </w:rPr>
        <w:t xml:space="preserve"> </w:t>
      </w:r>
      <w:r>
        <w:rPr>
          <w:b/>
          <w:sz w:val="22"/>
          <w:szCs w:val="22"/>
        </w:rPr>
        <w:t>Адреса, реквизиты и подписи Сторон:</w:t>
      </w:r>
    </w:p>
    <w:p>
      <w:pPr>
        <w:pStyle w:val="Normal"/>
        <w:ind w:firstLine="567" w:left="567"/>
        <w:rPr>
          <w:b/>
          <w:sz w:val="22"/>
          <w:szCs w:val="22"/>
        </w:rPr>
      </w:pPr>
      <w:r>
        <w:rPr>
          <w:b/>
          <w:sz w:val="22"/>
          <w:szCs w:val="22"/>
        </w:rPr>
        <w:t xml:space="preserve"> </w:t>
      </w:r>
    </w:p>
    <w:tbl>
      <w:tblPr>
        <w:tblW w:w="9572"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5245"/>
        <w:gridCol w:w="4326"/>
      </w:tblGrid>
      <w:tr>
        <w:trPr/>
        <w:tc>
          <w:tcPr>
            <w:tcW w:w="5245" w:type="dxa"/>
            <w:tcBorders/>
          </w:tcPr>
          <w:p>
            <w:pPr>
              <w:pStyle w:val="Normal"/>
              <w:widowControl w:val="false"/>
              <w:rPr>
                <w:b/>
                <w:sz w:val="22"/>
                <w:szCs w:val="22"/>
                <w:u w:val="single"/>
              </w:rPr>
            </w:pPr>
            <w:r>
              <w:rPr>
                <w:b/>
                <w:sz w:val="22"/>
                <w:szCs w:val="22"/>
                <w:u w:val="single"/>
              </w:rPr>
              <w:t>Покупатель:</w:t>
            </w:r>
          </w:p>
        </w:tc>
        <w:tc>
          <w:tcPr>
            <w:tcW w:w="4326" w:type="dxa"/>
            <w:tcBorders/>
          </w:tcPr>
          <w:p>
            <w:pPr>
              <w:pStyle w:val="Normal"/>
              <w:widowControl w:val="false"/>
              <w:rPr>
                <w:b/>
                <w:sz w:val="22"/>
                <w:szCs w:val="22"/>
                <w:u w:val="single"/>
              </w:rPr>
            </w:pPr>
            <w:r>
              <w:rPr>
                <w:b/>
                <w:sz w:val="22"/>
                <w:szCs w:val="22"/>
                <w:u w:val="single"/>
              </w:rPr>
              <w:t>Поставщик:</w:t>
            </w:r>
          </w:p>
        </w:tc>
      </w:tr>
      <w:tr>
        <w:trPr/>
        <w:tc>
          <w:tcPr>
            <w:tcW w:w="5245" w:type="dxa"/>
            <w:tcBorders/>
          </w:tcPr>
          <w:p>
            <w:pPr>
              <w:pStyle w:val="Normal"/>
              <w:widowControl w:val="false"/>
              <w:rPr>
                <w:b/>
                <w:sz w:val="22"/>
                <w:szCs w:val="22"/>
              </w:rPr>
            </w:pPr>
            <w:r>
              <w:rPr>
                <w:b/>
                <w:sz w:val="22"/>
                <w:szCs w:val="22"/>
              </w:rPr>
              <w:t>АО «Гидроремонт-ВКК»</w:t>
            </w:r>
          </w:p>
          <w:tbl>
            <w:tblPr>
              <w:tblW w:w="9921" w:type="dxa"/>
              <w:jc w:val="left"/>
              <w:tblInd w:w="108" w:type="dxa"/>
              <w:tblLayout w:type="fixed"/>
              <w:tblCellMar>
                <w:top w:w="0" w:type="dxa"/>
                <w:left w:w="108" w:type="dxa"/>
                <w:bottom w:w="0" w:type="dxa"/>
                <w:right w:w="108" w:type="dxa"/>
              </w:tblCellMar>
              <w:tblLook w:val="01e0" w:noHBand="0" w:noVBand="0" w:firstColumn="1" w:lastRow="1" w:lastColumn="1" w:firstRow="1"/>
            </w:tblPr>
            <w:tblGrid>
              <w:gridCol w:w="9921"/>
            </w:tblGrid>
            <w:tr>
              <w:trPr/>
              <w:tc>
                <w:tcPr>
                  <w:tcW w:w="9921" w:type="dxa"/>
                  <w:tcBorders/>
                </w:tcPr>
                <w:p>
                  <w:pPr>
                    <w:pStyle w:val="Normal"/>
                    <w:widowControl w:val="false"/>
                    <w:rPr>
                      <w:b/>
                      <w:sz w:val="24"/>
                      <w:szCs w:val="24"/>
                    </w:rPr>
                  </w:pPr>
                  <w:r>
                    <w:rPr>
                      <w:b/>
                      <w:sz w:val="24"/>
                      <w:szCs w:val="24"/>
                    </w:rPr>
                    <w:t>Акционерное общество «Гидроремонт-ВКК» (АО «Гидроремонт-ВКК»)</w:t>
                  </w:r>
                </w:p>
                <w:p>
                  <w:pPr>
                    <w:pStyle w:val="Normal"/>
                    <w:widowControl w:val="false"/>
                    <w:rPr>
                      <w:sz w:val="24"/>
                      <w:szCs w:val="24"/>
                    </w:rPr>
                  </w:pPr>
                  <w:r>
                    <w:rPr>
                      <w:sz w:val="24"/>
                      <w:szCs w:val="24"/>
                    </w:rPr>
                    <w:t xml:space="preserve">Место нахождения: </w:t>
                  </w:r>
                  <w:r>
                    <w:rPr>
                      <w:color w:val="000000"/>
                      <w:sz w:val="24"/>
                      <w:szCs w:val="24"/>
                    </w:rPr>
                    <w:t>603140, Россия, Нижегородская область, г.о. город Нижний Новгород, г. Нижний Новгород, пер. Мотальный, д. 8, помещ. ВП31, офис С1А</w:t>
                  </w:r>
                  <w:r>
                    <w:rPr>
                      <w:sz w:val="24"/>
                      <w:szCs w:val="24"/>
                    </w:rPr>
                    <w:t>.</w:t>
                  </w:r>
                </w:p>
                <w:p>
                  <w:pPr>
                    <w:pStyle w:val="Normal"/>
                    <w:widowControl w:val="false"/>
                    <w:rPr>
                      <w:b/>
                      <w:bCs/>
                      <w:sz w:val="24"/>
                      <w:szCs w:val="24"/>
                    </w:rPr>
                  </w:pPr>
                  <w:r>
                    <w:rPr>
                      <w:b/>
                      <w:bCs/>
                      <w:sz w:val="24"/>
                      <w:szCs w:val="24"/>
                    </w:rPr>
                    <w:t>Саратовский филиал АО «Гидроремонт-ВКК» в г. Балаково</w:t>
                  </w:r>
                </w:p>
                <w:p>
                  <w:pPr>
                    <w:pStyle w:val="Normal"/>
                    <w:widowControl w:val="false"/>
                    <w:rPr>
                      <w:sz w:val="24"/>
                      <w:szCs w:val="24"/>
                    </w:rPr>
                  </w:pPr>
                  <w:r>
                    <w:rPr>
                      <w:sz w:val="24"/>
                      <w:szCs w:val="24"/>
                    </w:rPr>
                    <w:t>Место нахождения филиала: 413840, Российская Федерация, Саратовская обл., г. Балаково.</w:t>
                  </w:r>
                </w:p>
                <w:p>
                  <w:pPr>
                    <w:pStyle w:val="Normal"/>
                    <w:widowControl w:val="false"/>
                    <w:rPr>
                      <w:sz w:val="24"/>
                      <w:szCs w:val="24"/>
                    </w:rPr>
                  </w:pPr>
                  <w:r>
                    <w:rPr>
                      <w:sz w:val="24"/>
                      <w:szCs w:val="24"/>
                    </w:rPr>
                    <w:t>Почтовый адрес для отправки корреспонденции в филиал: 413865, Российская Федерация, Саратовская область, г. Балаково, ул. Заовражная, 48, а/я 582, 25-ОПС.</w:t>
                  </w:r>
                </w:p>
                <w:p>
                  <w:pPr>
                    <w:pStyle w:val="Normal"/>
                    <w:widowControl w:val="false"/>
                    <w:rPr>
                      <w:sz w:val="24"/>
                      <w:szCs w:val="24"/>
                    </w:rPr>
                  </w:pPr>
                  <w:r>
                    <w:rPr>
                      <w:sz w:val="24"/>
                      <w:szCs w:val="24"/>
                    </w:rPr>
                    <w:t>ИНН/КПП 6345012488/643903001</w:t>
                  </w:r>
                </w:p>
                <w:p>
                  <w:pPr>
                    <w:pStyle w:val="Normal"/>
                    <w:widowControl w:val="false"/>
                    <w:rPr>
                      <w:sz w:val="24"/>
                      <w:szCs w:val="24"/>
                    </w:rPr>
                  </w:pPr>
                  <w:r>
                    <w:rPr>
                      <w:sz w:val="24"/>
                      <w:szCs w:val="24"/>
                    </w:rPr>
                    <w:t>ОГРН: 1036301733005</w:t>
                  </w:r>
                </w:p>
                <w:p>
                  <w:pPr>
                    <w:pStyle w:val="Normal"/>
                    <w:widowControl w:val="false"/>
                    <w:rPr>
                      <w:sz w:val="24"/>
                      <w:szCs w:val="24"/>
                    </w:rPr>
                  </w:pPr>
                  <w:r>
                    <w:rPr>
                      <w:sz w:val="24"/>
                      <w:szCs w:val="24"/>
                    </w:rPr>
                    <w:t>ОКВЭД: 33.12</w:t>
                  </w:r>
                </w:p>
                <w:p>
                  <w:pPr>
                    <w:pStyle w:val="Normal"/>
                    <w:widowControl w:val="false"/>
                    <w:rPr>
                      <w:sz w:val="24"/>
                      <w:szCs w:val="24"/>
                    </w:rPr>
                  </w:pPr>
                  <w:r>
                    <w:rPr>
                      <w:sz w:val="24"/>
                      <w:szCs w:val="24"/>
                    </w:rPr>
                    <w:t>ОКПО: 65814475</w:t>
                  </w:r>
                </w:p>
                <w:p>
                  <w:pPr>
                    <w:pStyle w:val="Normal"/>
                    <w:widowControl w:val="false"/>
                    <w:rPr>
                      <w:sz w:val="24"/>
                      <w:szCs w:val="24"/>
                    </w:rPr>
                  </w:pPr>
                  <w:r>
                    <w:rPr>
                      <w:sz w:val="24"/>
                      <w:szCs w:val="24"/>
                    </w:rPr>
                    <w:t>Наименование банка: БАНК ГПБ (АО)</w:t>
                  </w:r>
                </w:p>
                <w:p>
                  <w:pPr>
                    <w:pStyle w:val="Normal"/>
                    <w:widowControl w:val="false"/>
                    <w:rPr>
                      <w:sz w:val="24"/>
                      <w:szCs w:val="24"/>
                    </w:rPr>
                  </w:pPr>
                  <w:r>
                    <w:rPr>
                      <w:sz w:val="24"/>
                      <w:szCs w:val="24"/>
                    </w:rPr>
                    <w:t>Расчетный счет: 40702810500000046811</w:t>
                  </w:r>
                </w:p>
                <w:p>
                  <w:pPr>
                    <w:pStyle w:val="Normal"/>
                    <w:widowControl w:val="false"/>
                    <w:rPr>
                      <w:sz w:val="24"/>
                      <w:szCs w:val="24"/>
                    </w:rPr>
                  </w:pPr>
                  <w:r>
                    <w:rPr>
                      <w:sz w:val="24"/>
                      <w:szCs w:val="24"/>
                    </w:rPr>
                    <w:t>К/с счет: 30101810200000000823</w:t>
                  </w:r>
                </w:p>
                <w:p>
                  <w:pPr>
                    <w:pStyle w:val="Normal"/>
                    <w:widowControl w:val="false"/>
                    <w:rPr>
                      <w:sz w:val="24"/>
                      <w:szCs w:val="24"/>
                    </w:rPr>
                  </w:pPr>
                  <w:r>
                    <w:rPr>
                      <w:sz w:val="24"/>
                      <w:szCs w:val="24"/>
                    </w:rPr>
                    <w:t>БИК: 044525823</w:t>
                  </w:r>
                </w:p>
                <w:p>
                  <w:pPr>
                    <w:pStyle w:val="Normal"/>
                    <w:widowControl w:val="false"/>
                    <w:rPr>
                      <w:sz w:val="24"/>
                      <w:szCs w:val="24"/>
                    </w:rPr>
                  </w:pPr>
                  <w:r>
                    <w:rPr>
                      <w:sz w:val="24"/>
                      <w:szCs w:val="24"/>
                    </w:rPr>
                    <w:t>Телефон 8 (8453) 35 84 50</w:t>
                  </w:r>
                </w:p>
                <w:p>
                  <w:pPr>
                    <w:pStyle w:val="Normal"/>
                    <w:widowControl w:val="false"/>
                    <w:rPr/>
                  </w:pPr>
                  <w:r>
                    <w:rPr>
                      <w:sz w:val="24"/>
                      <w:szCs w:val="24"/>
                      <w:lang w:val="en-US"/>
                    </w:rPr>
                    <w:t>e</w:t>
                  </w:r>
                  <w:r>
                    <w:rPr>
                      <w:sz w:val="24"/>
                      <w:szCs w:val="24"/>
                    </w:rPr>
                    <w:t>-</w:t>
                  </w:r>
                  <w:r>
                    <w:rPr>
                      <w:sz w:val="24"/>
                      <w:szCs w:val="24"/>
                      <w:lang w:val="en-US"/>
                    </w:rPr>
                    <w:t>mail</w:t>
                  </w:r>
                  <w:r>
                    <w:rPr>
                      <w:sz w:val="24"/>
                      <w:szCs w:val="24"/>
                    </w:rPr>
                    <w:t xml:space="preserve">: </w:t>
                  </w:r>
                  <w:hyperlink r:id="rId5">
                    <w:r>
                      <w:rPr>
                        <w:sz w:val="24"/>
                        <w:szCs w:val="24"/>
                        <w:lang w:val="en-US"/>
                      </w:rPr>
                      <w:t>balakovo</w:t>
                    </w:r>
                    <w:r>
                      <w:rPr>
                        <w:sz w:val="24"/>
                        <w:szCs w:val="24"/>
                      </w:rPr>
                      <w:t>@</w:t>
                    </w:r>
                    <w:r>
                      <w:rPr>
                        <w:sz w:val="24"/>
                        <w:szCs w:val="24"/>
                        <w:lang w:val="en-US"/>
                      </w:rPr>
                      <w:t>rushydro</w:t>
                    </w:r>
                    <w:r>
                      <w:rPr>
                        <w:sz w:val="24"/>
                        <w:szCs w:val="24"/>
                      </w:rPr>
                      <w:t>.</w:t>
                    </w:r>
                    <w:r>
                      <w:rPr>
                        <w:sz w:val="24"/>
                        <w:szCs w:val="24"/>
                        <w:lang w:val="en-US"/>
                      </w:rPr>
                      <w:t>ru</w:t>
                    </w:r>
                  </w:hyperlink>
                </w:p>
                <w:p>
                  <w:pPr>
                    <w:pStyle w:val="Normal"/>
                    <w:widowControl w:val="false"/>
                    <w:rPr>
                      <w:sz w:val="24"/>
                      <w:szCs w:val="24"/>
                    </w:rPr>
                  </w:pPr>
                  <w:r>
                    <w:rPr>
                      <w:sz w:val="24"/>
                      <w:szCs w:val="24"/>
                    </w:rPr>
                  </w:r>
                </w:p>
              </w:tc>
            </w:tr>
            <w:tr>
              <w:trPr/>
              <w:tc>
                <w:tcPr>
                  <w:tcW w:w="9921" w:type="dxa"/>
                  <w:tcBorders/>
                </w:tcPr>
                <w:p>
                  <w:pPr>
                    <w:pStyle w:val="Normal"/>
                    <w:widowControl w:val="false"/>
                    <w:rPr/>
                  </w:pPr>
                  <w:r>
                    <w:rPr>
                      <w:bCs/>
                      <w:sz w:val="24"/>
                      <w:szCs w:val="24"/>
                    </w:rPr>
                    <w:t>Директор Саратовского филиала</w:t>
                  </w:r>
                </w:p>
                <w:p>
                  <w:pPr>
                    <w:pStyle w:val="Normal"/>
                    <w:widowControl w:val="false"/>
                    <w:rPr/>
                  </w:pPr>
                  <w:r>
                    <w:rPr>
                      <w:bCs/>
                      <w:sz w:val="24"/>
                      <w:szCs w:val="24"/>
                    </w:rPr>
                    <w:t>АО «Гидроремонт-ВКК» в г. Балаково</w:t>
                  </w:r>
                </w:p>
                <w:p>
                  <w:pPr>
                    <w:pStyle w:val="Normal"/>
                    <w:widowControl w:val="false"/>
                    <w:rPr>
                      <w:bCs/>
                      <w:sz w:val="24"/>
                      <w:szCs w:val="24"/>
                    </w:rPr>
                  </w:pPr>
                  <w:r>
                    <w:rPr>
                      <w:bCs/>
                      <w:sz w:val="24"/>
                      <w:szCs w:val="24"/>
                    </w:rPr>
                  </w:r>
                </w:p>
                <w:p>
                  <w:pPr>
                    <w:pStyle w:val="Normal"/>
                    <w:widowControl w:val="false"/>
                    <w:rPr/>
                  </w:pPr>
                  <w:r>
                    <w:rPr>
                      <w:sz w:val="24"/>
                      <w:szCs w:val="24"/>
                    </w:rPr>
                    <w:t>___________________  С.В. Яковенко</w:t>
                  </w:r>
                </w:p>
                <w:p>
                  <w:pPr>
                    <w:pStyle w:val="Normal"/>
                    <w:widowControl w:val="false"/>
                    <w:rPr/>
                  </w:pPr>
                  <w:r>
                    <w:rPr>
                      <w:bCs/>
                      <w:sz w:val="24"/>
                      <w:szCs w:val="24"/>
                    </w:rPr>
                    <w:t>м.п.</w:t>
                  </w:r>
                </w:p>
              </w:tc>
            </w:tr>
          </w:tbl>
          <w:p>
            <w:pPr>
              <w:pStyle w:val="Normal"/>
              <w:widowControl w:val="false"/>
              <w:rPr/>
            </w:pPr>
            <w:r>
              <w:rPr/>
            </w:r>
          </w:p>
        </w:tc>
        <w:tc>
          <w:tcPr>
            <w:tcW w:w="4326" w:type="dxa"/>
            <w:tcBorders/>
          </w:tcPr>
          <w:p>
            <w:pPr>
              <w:pStyle w:val="Normal"/>
              <w:widowControl w:val="false"/>
              <w:jc w:val="both"/>
              <w:rPr>
                <w:b/>
                <w:sz w:val="22"/>
                <w:szCs w:val="22"/>
              </w:rPr>
            </w:pPr>
            <w:r>
              <w:rPr>
                <w:b/>
                <w:sz w:val="22"/>
                <w:szCs w:val="22"/>
              </w:rPr>
            </w:r>
          </w:p>
        </w:tc>
      </w:tr>
    </w:tbl>
    <w:p>
      <w:pPr>
        <w:pStyle w:val="Normal"/>
        <w:ind w:firstLine="567" w:left="567"/>
        <w:rPr>
          <w:b/>
          <w:sz w:val="22"/>
          <w:szCs w:val="22"/>
        </w:rPr>
      </w:pPr>
      <w:r>
        <w:rPr>
          <w:b/>
          <w:sz w:val="22"/>
          <w:szCs w:val="22"/>
        </w:rPr>
      </w:r>
    </w:p>
    <w:p>
      <w:pPr>
        <w:pStyle w:val="BodyText"/>
        <w:numPr>
          <w:ilvl w:val="0"/>
          <w:numId w:val="0"/>
        </w:numPr>
        <w:ind w:firstLine="567"/>
        <w:jc w:val="right"/>
        <w:outlineLvl w:val="0"/>
        <w:rPr>
          <w:bCs/>
          <w:szCs w:val="22"/>
        </w:rPr>
      </w:pPr>
      <w:r>
        <w:rPr>
          <w:bCs/>
          <w:szCs w:val="22"/>
        </w:rPr>
      </w:r>
    </w:p>
    <w:p>
      <w:pPr>
        <w:pStyle w:val="BodyText"/>
        <w:numPr>
          <w:ilvl w:val="0"/>
          <w:numId w:val="0"/>
        </w:numPr>
        <w:ind w:firstLine="567"/>
        <w:jc w:val="right"/>
        <w:outlineLvl w:val="0"/>
        <w:rPr>
          <w:bCs/>
          <w:szCs w:val="22"/>
        </w:rPr>
      </w:pPr>
      <w:r>
        <w:rPr>
          <w:bCs/>
          <w:szCs w:val="22"/>
        </w:rPr>
      </w:r>
    </w:p>
    <w:p>
      <w:pPr>
        <w:pStyle w:val="BodyText"/>
        <w:numPr>
          <w:ilvl w:val="0"/>
          <w:numId w:val="0"/>
        </w:numPr>
        <w:ind w:firstLine="567"/>
        <w:jc w:val="right"/>
        <w:outlineLvl w:val="0"/>
        <w:rPr>
          <w:bCs/>
          <w:szCs w:val="22"/>
        </w:rPr>
      </w:pPr>
      <w:r>
        <w:rPr>
          <w:bCs/>
          <w:szCs w:val="22"/>
        </w:rPr>
      </w:r>
    </w:p>
    <w:p>
      <w:pPr>
        <w:pStyle w:val="BodyText"/>
        <w:numPr>
          <w:ilvl w:val="0"/>
          <w:numId w:val="0"/>
        </w:numPr>
        <w:ind w:firstLine="567"/>
        <w:jc w:val="right"/>
        <w:outlineLvl w:val="0"/>
        <w:rPr>
          <w:bCs/>
          <w:szCs w:val="22"/>
        </w:rPr>
      </w:pPr>
      <w:r>
        <w:rPr>
          <w:bCs/>
          <w:szCs w:val="22"/>
        </w:rPr>
      </w:r>
    </w:p>
    <w:p>
      <w:pPr>
        <w:pStyle w:val="BodyText"/>
        <w:numPr>
          <w:ilvl w:val="0"/>
          <w:numId w:val="0"/>
        </w:numPr>
        <w:ind w:firstLine="567"/>
        <w:jc w:val="right"/>
        <w:outlineLvl w:val="0"/>
        <w:rPr>
          <w:bCs/>
          <w:szCs w:val="22"/>
        </w:rPr>
      </w:pPr>
      <w:r>
        <w:rPr>
          <w:bCs/>
          <w:szCs w:val="22"/>
        </w:rPr>
      </w:r>
    </w:p>
    <w:p>
      <w:pPr>
        <w:pStyle w:val="BodyText"/>
        <w:numPr>
          <w:ilvl w:val="0"/>
          <w:numId w:val="0"/>
        </w:numPr>
        <w:ind w:firstLine="567"/>
        <w:jc w:val="right"/>
        <w:outlineLvl w:val="0"/>
        <w:rPr>
          <w:bCs/>
          <w:szCs w:val="22"/>
        </w:rPr>
      </w:pPr>
      <w:r>
        <w:rPr>
          <w:bCs/>
          <w:szCs w:val="22"/>
        </w:rPr>
      </w:r>
    </w:p>
    <w:p>
      <w:pPr>
        <w:pStyle w:val="BodyText"/>
        <w:numPr>
          <w:ilvl w:val="0"/>
          <w:numId w:val="0"/>
        </w:numPr>
        <w:ind w:firstLine="567"/>
        <w:jc w:val="right"/>
        <w:outlineLvl w:val="0"/>
        <w:rPr>
          <w:bCs/>
          <w:szCs w:val="22"/>
        </w:rPr>
      </w:pPr>
      <w:r>
        <w:rPr>
          <w:bCs/>
          <w:szCs w:val="22"/>
        </w:rPr>
      </w:r>
    </w:p>
    <w:p>
      <w:pPr>
        <w:pStyle w:val="BodyText"/>
        <w:numPr>
          <w:ilvl w:val="0"/>
          <w:numId w:val="0"/>
        </w:numPr>
        <w:ind w:firstLine="567"/>
        <w:jc w:val="right"/>
        <w:outlineLvl w:val="0"/>
        <w:rPr>
          <w:bCs/>
          <w:szCs w:val="22"/>
        </w:rPr>
      </w:pPr>
      <w:r>
        <w:rPr>
          <w:bCs/>
          <w:szCs w:val="22"/>
        </w:rPr>
      </w:r>
    </w:p>
    <w:p>
      <w:pPr>
        <w:pStyle w:val="BodyText"/>
        <w:numPr>
          <w:ilvl w:val="0"/>
          <w:numId w:val="0"/>
        </w:numPr>
        <w:ind w:firstLine="567"/>
        <w:jc w:val="right"/>
        <w:outlineLvl w:val="0"/>
        <w:rPr>
          <w:bCs/>
          <w:szCs w:val="22"/>
        </w:rPr>
      </w:pPr>
      <w:r>
        <w:rPr>
          <w:bCs/>
          <w:szCs w:val="22"/>
        </w:rPr>
      </w:r>
    </w:p>
    <w:p>
      <w:pPr>
        <w:pStyle w:val="BodyText"/>
        <w:numPr>
          <w:ilvl w:val="0"/>
          <w:numId w:val="0"/>
        </w:numPr>
        <w:ind w:firstLine="567"/>
        <w:jc w:val="right"/>
        <w:outlineLvl w:val="0"/>
        <w:rPr>
          <w:bCs/>
          <w:szCs w:val="22"/>
        </w:rPr>
      </w:pPr>
      <w:r>
        <w:rPr>
          <w:bCs/>
          <w:szCs w:val="22"/>
        </w:rPr>
      </w:r>
    </w:p>
    <w:p>
      <w:pPr>
        <w:pStyle w:val="BodyText"/>
        <w:numPr>
          <w:ilvl w:val="0"/>
          <w:numId w:val="0"/>
        </w:numPr>
        <w:ind w:firstLine="567"/>
        <w:jc w:val="right"/>
        <w:outlineLvl w:val="0"/>
        <w:rPr>
          <w:bCs/>
          <w:szCs w:val="22"/>
        </w:rPr>
      </w:pPr>
      <w:r>
        <w:rPr>
          <w:bCs/>
          <w:szCs w:val="22"/>
        </w:rPr>
      </w:r>
    </w:p>
    <w:p>
      <w:pPr>
        <w:pStyle w:val="BodyText"/>
        <w:numPr>
          <w:ilvl w:val="0"/>
          <w:numId w:val="0"/>
        </w:numPr>
        <w:ind w:firstLine="567"/>
        <w:jc w:val="right"/>
        <w:outlineLvl w:val="0"/>
        <w:rPr>
          <w:bCs/>
          <w:szCs w:val="22"/>
        </w:rPr>
      </w:pPr>
      <w:r>
        <w:rPr>
          <w:bCs/>
          <w:szCs w:val="22"/>
        </w:rPr>
      </w:r>
    </w:p>
    <w:p>
      <w:pPr>
        <w:pStyle w:val="BodyText"/>
        <w:numPr>
          <w:ilvl w:val="0"/>
          <w:numId w:val="0"/>
        </w:numPr>
        <w:ind w:firstLine="567"/>
        <w:jc w:val="right"/>
        <w:outlineLvl w:val="0"/>
        <w:rPr>
          <w:bCs/>
          <w:szCs w:val="22"/>
        </w:rPr>
      </w:pPr>
      <w:r>
        <w:rPr>
          <w:bCs/>
          <w:szCs w:val="22"/>
        </w:rPr>
      </w:r>
    </w:p>
    <w:p>
      <w:pPr>
        <w:pStyle w:val="BodyText"/>
        <w:numPr>
          <w:ilvl w:val="0"/>
          <w:numId w:val="0"/>
        </w:numPr>
        <w:ind w:firstLine="567"/>
        <w:jc w:val="right"/>
        <w:outlineLvl w:val="0"/>
        <w:rPr>
          <w:bCs/>
          <w:szCs w:val="22"/>
        </w:rPr>
      </w:pPr>
      <w:r>
        <w:rPr>
          <w:bCs/>
          <w:szCs w:val="22"/>
        </w:rPr>
      </w:r>
    </w:p>
    <w:p>
      <w:pPr>
        <w:pStyle w:val="BodyText"/>
        <w:numPr>
          <w:ilvl w:val="0"/>
          <w:numId w:val="0"/>
        </w:numPr>
        <w:ind w:firstLine="567"/>
        <w:jc w:val="right"/>
        <w:outlineLvl w:val="0"/>
        <w:rPr>
          <w:bCs/>
          <w:szCs w:val="22"/>
        </w:rPr>
      </w:pPr>
      <w:r>
        <w:rPr>
          <w:bCs/>
          <w:szCs w:val="22"/>
        </w:rPr>
      </w:r>
    </w:p>
    <w:p>
      <w:pPr>
        <w:pStyle w:val="BodyText"/>
        <w:numPr>
          <w:ilvl w:val="0"/>
          <w:numId w:val="0"/>
        </w:numPr>
        <w:ind w:firstLine="567"/>
        <w:jc w:val="right"/>
        <w:outlineLvl w:val="0"/>
        <w:rPr>
          <w:bCs/>
          <w:szCs w:val="22"/>
        </w:rPr>
      </w:pPr>
      <w:r>
        <w:rPr>
          <w:bCs/>
          <w:szCs w:val="22"/>
        </w:rPr>
      </w:r>
    </w:p>
    <w:p>
      <w:pPr>
        <w:pStyle w:val="BodyText"/>
        <w:numPr>
          <w:ilvl w:val="0"/>
          <w:numId w:val="0"/>
        </w:numPr>
        <w:ind w:firstLine="567"/>
        <w:jc w:val="right"/>
        <w:outlineLvl w:val="0"/>
        <w:rPr>
          <w:bCs/>
          <w:szCs w:val="22"/>
        </w:rPr>
      </w:pPr>
      <w:r>
        <w:rPr>
          <w:bCs/>
          <w:szCs w:val="22"/>
        </w:rPr>
      </w:r>
    </w:p>
    <w:p>
      <w:pPr>
        <w:pStyle w:val="BodyText"/>
        <w:numPr>
          <w:ilvl w:val="0"/>
          <w:numId w:val="0"/>
        </w:numPr>
        <w:ind w:firstLine="567"/>
        <w:jc w:val="right"/>
        <w:outlineLvl w:val="0"/>
        <w:rPr>
          <w:bCs/>
          <w:szCs w:val="22"/>
        </w:rPr>
      </w:pPr>
      <w:r>
        <w:rPr>
          <w:bCs/>
          <w:szCs w:val="22"/>
        </w:rPr>
      </w:r>
    </w:p>
    <w:p>
      <w:pPr>
        <w:pStyle w:val="BodyText"/>
        <w:numPr>
          <w:ilvl w:val="0"/>
          <w:numId w:val="0"/>
        </w:numPr>
        <w:ind w:firstLine="567"/>
        <w:jc w:val="right"/>
        <w:outlineLvl w:val="0"/>
        <w:rPr>
          <w:bCs/>
          <w:szCs w:val="22"/>
        </w:rPr>
      </w:pPr>
      <w:r>
        <w:rPr>
          <w:bCs/>
          <w:szCs w:val="22"/>
        </w:rPr>
      </w:r>
    </w:p>
    <w:p>
      <w:pPr>
        <w:pStyle w:val="BodyText"/>
        <w:numPr>
          <w:ilvl w:val="0"/>
          <w:numId w:val="0"/>
        </w:numPr>
        <w:ind w:firstLine="567"/>
        <w:jc w:val="right"/>
        <w:outlineLvl w:val="0"/>
        <w:rPr>
          <w:bCs/>
          <w:szCs w:val="22"/>
        </w:rPr>
      </w:pPr>
      <w:r>
        <w:rPr>
          <w:bCs/>
          <w:szCs w:val="22"/>
        </w:rPr>
      </w:r>
    </w:p>
    <w:p>
      <w:pPr>
        <w:pStyle w:val="BodyText"/>
        <w:numPr>
          <w:ilvl w:val="0"/>
          <w:numId w:val="0"/>
        </w:numPr>
        <w:ind w:firstLine="567"/>
        <w:jc w:val="right"/>
        <w:outlineLvl w:val="0"/>
        <w:rPr>
          <w:bCs/>
          <w:szCs w:val="22"/>
        </w:rPr>
      </w:pPr>
      <w:r>
        <w:rPr>
          <w:bCs/>
          <w:szCs w:val="22"/>
        </w:rPr>
      </w:r>
    </w:p>
    <w:p>
      <w:pPr>
        <w:pStyle w:val="BodyText"/>
        <w:numPr>
          <w:ilvl w:val="0"/>
          <w:numId w:val="0"/>
        </w:numPr>
        <w:ind w:firstLine="567"/>
        <w:jc w:val="right"/>
        <w:outlineLvl w:val="0"/>
        <w:rPr>
          <w:bCs/>
          <w:szCs w:val="22"/>
        </w:rPr>
      </w:pPr>
      <w:r>
        <w:rPr>
          <w:bCs/>
          <w:szCs w:val="22"/>
        </w:rPr>
      </w:r>
    </w:p>
    <w:p>
      <w:pPr>
        <w:pStyle w:val="BodyText"/>
        <w:numPr>
          <w:ilvl w:val="0"/>
          <w:numId w:val="0"/>
        </w:numPr>
        <w:ind w:firstLine="567"/>
        <w:jc w:val="right"/>
        <w:outlineLvl w:val="0"/>
        <w:rPr>
          <w:bCs/>
          <w:szCs w:val="22"/>
        </w:rPr>
      </w:pPr>
      <w:r>
        <w:rPr>
          <w:bCs/>
          <w:szCs w:val="22"/>
        </w:rPr>
      </w:r>
    </w:p>
    <w:p>
      <w:pPr>
        <w:pStyle w:val="BodyText"/>
        <w:numPr>
          <w:ilvl w:val="0"/>
          <w:numId w:val="0"/>
        </w:numPr>
        <w:ind w:firstLine="567"/>
        <w:jc w:val="right"/>
        <w:outlineLvl w:val="0"/>
        <w:rPr>
          <w:bCs/>
          <w:szCs w:val="22"/>
        </w:rPr>
      </w:pPr>
      <w:r>
        <w:rPr>
          <w:bCs/>
          <w:szCs w:val="22"/>
        </w:rPr>
      </w:r>
    </w:p>
    <w:p>
      <w:pPr>
        <w:pStyle w:val="BodyText"/>
        <w:numPr>
          <w:ilvl w:val="0"/>
          <w:numId w:val="0"/>
        </w:numPr>
        <w:ind w:firstLine="567"/>
        <w:jc w:val="right"/>
        <w:outlineLvl w:val="0"/>
        <w:rPr>
          <w:bCs/>
          <w:szCs w:val="22"/>
        </w:rPr>
      </w:pPr>
      <w:r>
        <w:rPr>
          <w:bCs/>
          <w:szCs w:val="22"/>
        </w:rPr>
      </w:r>
    </w:p>
    <w:p>
      <w:pPr>
        <w:pStyle w:val="BodyText"/>
        <w:numPr>
          <w:ilvl w:val="0"/>
          <w:numId w:val="0"/>
        </w:numPr>
        <w:ind w:firstLine="567"/>
        <w:jc w:val="right"/>
        <w:outlineLvl w:val="0"/>
        <w:rPr>
          <w:bCs/>
          <w:szCs w:val="22"/>
        </w:rPr>
      </w:pPr>
      <w:r>
        <w:rPr>
          <w:bCs/>
          <w:szCs w:val="22"/>
        </w:rPr>
      </w:r>
    </w:p>
    <w:p>
      <w:pPr>
        <w:pStyle w:val="BodyText"/>
        <w:numPr>
          <w:ilvl w:val="0"/>
          <w:numId w:val="0"/>
        </w:numPr>
        <w:ind w:firstLine="567"/>
        <w:jc w:val="right"/>
        <w:outlineLvl w:val="0"/>
        <w:rPr>
          <w:bCs/>
          <w:szCs w:val="22"/>
        </w:rPr>
      </w:pPr>
      <w:r>
        <w:rPr>
          <w:bCs/>
          <w:szCs w:val="22"/>
        </w:rPr>
      </w:r>
    </w:p>
    <w:p>
      <w:pPr>
        <w:pStyle w:val="BodyText"/>
        <w:numPr>
          <w:ilvl w:val="0"/>
          <w:numId w:val="0"/>
        </w:numPr>
        <w:ind w:firstLine="567"/>
        <w:jc w:val="right"/>
        <w:outlineLvl w:val="0"/>
        <w:rPr>
          <w:bCs/>
          <w:szCs w:val="22"/>
        </w:rPr>
      </w:pPr>
      <w:r>
        <w:rPr>
          <w:bCs/>
          <w:szCs w:val="22"/>
        </w:rPr>
      </w:r>
    </w:p>
    <w:p>
      <w:pPr>
        <w:pStyle w:val="BodyText"/>
        <w:numPr>
          <w:ilvl w:val="0"/>
          <w:numId w:val="0"/>
        </w:numPr>
        <w:ind w:firstLine="567"/>
        <w:jc w:val="right"/>
        <w:outlineLvl w:val="0"/>
        <w:rPr>
          <w:bCs/>
          <w:szCs w:val="22"/>
        </w:rPr>
      </w:pPr>
      <w:r>
        <w:rPr>
          <w:bCs/>
          <w:szCs w:val="22"/>
        </w:rPr>
      </w:r>
    </w:p>
    <w:p>
      <w:pPr>
        <w:pStyle w:val="BodyText"/>
        <w:numPr>
          <w:ilvl w:val="0"/>
          <w:numId w:val="0"/>
        </w:numPr>
        <w:ind w:firstLine="567"/>
        <w:jc w:val="right"/>
        <w:outlineLvl w:val="0"/>
        <w:rPr>
          <w:bCs/>
          <w:szCs w:val="22"/>
        </w:rPr>
      </w:pPr>
      <w:r>
        <w:rPr>
          <w:bCs/>
          <w:szCs w:val="22"/>
        </w:rPr>
      </w:r>
    </w:p>
    <w:p>
      <w:pPr>
        <w:pStyle w:val="BodyText"/>
        <w:numPr>
          <w:ilvl w:val="0"/>
          <w:numId w:val="0"/>
        </w:numPr>
        <w:ind w:firstLine="567"/>
        <w:jc w:val="right"/>
        <w:outlineLvl w:val="0"/>
        <w:rPr>
          <w:bCs/>
          <w:szCs w:val="22"/>
        </w:rPr>
      </w:pPr>
      <w:r>
        <w:rPr>
          <w:bCs/>
          <w:szCs w:val="22"/>
        </w:rPr>
      </w:r>
    </w:p>
    <w:p>
      <w:pPr>
        <w:pStyle w:val="BodyText"/>
        <w:numPr>
          <w:ilvl w:val="0"/>
          <w:numId w:val="0"/>
        </w:numPr>
        <w:ind w:firstLine="567"/>
        <w:jc w:val="right"/>
        <w:outlineLvl w:val="0"/>
        <w:rPr>
          <w:bCs/>
          <w:szCs w:val="22"/>
        </w:rPr>
      </w:pPr>
      <w:r>
        <w:rPr>
          <w:bCs/>
          <w:szCs w:val="22"/>
        </w:rPr>
      </w:r>
    </w:p>
    <w:p>
      <w:pPr>
        <w:pStyle w:val="BodyText"/>
        <w:numPr>
          <w:ilvl w:val="0"/>
          <w:numId w:val="0"/>
        </w:numPr>
        <w:ind w:firstLine="567"/>
        <w:jc w:val="right"/>
        <w:outlineLvl w:val="0"/>
        <w:rPr>
          <w:bCs/>
          <w:szCs w:val="22"/>
        </w:rPr>
      </w:pPr>
      <w:r>
        <w:rPr>
          <w:bCs/>
          <w:szCs w:val="22"/>
        </w:rPr>
      </w:r>
    </w:p>
    <w:p>
      <w:pPr>
        <w:pStyle w:val="BodyText"/>
        <w:numPr>
          <w:ilvl w:val="0"/>
          <w:numId w:val="0"/>
        </w:numPr>
        <w:ind w:firstLine="567"/>
        <w:jc w:val="right"/>
        <w:outlineLvl w:val="0"/>
        <w:rPr>
          <w:bCs/>
          <w:szCs w:val="22"/>
        </w:rPr>
      </w:pPr>
      <w:r>
        <w:rPr>
          <w:bCs/>
          <w:szCs w:val="22"/>
        </w:rPr>
      </w:r>
    </w:p>
    <w:p>
      <w:pPr>
        <w:pStyle w:val="BodyText"/>
        <w:numPr>
          <w:ilvl w:val="0"/>
          <w:numId w:val="0"/>
        </w:numPr>
        <w:ind w:firstLine="567"/>
        <w:jc w:val="right"/>
        <w:outlineLvl w:val="0"/>
        <w:rPr>
          <w:bCs/>
          <w:szCs w:val="22"/>
        </w:rPr>
      </w:pPr>
      <w:r>
        <w:rPr>
          <w:bCs/>
          <w:szCs w:val="22"/>
        </w:rPr>
        <w:t>Приложение № 1</w:t>
      </w:r>
    </w:p>
    <w:p>
      <w:pPr>
        <w:pStyle w:val="BodyText"/>
        <w:ind w:firstLine="567"/>
        <w:jc w:val="right"/>
        <w:rPr>
          <w:bCs/>
          <w:szCs w:val="22"/>
        </w:rPr>
      </w:pPr>
      <w:r>
        <w:rPr>
          <w:bCs/>
          <w:szCs w:val="22"/>
        </w:rPr>
        <w:t xml:space="preserve">к договору поставки </w:t>
      </w:r>
    </w:p>
    <w:p>
      <w:pPr>
        <w:pStyle w:val="BodyText"/>
        <w:ind w:firstLine="567"/>
        <w:jc w:val="right"/>
        <w:rPr>
          <w:bCs/>
          <w:szCs w:val="22"/>
        </w:rPr>
      </w:pPr>
      <w:r>
        <w:rPr>
          <w:bCs/>
          <w:szCs w:val="22"/>
        </w:rPr>
        <w:t xml:space="preserve">№ </w:t>
      </w:r>
      <w:r>
        <w:rPr>
          <w:bCs/>
          <w:szCs w:val="22"/>
        </w:rPr>
        <w:t>__________-Сар/пос-26 от «_____» ноября 2026 г.</w:t>
      </w:r>
    </w:p>
    <w:p>
      <w:pPr>
        <w:pStyle w:val="Normal"/>
        <w:numPr>
          <w:ilvl w:val="0"/>
          <w:numId w:val="0"/>
        </w:numPr>
        <w:ind w:firstLine="567"/>
        <w:jc w:val="center"/>
        <w:outlineLvl w:val="0"/>
        <w:rPr>
          <w:b/>
          <w:sz w:val="22"/>
          <w:szCs w:val="22"/>
        </w:rPr>
      </w:pPr>
      <w:r>
        <w:rPr>
          <w:b/>
          <w:sz w:val="22"/>
          <w:szCs w:val="22"/>
        </w:rPr>
      </w:r>
    </w:p>
    <w:p>
      <w:pPr>
        <w:pStyle w:val="Normal"/>
        <w:numPr>
          <w:ilvl w:val="0"/>
          <w:numId w:val="0"/>
        </w:numPr>
        <w:jc w:val="center"/>
        <w:outlineLvl w:val="0"/>
        <w:rPr>
          <w:b/>
          <w:sz w:val="22"/>
          <w:szCs w:val="22"/>
        </w:rPr>
      </w:pPr>
      <w:r>
        <w:rPr>
          <w:b/>
          <w:sz w:val="22"/>
          <w:szCs w:val="22"/>
        </w:rPr>
        <w:t>Спецификация № 1</w:t>
      </w:r>
    </w:p>
    <w:p>
      <w:pPr>
        <w:pStyle w:val="Normal"/>
        <w:numPr>
          <w:ilvl w:val="0"/>
          <w:numId w:val="0"/>
        </w:numPr>
        <w:jc w:val="center"/>
        <w:outlineLvl w:val="0"/>
        <w:rPr>
          <w:b/>
          <w:sz w:val="22"/>
          <w:szCs w:val="22"/>
        </w:rPr>
      </w:pPr>
      <w:r>
        <w:rPr>
          <w:b/>
          <w:sz w:val="22"/>
          <w:szCs w:val="22"/>
        </w:rPr>
      </w:r>
    </w:p>
    <w:tbl>
      <w:tblPr>
        <w:tblW w:w="10174"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35"/>
        <w:gridCol w:w="4394"/>
        <w:gridCol w:w="1415"/>
        <w:gridCol w:w="1417"/>
        <w:gridCol w:w="711"/>
        <w:gridCol w:w="1701"/>
      </w:tblGrid>
      <w:tr>
        <w:trPr/>
        <w:tc>
          <w:tcPr>
            <w:tcW w:w="53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numPr>
                <w:ilvl w:val="0"/>
                <w:numId w:val="0"/>
              </w:numPr>
              <w:outlineLvl w:val="0"/>
              <w:rPr>
                <w:sz w:val="22"/>
                <w:szCs w:val="22"/>
              </w:rPr>
            </w:pPr>
            <w:r>
              <w:rPr>
                <w:sz w:val="22"/>
                <w:szCs w:val="22"/>
              </w:rPr>
              <w:t xml:space="preserve">№ </w:t>
            </w:r>
            <w:r>
              <w:rPr>
                <w:sz w:val="22"/>
                <w:szCs w:val="22"/>
              </w:rPr>
              <w:t>п/п</w:t>
            </w:r>
          </w:p>
        </w:tc>
        <w:tc>
          <w:tcPr>
            <w:tcW w:w="439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numPr>
                <w:ilvl w:val="0"/>
                <w:numId w:val="0"/>
              </w:numPr>
              <w:jc w:val="center"/>
              <w:outlineLvl w:val="0"/>
              <w:rPr>
                <w:sz w:val="22"/>
                <w:szCs w:val="22"/>
              </w:rPr>
            </w:pPr>
            <w:r>
              <w:rPr>
                <w:sz w:val="22"/>
                <w:szCs w:val="22"/>
              </w:rPr>
              <w:t>Наименование позиции</w:t>
            </w:r>
          </w:p>
        </w:tc>
        <w:tc>
          <w:tcPr>
            <w:tcW w:w="141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numPr>
                <w:ilvl w:val="0"/>
                <w:numId w:val="0"/>
              </w:numPr>
              <w:jc w:val="center"/>
              <w:outlineLvl w:val="0"/>
              <w:rPr>
                <w:sz w:val="22"/>
                <w:szCs w:val="22"/>
              </w:rPr>
            </w:pPr>
            <w:r>
              <w:rPr>
                <w:sz w:val="22"/>
                <w:szCs w:val="22"/>
              </w:rPr>
              <w:t>Ед. изм.</w:t>
            </w:r>
          </w:p>
        </w:tc>
        <w:tc>
          <w:tcPr>
            <w:tcW w:w="14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numPr>
                <w:ilvl w:val="0"/>
                <w:numId w:val="0"/>
              </w:numPr>
              <w:jc w:val="center"/>
              <w:outlineLvl w:val="0"/>
              <w:rPr>
                <w:sz w:val="22"/>
                <w:szCs w:val="22"/>
              </w:rPr>
            </w:pPr>
            <w:r>
              <w:rPr>
                <w:sz w:val="22"/>
                <w:szCs w:val="22"/>
              </w:rPr>
              <w:t xml:space="preserve">Цена одной единицы, руб. без НДС </w:t>
            </w:r>
          </w:p>
        </w:tc>
        <w:tc>
          <w:tcPr>
            <w:tcW w:w="711"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0"/>
              </w:numPr>
              <w:jc w:val="center"/>
              <w:outlineLvl w:val="0"/>
              <w:rPr>
                <w:sz w:val="22"/>
                <w:szCs w:val="22"/>
              </w:rPr>
            </w:pPr>
            <w:r>
              <w:rPr>
                <w:sz w:val="22"/>
                <w:szCs w:val="22"/>
              </w:rPr>
              <w:t>Кол-во</w:t>
            </w:r>
          </w:p>
        </w:tc>
        <w:tc>
          <w:tcPr>
            <w:tcW w:w="170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numPr>
                <w:ilvl w:val="0"/>
                <w:numId w:val="0"/>
              </w:numPr>
              <w:jc w:val="center"/>
              <w:outlineLvl w:val="0"/>
              <w:rPr>
                <w:sz w:val="22"/>
                <w:szCs w:val="22"/>
              </w:rPr>
            </w:pPr>
            <w:r>
              <w:rPr>
                <w:sz w:val="22"/>
                <w:szCs w:val="22"/>
              </w:rPr>
              <w:t xml:space="preserve">Итоговая стоимость, руб. с НДС </w:t>
            </w:r>
          </w:p>
        </w:tc>
      </w:tr>
      <w:tr>
        <w:trPr/>
        <w:tc>
          <w:tcPr>
            <w:tcW w:w="53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numPr>
                <w:ilvl w:val="0"/>
                <w:numId w:val="13"/>
              </w:numPr>
              <w:ind w:hanging="0" w:left="0"/>
              <w:outlineLvl w:val="0"/>
              <w:rPr>
                <w:sz w:val="22"/>
                <w:szCs w:val="22"/>
              </w:rPr>
            </w:pPr>
            <w:r>
              <w:rPr>
                <w:sz w:val="22"/>
                <w:szCs w:val="22"/>
              </w:rPr>
            </w:r>
          </w:p>
        </w:tc>
        <w:tc>
          <w:tcPr>
            <w:tcW w:w="4394"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0"/>
              </w:numPr>
              <w:outlineLvl w:val="0"/>
              <w:rPr>
                <w:sz w:val="22"/>
                <w:szCs w:val="22"/>
              </w:rPr>
            </w:pPr>
            <w:r>
              <w:rPr>
                <w:sz w:val="22"/>
                <w:szCs w:val="22"/>
              </w:rPr>
            </w:r>
          </w:p>
        </w:tc>
        <w:tc>
          <w:tcPr>
            <w:tcW w:w="1415"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0"/>
              </w:numPr>
              <w:jc w:val="center"/>
              <w:outlineLvl w:val="0"/>
              <w:rPr>
                <w:sz w:val="22"/>
                <w:szCs w:val="22"/>
              </w:rPr>
            </w:pPr>
            <w:r>
              <w:rPr>
                <w:sz w:val="22"/>
                <w:szCs w:val="22"/>
              </w:rPr>
              <w:t>шт</w:t>
            </w:r>
          </w:p>
        </w:tc>
        <w:tc>
          <w:tcPr>
            <w:tcW w:w="14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numPr>
                <w:ilvl w:val="0"/>
                <w:numId w:val="0"/>
              </w:numPr>
              <w:jc w:val="center"/>
              <w:outlineLvl w:val="0"/>
              <w:rPr>
                <w:sz w:val="22"/>
                <w:szCs w:val="22"/>
              </w:rPr>
            </w:pPr>
            <w:r>
              <w:rPr>
                <w:sz w:val="22"/>
                <w:szCs w:val="22"/>
              </w:rPr>
            </w:r>
          </w:p>
        </w:tc>
        <w:tc>
          <w:tcPr>
            <w:tcW w:w="711"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0"/>
              </w:numPr>
              <w:jc w:val="center"/>
              <w:outlineLvl w:val="0"/>
              <w:rPr>
                <w:sz w:val="22"/>
                <w:szCs w:val="22"/>
              </w:rPr>
            </w:pPr>
            <w:r>
              <w:rPr>
                <w:sz w:val="22"/>
                <w:szCs w:val="22"/>
              </w:rPr>
              <w:t>12</w:t>
            </w:r>
            <w:r>
              <w:rPr>
                <w:sz w:val="22"/>
                <w:szCs w:val="22"/>
              </w:rPr>
              <w:t>5</w:t>
            </w:r>
          </w:p>
        </w:tc>
        <w:tc>
          <w:tcPr>
            <w:tcW w:w="170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numPr>
                <w:ilvl w:val="0"/>
                <w:numId w:val="0"/>
              </w:numPr>
              <w:jc w:val="center"/>
              <w:outlineLvl w:val="0"/>
              <w:rPr>
                <w:sz w:val="22"/>
                <w:szCs w:val="22"/>
              </w:rPr>
            </w:pPr>
            <w:r>
              <w:rPr>
                <w:sz w:val="22"/>
                <w:szCs w:val="22"/>
              </w:rPr>
            </w:r>
          </w:p>
        </w:tc>
      </w:tr>
      <w:tr>
        <w:trPr/>
        <w:tc>
          <w:tcPr>
            <w:tcW w:w="8472" w:type="dxa"/>
            <w:gridSpan w:val="5"/>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numPr>
                <w:ilvl w:val="0"/>
                <w:numId w:val="0"/>
              </w:numPr>
              <w:jc w:val="right"/>
              <w:outlineLvl w:val="0"/>
              <w:rPr>
                <w:sz w:val="22"/>
                <w:szCs w:val="22"/>
              </w:rPr>
            </w:pPr>
            <w:r>
              <w:rPr>
                <w:sz w:val="22"/>
                <w:szCs w:val="22"/>
              </w:rPr>
              <w:t xml:space="preserve">Итого, с НДС </w:t>
            </w:r>
          </w:p>
        </w:tc>
        <w:tc>
          <w:tcPr>
            <w:tcW w:w="170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numPr>
                <w:ilvl w:val="0"/>
                <w:numId w:val="0"/>
              </w:numPr>
              <w:jc w:val="center"/>
              <w:outlineLvl w:val="0"/>
              <w:rPr>
                <w:sz w:val="22"/>
                <w:szCs w:val="22"/>
              </w:rPr>
            </w:pPr>
            <w:r>
              <w:rPr>
                <w:sz w:val="22"/>
                <w:szCs w:val="22"/>
              </w:rPr>
            </w:r>
          </w:p>
        </w:tc>
      </w:tr>
      <w:tr>
        <w:trPr/>
        <w:tc>
          <w:tcPr>
            <w:tcW w:w="8472" w:type="dxa"/>
            <w:gridSpan w:val="5"/>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numPr>
                <w:ilvl w:val="0"/>
                <w:numId w:val="0"/>
              </w:numPr>
              <w:jc w:val="right"/>
              <w:outlineLvl w:val="0"/>
              <w:rPr>
                <w:sz w:val="22"/>
                <w:szCs w:val="22"/>
              </w:rPr>
            </w:pPr>
            <w:r>
              <w:rPr>
                <w:sz w:val="22"/>
                <w:szCs w:val="22"/>
              </w:rPr>
              <w:t>В том числе НДС:</w:t>
            </w:r>
          </w:p>
        </w:tc>
        <w:tc>
          <w:tcPr>
            <w:tcW w:w="170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numPr>
                <w:ilvl w:val="0"/>
                <w:numId w:val="0"/>
              </w:numPr>
              <w:jc w:val="center"/>
              <w:outlineLvl w:val="0"/>
              <w:rPr>
                <w:sz w:val="22"/>
                <w:szCs w:val="22"/>
              </w:rPr>
            </w:pPr>
            <w:r>
              <w:rPr>
                <w:sz w:val="22"/>
                <w:szCs w:val="22"/>
              </w:rPr>
            </w:r>
          </w:p>
        </w:tc>
      </w:tr>
    </w:tbl>
    <w:p>
      <w:pPr>
        <w:pStyle w:val="Normal"/>
        <w:tabs>
          <w:tab w:val="clear" w:pos="720"/>
          <w:tab w:val="left" w:pos="0" w:leader="none"/>
        </w:tabs>
        <w:rPr>
          <w:sz w:val="24"/>
          <w:szCs w:val="24"/>
          <w:lang w:eastAsia="ar-SA"/>
        </w:rPr>
      </w:pPr>
      <w:r>
        <w:rPr>
          <w:sz w:val="24"/>
          <w:szCs w:val="24"/>
          <w:lang w:eastAsia="ar-SA"/>
        </w:rPr>
      </w:r>
    </w:p>
    <w:p>
      <w:pPr>
        <w:pStyle w:val="Normal"/>
        <w:ind w:firstLine="567"/>
        <w:jc w:val="both"/>
        <w:rPr>
          <w:bCs/>
          <w:sz w:val="22"/>
          <w:szCs w:val="22"/>
        </w:rPr>
      </w:pPr>
      <w:r>
        <w:rPr>
          <w:bCs/>
          <w:sz w:val="22"/>
          <w:szCs w:val="22"/>
        </w:rPr>
        <w:t>Общая сумма Спецификации № 1 составляет ___________ без учета НДС, при этом НДС исчисляется дополнительно по ставке, установленной ст. 164 Налогового кодекса РФ.</w:t>
      </w:r>
    </w:p>
    <w:p>
      <w:pPr>
        <w:pStyle w:val="Normal"/>
        <w:ind w:firstLine="567"/>
        <w:jc w:val="both"/>
        <w:rPr>
          <w:sz w:val="22"/>
          <w:szCs w:val="22"/>
        </w:rPr>
      </w:pPr>
      <w:r>
        <w:rPr>
          <w:bCs/>
          <w:sz w:val="22"/>
          <w:szCs w:val="22"/>
        </w:rPr>
        <w:t xml:space="preserve">Страна производитель Продукции по ОКПД: </w:t>
      </w:r>
      <w:r>
        <w:rPr>
          <w:bCs/>
          <w:sz w:val="22"/>
          <w:szCs w:val="22"/>
          <w:lang w:val="en-US"/>
        </w:rPr>
        <w:t>RU</w:t>
      </w:r>
      <w:r>
        <w:rPr>
          <w:bCs/>
          <w:sz w:val="22"/>
          <w:szCs w:val="22"/>
        </w:rPr>
        <w:t xml:space="preserve">, </w:t>
      </w:r>
      <w:r>
        <w:rPr>
          <w:bCs/>
          <w:sz w:val="22"/>
          <w:szCs w:val="22"/>
          <w:lang w:val="en-US"/>
        </w:rPr>
        <w:t>RUS</w:t>
      </w:r>
      <w:r>
        <w:rPr>
          <w:bCs/>
          <w:sz w:val="22"/>
          <w:szCs w:val="22"/>
        </w:rPr>
        <w:t>, 643.</w:t>
      </w:r>
    </w:p>
    <w:p>
      <w:pPr>
        <w:pStyle w:val="Normal"/>
        <w:rPr>
          <w:sz w:val="22"/>
          <w:szCs w:val="22"/>
        </w:rPr>
      </w:pPr>
      <w:r>
        <w:rPr>
          <w:sz w:val="22"/>
          <w:szCs w:val="22"/>
        </w:rPr>
      </w:r>
    </w:p>
    <w:tbl>
      <w:tblPr>
        <w:tblpPr w:vertAnchor="text" w:horzAnchor="margin" w:leftFromText="180" w:rightFromText="180" w:tblpX="0" w:tblpY="225"/>
        <w:tblW w:w="9856"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5069"/>
        <w:gridCol w:w="4786"/>
      </w:tblGrid>
      <w:tr>
        <w:trPr/>
        <w:tc>
          <w:tcPr>
            <w:tcW w:w="5069" w:type="dxa"/>
            <w:tcBorders/>
            <w:shd w:color="auto" w:fill="FFFFFF" w:themeFill="background1" w:val="clear"/>
          </w:tcPr>
          <w:p>
            <w:pPr>
              <w:pStyle w:val="Normal"/>
              <w:widowControl w:val="false"/>
              <w:rPr>
                <w:b/>
                <w:sz w:val="22"/>
                <w:szCs w:val="22"/>
                <w:u w:val="single"/>
              </w:rPr>
            </w:pPr>
            <w:r>
              <w:rPr>
                <w:b/>
                <w:sz w:val="22"/>
                <w:szCs w:val="22"/>
                <w:u w:val="single"/>
              </w:rPr>
              <w:t>Покупатель:</w:t>
            </w:r>
          </w:p>
          <w:p>
            <w:pPr>
              <w:pStyle w:val="Normal"/>
              <w:widowControl w:val="false"/>
              <w:rPr>
                <w:sz w:val="22"/>
                <w:szCs w:val="22"/>
              </w:rPr>
            </w:pPr>
            <w:r>
              <w:rPr>
                <w:sz w:val="22"/>
                <w:szCs w:val="22"/>
              </w:rPr>
            </w:r>
          </w:p>
        </w:tc>
        <w:tc>
          <w:tcPr>
            <w:tcW w:w="4786" w:type="dxa"/>
            <w:tcBorders/>
            <w:shd w:color="auto" w:fill="FFFFFF" w:themeFill="background1" w:val="clear"/>
          </w:tcPr>
          <w:p>
            <w:pPr>
              <w:pStyle w:val="Normal"/>
              <w:widowControl w:val="false"/>
              <w:rPr>
                <w:b/>
                <w:sz w:val="22"/>
                <w:szCs w:val="22"/>
                <w:u w:val="single"/>
              </w:rPr>
            </w:pPr>
            <w:r>
              <w:rPr>
                <w:b/>
                <w:sz w:val="22"/>
                <w:szCs w:val="22"/>
                <w:u w:val="single"/>
              </w:rPr>
              <w:t>Поставщик:</w:t>
            </w:r>
          </w:p>
          <w:p>
            <w:pPr>
              <w:pStyle w:val="Normal"/>
              <w:widowControl w:val="false"/>
              <w:rPr>
                <w:sz w:val="22"/>
                <w:szCs w:val="22"/>
              </w:rPr>
            </w:pPr>
            <w:r>
              <w:rPr>
                <w:sz w:val="22"/>
                <w:szCs w:val="22"/>
              </w:rPr>
            </w:r>
          </w:p>
          <w:p>
            <w:pPr>
              <w:pStyle w:val="Normal"/>
              <w:widowControl w:val="false"/>
              <w:rPr>
                <w:sz w:val="22"/>
                <w:szCs w:val="22"/>
                <w:u w:val="single"/>
              </w:rPr>
            </w:pPr>
            <w:r>
              <w:rPr>
                <w:sz w:val="22"/>
                <w:szCs w:val="22"/>
                <w:u w:val="single"/>
              </w:rPr>
            </w:r>
          </w:p>
        </w:tc>
      </w:tr>
    </w:tbl>
    <w:p>
      <w:pPr>
        <w:pStyle w:val="Normal"/>
        <w:numPr>
          <w:ilvl w:val="0"/>
          <w:numId w:val="0"/>
        </w:numPr>
        <w:jc w:val="center"/>
        <w:outlineLvl w:val="0"/>
        <w:rPr>
          <w:b/>
          <w:sz w:val="22"/>
          <w:szCs w:val="22"/>
        </w:rPr>
      </w:pPr>
      <w:r>
        <w:rPr>
          <w:b/>
          <w:sz w:val="22"/>
          <w:szCs w:val="22"/>
        </w:rPr>
      </w:r>
      <w:bookmarkStart w:id="4" w:name="_GoBack"/>
      <w:bookmarkStart w:id="5" w:name="_GoBack"/>
      <w:bookmarkEnd w:id="5"/>
    </w:p>
    <w:sectPr>
      <w:headerReference w:type="default" r:id="rId6"/>
      <w:footerReference w:type="even" r:id="rId7"/>
      <w:footerReference w:type="default" r:id="rId8"/>
      <w:footerReference w:type="first" r:id="rId9"/>
      <w:type w:val="nextPage"/>
      <w:pgSz w:w="11906" w:h="16838"/>
      <w:pgMar w:left="1134" w:right="707" w:gutter="0" w:header="720" w:top="777" w:footer="720" w:bottom="1134"/>
      <w:pgNumType w:fmt="decimal"/>
      <w:formProt w:val="false"/>
      <w:textDirection w:val="lrTb"/>
      <w:docGrid w:type="default" w:linePitch="100" w:charSpace="1638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Tahoma">
    <w:charset w:val="01"/>
    <w:family w:val="roman"/>
    <w:pitch w:val="variable"/>
  </w:font>
  <w:font w:name="PT Sans">
    <w:charset w:val="01"/>
    <w:family w:val="swiss"/>
    <w:pitch w:val="variable"/>
  </w:font>
  <w:font w:name="Courier New">
    <w:charset w:val="01"/>
    <w:family w:val="roman"/>
    <w:pitch w:val="variable"/>
  </w:font>
  <w:font w:name="Verdana">
    <w:charset w:val="01"/>
    <w:family w:val="roman"/>
    <w:pitch w:val="variable"/>
  </w:font>
  <w:font w:name="Arial">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 w:name="Tahoma">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rPr/>
    </w:pPr>
    <w:r>
      <w:rPr/>
      <mc:AlternateContent>
        <mc:Choice Requires="wps">
          <w:drawing>
            <wp:anchor behindDoc="0" distT="0" distB="0" distL="0" distR="0" simplePos="0" locked="0" layoutInCell="0" allowOverlap="1" relativeHeight="2">
              <wp:simplePos x="0" y="0"/>
              <wp:positionH relativeFrom="margin">
                <wp:align>right</wp:align>
              </wp:positionH>
              <wp:positionV relativeFrom="paragraph">
                <wp:posOffset>635</wp:posOffset>
              </wp:positionV>
              <wp:extent cx="14605" cy="14605"/>
              <wp:effectExtent l="0" t="0" r="0" b="0"/>
              <wp:wrapSquare wrapText="bothSides"/>
              <wp:docPr id="1" name="Врезка1"/>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rIns="0" tIns="0" bIns="0" anchor="t">
                      <a:spAutoFit/>
                    </wps:bodyPr>
                  </wps:wsp>
                </a:graphicData>
              </a:graphic>
            </wp:anchor>
          </w:drawing>
        </mc:Choice>
        <mc:Fallback>
          <w:pict>
            <v:rect id="shape_0" ID="Врезка1" path="m0,0l-2147483645,0l-2147483645,-2147483646l0,-2147483646xe" stroked="f" o:allowincell="f" style="position:absolute;margin-left:0pt;margin-top:0.05pt;width:1.1pt;height:1.1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rPr/>
    </w:pPr>
    <w:r>
      <w:rPr/>
      <mc:AlternateContent>
        <mc:Choice Requires="wps">
          <w:drawing>
            <wp:anchor behindDoc="0" distT="0" distB="0" distL="0" distR="0" simplePos="0" locked="0" layoutInCell="0" allowOverlap="1" relativeHeight="27">
              <wp:simplePos x="0" y="0"/>
              <wp:positionH relativeFrom="margin">
                <wp:align>right</wp:align>
              </wp:positionH>
              <wp:positionV relativeFrom="paragraph">
                <wp:posOffset>635</wp:posOffset>
              </wp:positionV>
              <wp:extent cx="127635" cy="145415"/>
              <wp:effectExtent l="0" t="0" r="0" b="0"/>
              <wp:wrapSquare wrapText="bothSides"/>
              <wp:docPr id="3" name="Врезка2"/>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13</w:t>
                          </w:r>
                          <w:r>
                            <w:rPr>
                              <w:rStyle w:val="Pagenumber"/>
                              <w:color w:val="000000"/>
                            </w:rPr>
                            <w:fldChar w:fldCharType="end"/>
                          </w:r>
                        </w:p>
                      </w:txbxContent>
                    </wps:txbx>
                    <wps:bodyPr lIns="0" rIns="0" tIns="0" bIns="0" anchor="t">
                      <a:spAutoFit/>
                    </wps:bodyPr>
                  </wps:wsp>
                </a:graphicData>
              </a:graphic>
            </wp:anchor>
          </w:drawing>
        </mc:Choice>
        <mc:Fallback>
          <w:pict>
            <v:rect id="shape_0" ID="Врезка2" path="m0,0l-2147483645,0l-2147483645,-2147483646l0,-2147483646xe" stroked="f" o:allowincell="f" style="position:absolute;margin-left:493.1pt;margin-top:0.05pt;width:10pt;height:11.4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13</w:t>
                    </w:r>
                    <w:r>
                      <w:rPr>
                        <w:rStyle w:val="Pagenumber"/>
                        <w:color w:val="000000"/>
                      </w:rPr>
                      <w:fldChar w:fldCharType="end"/>
                    </w:r>
                  </w:p>
                </w:txbxContent>
              </v:textbox>
              <w10:wrap type="squar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rPr/>
    </w:pPr>
    <w:r>
      <w:rPr/>
      <mc:AlternateContent>
        <mc:Choice Requires="wps">
          <w:drawing>
            <wp:anchor behindDoc="0" distT="0" distB="0" distL="0" distR="0" simplePos="0" locked="0" layoutInCell="0" allowOverlap="1" relativeHeight="27">
              <wp:simplePos x="0" y="0"/>
              <wp:positionH relativeFrom="margin">
                <wp:align>right</wp:align>
              </wp:positionH>
              <wp:positionV relativeFrom="paragraph">
                <wp:posOffset>635</wp:posOffset>
              </wp:positionV>
              <wp:extent cx="127635" cy="145415"/>
              <wp:effectExtent l="0" t="0" r="0" b="0"/>
              <wp:wrapSquare wrapText="bothSides"/>
              <wp:docPr id="5" name="Врезка2"/>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13</w:t>
                          </w:r>
                          <w:r>
                            <w:rPr>
                              <w:rStyle w:val="Pagenumber"/>
                              <w:color w:val="000000"/>
                            </w:rPr>
                            <w:fldChar w:fldCharType="end"/>
                          </w:r>
                        </w:p>
                      </w:txbxContent>
                    </wps:txbx>
                    <wps:bodyPr lIns="0" rIns="0" tIns="0" bIns="0" anchor="t">
                      <a:spAutoFit/>
                    </wps:bodyPr>
                  </wps:wsp>
                </a:graphicData>
              </a:graphic>
            </wp:anchor>
          </w:drawing>
        </mc:Choice>
        <mc:Fallback>
          <w:pict>
            <v:rect id="shape_0" ID="Врезка2" path="m0,0l-2147483645,0l-2147483645,-2147483646l0,-2147483646xe" stroked="f" o:allowincell="f" style="position:absolute;margin-left:493.1pt;margin-top:0.05pt;width:10pt;height:11.4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13</w:t>
                    </w:r>
                    <w:r>
                      <w:rPr>
                        <w:rStyle w:val="Pagenumber"/>
                        <w:color w:val="000000"/>
                      </w:rPr>
                      <w:fldChar w:fldCharType="end"/>
                    </w:r>
                  </w:p>
                </w:txbxContent>
              </v:textbox>
              <w10:wrap type="square"/>
            </v:rect>
          </w:pict>
        </mc:Fallback>
      </mc:AlternateConten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2"/>
      <w:numFmt w:val="decimal"/>
      <w:lvlText w:val="%1"/>
      <w:lvlJc w:val="left"/>
      <w:pPr>
        <w:tabs>
          <w:tab w:val="num" w:pos="360"/>
        </w:tabs>
        <w:ind w:left="360" w:hanging="360"/>
      </w:pPr>
      <w:rPr/>
    </w:lvl>
    <w:lvl w:ilvl="1">
      <w:start w:val="2"/>
      <w:numFmt w:val="decimal"/>
      <w:lvlText w:val="%1.%2"/>
      <w:lvlJc w:val="left"/>
      <w:pPr>
        <w:tabs>
          <w:tab w:val="num" w:pos="360"/>
        </w:tabs>
        <w:ind w:left="360" w:hanging="360"/>
      </w:pPr>
      <w:rPr/>
    </w:lvl>
    <w:lvl w:ilvl="2">
      <w:start w:val="1"/>
      <w:numFmt w:val="decimal"/>
      <w:lvlText w:val="%1.%2.%3"/>
      <w:lvlJc w:val="left"/>
      <w:pPr>
        <w:tabs>
          <w:tab w:val="num" w:pos="720"/>
        </w:tabs>
        <w:ind w:left="720" w:hanging="720"/>
      </w:pPr>
      <w:rPr/>
    </w:lvl>
    <w:lvl w:ilvl="3">
      <w:start w:val="1"/>
      <w:numFmt w:val="decimal"/>
      <w:lvlText w:val="%1.%2.%3.%4"/>
      <w:lvlJc w:val="left"/>
      <w:pPr>
        <w:tabs>
          <w:tab w:val="num" w:pos="720"/>
        </w:tabs>
        <w:ind w:left="720" w:hanging="720"/>
      </w:pPr>
      <w:rPr/>
    </w:lvl>
    <w:lvl w:ilvl="4">
      <w:start w:val="1"/>
      <w:numFmt w:val="decimal"/>
      <w:lvlText w:val="%1.%2.%3.%4.%5"/>
      <w:lvlJc w:val="left"/>
      <w:pPr>
        <w:tabs>
          <w:tab w:val="num" w:pos="720"/>
        </w:tabs>
        <w:ind w:left="720" w:hanging="720"/>
      </w:pPr>
      <w:rPr/>
    </w:lvl>
    <w:lvl w:ilvl="5">
      <w:start w:val="1"/>
      <w:numFmt w:val="decimal"/>
      <w:lvlText w:val="%1.%2.%3.%4.%5.%6"/>
      <w:lvlJc w:val="left"/>
      <w:pPr>
        <w:tabs>
          <w:tab w:val="num" w:pos="1080"/>
        </w:tabs>
        <w:ind w:left="1080" w:hanging="1080"/>
      </w:pPr>
      <w:rPr/>
    </w:lvl>
    <w:lvl w:ilvl="6">
      <w:start w:val="1"/>
      <w:numFmt w:val="decimal"/>
      <w:lvlText w:val="%1.%2.%3.%4.%5.%6.%7"/>
      <w:lvlJc w:val="left"/>
      <w:pPr>
        <w:tabs>
          <w:tab w:val="num" w:pos="1080"/>
        </w:tabs>
        <w:ind w:left="1080" w:hanging="1080"/>
      </w:pPr>
      <w:rPr/>
    </w:lvl>
    <w:lvl w:ilvl="7">
      <w:start w:val="1"/>
      <w:numFmt w:val="decimal"/>
      <w:lvlText w:val="%1.%2.%3.%4.%5.%6.%7.%8"/>
      <w:lvlJc w:val="left"/>
      <w:pPr>
        <w:tabs>
          <w:tab w:val="num" w:pos="1440"/>
        </w:tabs>
        <w:ind w:left="1440" w:hanging="1440"/>
      </w:pPr>
      <w:rPr/>
    </w:lvl>
    <w:lvl w:ilvl="8">
      <w:start w:val="1"/>
      <w:numFmt w:val="decimal"/>
      <w:lvlText w:val="%1.%2.%3.%4.%5.%6.%7.%8.%9"/>
      <w:lvlJc w:val="left"/>
      <w:pPr>
        <w:tabs>
          <w:tab w:val="num" w:pos="1440"/>
        </w:tabs>
        <w:ind w:left="1440" w:hanging="1440"/>
      </w:pPr>
      <w:rPr/>
    </w:lvl>
  </w:abstractNum>
  <w:abstractNum w:abstractNumId="2">
    <w:lvl w:ilvl="0">
      <w:start w:val="2"/>
      <w:numFmt w:val="decimal"/>
      <w:lvlText w:val="%1"/>
      <w:lvlJc w:val="left"/>
      <w:pPr>
        <w:tabs>
          <w:tab w:val="num" w:pos="720"/>
        </w:tabs>
        <w:ind w:left="284" w:firstLine="76"/>
      </w:pPr>
      <w:rPr/>
    </w:lvl>
    <w:lvl w:ilvl="1">
      <w:start w:val="1"/>
      <w:numFmt w:val="decimal"/>
      <w:lvlText w:val="%2."/>
      <w:lvlJc w:val="left"/>
      <w:pPr>
        <w:tabs>
          <w:tab w:val="num" w:pos="1440"/>
        </w:tabs>
        <w:ind w:left="1440" w:hanging="360"/>
      </w:pPr>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abstractNum w:abstractNumId="3">
    <w:lvl w:ilvl="0">
      <w:start w:val="3"/>
      <w:numFmt w:val="decimal"/>
      <w:lvlText w:val="%1."/>
      <w:lvlJc w:val="left"/>
      <w:pPr>
        <w:tabs>
          <w:tab w:val="num" w:pos="360"/>
        </w:tabs>
        <w:ind w:left="360" w:hanging="360"/>
      </w:pPr>
      <w:rPr/>
    </w:lvl>
    <w:lvl w:ilvl="1">
      <w:start w:val="1"/>
      <w:numFmt w:val="decimal"/>
      <w:lvlText w:val="%1.%2."/>
      <w:lvlJc w:val="left"/>
      <w:pPr>
        <w:tabs>
          <w:tab w:val="num" w:pos="1636"/>
        </w:tabs>
        <w:ind w:left="1636" w:hanging="360"/>
      </w:pPr>
      <w:rPr/>
    </w:lvl>
    <w:lvl w:ilvl="2">
      <w:start w:val="1"/>
      <w:numFmt w:val="decimal"/>
      <w:lvlText w:val="%1.%2.%3."/>
      <w:lvlJc w:val="left"/>
      <w:pPr>
        <w:tabs>
          <w:tab w:val="num" w:pos="2160"/>
        </w:tabs>
        <w:ind w:left="2160" w:hanging="720"/>
      </w:pPr>
      <w:rPr/>
    </w:lvl>
    <w:lvl w:ilvl="3">
      <w:start w:val="1"/>
      <w:numFmt w:val="decimal"/>
      <w:lvlText w:val="%1.%2.%3.%4."/>
      <w:lvlJc w:val="left"/>
      <w:pPr>
        <w:tabs>
          <w:tab w:val="num" w:pos="2880"/>
        </w:tabs>
        <w:ind w:left="2880" w:hanging="720"/>
      </w:pPr>
      <w:rPr/>
    </w:lvl>
    <w:lvl w:ilvl="4">
      <w:start w:val="1"/>
      <w:numFmt w:val="decimal"/>
      <w:lvlText w:val="%1.%2.%3.%4.%5."/>
      <w:lvlJc w:val="left"/>
      <w:pPr>
        <w:tabs>
          <w:tab w:val="num" w:pos="3960"/>
        </w:tabs>
        <w:ind w:left="3960" w:hanging="1080"/>
      </w:pPr>
      <w:rPr/>
    </w:lvl>
    <w:lvl w:ilvl="5">
      <w:start w:val="1"/>
      <w:numFmt w:val="decimal"/>
      <w:lvlText w:val="%1.%2.%3.%4.%5.%6."/>
      <w:lvlJc w:val="left"/>
      <w:pPr>
        <w:tabs>
          <w:tab w:val="num" w:pos="4680"/>
        </w:tabs>
        <w:ind w:left="4680" w:hanging="1080"/>
      </w:pPr>
      <w:rPr/>
    </w:lvl>
    <w:lvl w:ilvl="6">
      <w:start w:val="1"/>
      <w:numFmt w:val="decimal"/>
      <w:lvlText w:val="%1.%2.%3.%4.%5.%6.%7."/>
      <w:lvlJc w:val="left"/>
      <w:pPr>
        <w:tabs>
          <w:tab w:val="num" w:pos="5760"/>
        </w:tabs>
        <w:ind w:left="5760" w:hanging="1440"/>
      </w:pPr>
      <w:rPr/>
    </w:lvl>
    <w:lvl w:ilvl="7">
      <w:start w:val="1"/>
      <w:numFmt w:val="decimal"/>
      <w:lvlText w:val="%1.%2.%3.%4.%5.%6.%7.%8."/>
      <w:lvlJc w:val="left"/>
      <w:pPr>
        <w:tabs>
          <w:tab w:val="num" w:pos="6480"/>
        </w:tabs>
        <w:ind w:left="6480" w:hanging="1440"/>
      </w:pPr>
      <w:rPr/>
    </w:lvl>
    <w:lvl w:ilvl="8">
      <w:start w:val="1"/>
      <w:numFmt w:val="decimal"/>
      <w:lvlText w:val="%1.%2.%3.%4.%5.%6.%7.%8.%9."/>
      <w:lvlJc w:val="left"/>
      <w:pPr>
        <w:tabs>
          <w:tab w:val="num" w:pos="7560"/>
        </w:tabs>
        <w:ind w:left="7560" w:hanging="1800"/>
      </w:pPr>
      <w:rPr/>
    </w:lvl>
  </w:abstractNum>
  <w:abstractNum w:abstractNumId="4">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
    <w:lvl w:ilvl="0">
      <w:start w:val="1"/>
      <w:numFmt w:val="decimal"/>
      <w:lvlText w:val="%1."/>
      <w:lvlJc w:val="left"/>
      <w:pPr>
        <w:tabs>
          <w:tab w:val="num" w:pos="5321"/>
        </w:tabs>
        <w:ind w:left="5321" w:hanging="360"/>
      </w:pPr>
      <w:rPr/>
    </w:lvl>
    <w:lvl w:ilvl="1">
      <w:start w:val="1"/>
      <w:numFmt w:val="decimal"/>
      <w:lvlText w:val="%1.%2."/>
      <w:lvlJc w:val="left"/>
      <w:pPr>
        <w:tabs>
          <w:tab w:val="num" w:pos="1425"/>
        </w:tabs>
        <w:ind w:left="1425" w:hanging="432"/>
      </w:pPr>
      <w:rPr>
        <w:sz w:val="22"/>
        <w:szCs w:val="22"/>
      </w:rPr>
    </w:lvl>
    <w:lvl w:ilvl="2">
      <w:start w:val="1"/>
      <w:numFmt w:val="decimal"/>
      <w:lvlText w:val="%1.%2.%3."/>
      <w:lvlJc w:val="left"/>
      <w:pPr>
        <w:tabs>
          <w:tab w:val="num" w:pos="1440"/>
        </w:tabs>
        <w:ind w:left="122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6">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7">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8">
    <w:lvl w:ilvl="0">
      <w:start w:val="1"/>
      <w:numFmt w:val="bullet"/>
      <w:lvlText w:val="-"/>
      <w:lvlJc w:val="left"/>
      <w:pPr>
        <w:tabs>
          <w:tab w:val="num" w:pos="0"/>
        </w:tabs>
        <w:ind w:left="1069" w:hanging="360"/>
      </w:pPr>
      <w:rPr>
        <w:rFonts w:ascii="Tahoma" w:hAnsi="Tahoma" w:cs="Tahoma" w:hint="default"/>
      </w:rPr>
    </w:lvl>
    <w:lvl w:ilvl="1">
      <w:start w:val="1"/>
      <w:numFmt w:val="bullet"/>
      <w:lvlText w:val="o"/>
      <w:lvlJc w:val="left"/>
      <w:pPr>
        <w:tabs>
          <w:tab w:val="num" w:pos="0"/>
        </w:tabs>
        <w:ind w:left="1789" w:hanging="360"/>
      </w:pPr>
      <w:rPr>
        <w:rFonts w:ascii="Courier New" w:hAnsi="Courier New" w:cs="Courier New" w:hint="default"/>
      </w:rPr>
    </w:lvl>
    <w:lvl w:ilvl="2">
      <w:start w:val="1"/>
      <w:numFmt w:val="bullet"/>
      <w:lvlText w:val=""/>
      <w:lvlJc w:val="left"/>
      <w:pPr>
        <w:tabs>
          <w:tab w:val="num" w:pos="0"/>
        </w:tabs>
        <w:ind w:left="2509" w:hanging="360"/>
      </w:pPr>
      <w:rPr>
        <w:rFonts w:ascii="Wingdings" w:hAnsi="Wingdings" w:cs="Wingdings" w:hint="default"/>
      </w:rPr>
    </w:lvl>
    <w:lvl w:ilvl="3">
      <w:start w:val="1"/>
      <w:numFmt w:val="bullet"/>
      <w:lvlText w:val=""/>
      <w:lvlJc w:val="left"/>
      <w:pPr>
        <w:tabs>
          <w:tab w:val="num" w:pos="0"/>
        </w:tabs>
        <w:ind w:left="3229" w:hanging="360"/>
      </w:pPr>
      <w:rPr>
        <w:rFonts w:ascii="Symbol" w:hAnsi="Symbol" w:cs="Symbol" w:hint="default"/>
      </w:rPr>
    </w:lvl>
    <w:lvl w:ilvl="4">
      <w:start w:val="1"/>
      <w:numFmt w:val="bullet"/>
      <w:lvlText w:val="o"/>
      <w:lvlJc w:val="left"/>
      <w:pPr>
        <w:tabs>
          <w:tab w:val="num" w:pos="0"/>
        </w:tabs>
        <w:ind w:left="3949" w:hanging="360"/>
      </w:pPr>
      <w:rPr>
        <w:rFonts w:ascii="Courier New" w:hAnsi="Courier New" w:cs="Courier New" w:hint="default"/>
      </w:rPr>
    </w:lvl>
    <w:lvl w:ilvl="5">
      <w:start w:val="1"/>
      <w:numFmt w:val="bullet"/>
      <w:lvlText w:val=""/>
      <w:lvlJc w:val="left"/>
      <w:pPr>
        <w:tabs>
          <w:tab w:val="num" w:pos="0"/>
        </w:tabs>
        <w:ind w:left="4669" w:hanging="360"/>
      </w:pPr>
      <w:rPr>
        <w:rFonts w:ascii="Wingdings" w:hAnsi="Wingdings" w:cs="Wingdings" w:hint="default"/>
      </w:rPr>
    </w:lvl>
    <w:lvl w:ilvl="6">
      <w:start w:val="1"/>
      <w:numFmt w:val="bullet"/>
      <w:lvlText w:val=""/>
      <w:lvlJc w:val="left"/>
      <w:pPr>
        <w:tabs>
          <w:tab w:val="num" w:pos="0"/>
        </w:tabs>
        <w:ind w:left="5389" w:hanging="360"/>
      </w:pPr>
      <w:rPr>
        <w:rFonts w:ascii="Symbol" w:hAnsi="Symbol" w:cs="Symbol" w:hint="default"/>
      </w:rPr>
    </w:lvl>
    <w:lvl w:ilvl="7">
      <w:start w:val="1"/>
      <w:numFmt w:val="bullet"/>
      <w:lvlText w:val="o"/>
      <w:lvlJc w:val="left"/>
      <w:pPr>
        <w:tabs>
          <w:tab w:val="num" w:pos="0"/>
        </w:tabs>
        <w:ind w:left="6109" w:hanging="360"/>
      </w:pPr>
      <w:rPr>
        <w:rFonts w:ascii="Courier New" w:hAnsi="Courier New" w:cs="Courier New" w:hint="default"/>
      </w:rPr>
    </w:lvl>
    <w:lvl w:ilvl="8">
      <w:start w:val="1"/>
      <w:numFmt w:val="bullet"/>
      <w:lvlText w:val=""/>
      <w:lvlJc w:val="left"/>
      <w:pPr>
        <w:tabs>
          <w:tab w:val="num" w:pos="0"/>
        </w:tabs>
        <w:ind w:left="6829" w:hanging="360"/>
      </w:pPr>
      <w:rPr>
        <w:rFonts w:ascii="Wingdings" w:hAnsi="Wingdings" w:cs="Wingdings" w:hint="default"/>
      </w:rPr>
    </w:lvl>
  </w:abstractNum>
  <w:abstractNum w:abstractNumId="9">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1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4">
    <w:lvl w:ilvl="0">
      <w:start w:val="2"/>
      <w:numFmt w:val="decimal"/>
      <w:lvlText w:val="%1."/>
      <w:lvlJc w:val="left"/>
      <w:pPr>
        <w:tabs>
          <w:tab w:val="num" w:pos="5321"/>
        </w:tabs>
        <w:ind w:left="5321" w:hanging="360"/>
      </w:pPr>
      <w:rPr/>
    </w:lvl>
    <w:lvl w:ilvl="1">
      <w:start w:val="7"/>
      <w:numFmt w:val="decimal"/>
      <w:lvlText w:val="%1.%2."/>
      <w:lvlJc w:val="left"/>
      <w:pPr>
        <w:tabs>
          <w:tab w:val="num" w:pos="1425"/>
        </w:tabs>
        <w:ind w:left="1425" w:hanging="432"/>
      </w:pPr>
      <w:rPr>
        <w:sz w:val="22"/>
        <w:szCs w:val="22"/>
      </w:rPr>
    </w:lvl>
    <w:lvl w:ilvl="2">
      <w:start w:val="1"/>
      <w:numFmt w:val="decimal"/>
      <w:lvlText w:val="%1.%2.%3."/>
      <w:lvlJc w:val="left"/>
      <w:pPr>
        <w:tabs>
          <w:tab w:val="num" w:pos="1440"/>
        </w:tabs>
        <w:ind w:left="122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5">
    <w:lvl w:ilvl="0">
      <w:start w:val="4"/>
      <w:numFmt w:val="decimal"/>
      <w:lvlText w:val="%1."/>
      <w:lvlJc w:val="left"/>
      <w:pPr>
        <w:tabs>
          <w:tab w:val="num" w:pos="5321"/>
        </w:tabs>
        <w:ind w:left="5321" w:hanging="360"/>
      </w:pPr>
      <w:rPr/>
    </w:lvl>
    <w:lvl w:ilvl="1">
      <w:start w:val="1"/>
      <w:numFmt w:val="decimal"/>
      <w:lvlText w:val="%1.%2."/>
      <w:lvlJc w:val="left"/>
      <w:pPr>
        <w:tabs>
          <w:tab w:val="num" w:pos="1425"/>
        </w:tabs>
        <w:ind w:left="1425" w:hanging="432"/>
      </w:pPr>
      <w:rPr>
        <w:sz w:val="22"/>
        <w:szCs w:val="22"/>
      </w:rPr>
    </w:lvl>
    <w:lvl w:ilvl="2">
      <w:start w:val="1"/>
      <w:numFmt w:val="decimal"/>
      <w:lvlText w:val="%1.%2.%3."/>
      <w:lvlJc w:val="left"/>
      <w:pPr>
        <w:tabs>
          <w:tab w:val="num" w:pos="1440"/>
        </w:tabs>
        <w:ind w:left="122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6">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w="http://schemas.openxmlformats.org/wordprocessingml/2006/main">
  <w:zoom w:percent="100"/>
  <w:embedSystemFonts/>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docVars>
    <w:docVar w:name="OUR_BANK_SNAME_R" w:val="Банка ГПБ (АО)"/>
  </w:docVars>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e42745"/>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qFormat/>
    <w:rsid w:val="00e42745"/>
    <w:pPr>
      <w:keepNext w:val="true"/>
      <w:outlineLvl w:val="0"/>
    </w:pPr>
    <w:rPr>
      <w:b/>
    </w:rPr>
  </w:style>
  <w:style w:type="paragraph" w:styleId="Heading2">
    <w:name w:val="Heading 2"/>
    <w:basedOn w:val="Normal"/>
    <w:next w:val="Normal"/>
    <w:qFormat/>
    <w:rsid w:val="00e42745"/>
    <w:pPr>
      <w:keepNext w:val="true"/>
      <w:jc w:val="both"/>
      <w:outlineLvl w:val="1"/>
    </w:pPr>
    <w:rPr>
      <w:b/>
    </w:rPr>
  </w:style>
  <w:style w:type="paragraph" w:styleId="Heading3">
    <w:name w:val="Heading 3"/>
    <w:basedOn w:val="Normal"/>
    <w:next w:val="Normal"/>
    <w:link w:val="31"/>
    <w:qFormat/>
    <w:rsid w:val="00e42745"/>
    <w:pPr>
      <w:keepNext w:val="true"/>
      <w:tabs>
        <w:tab w:val="clear" w:pos="720"/>
        <w:tab w:val="left" w:pos="0" w:leader="none"/>
      </w:tabs>
      <w:jc w:val="center"/>
      <w:outlineLvl w:val="2"/>
    </w:pPr>
    <w:rPr>
      <w:b/>
    </w:rPr>
  </w:style>
  <w:style w:type="paragraph" w:styleId="Heading4">
    <w:name w:val="Heading 4"/>
    <w:basedOn w:val="Normal"/>
    <w:next w:val="Normal"/>
    <w:qFormat/>
    <w:rsid w:val="00e42745"/>
    <w:pPr>
      <w:keepNext w:val="true"/>
      <w:numPr>
        <w:ilvl w:val="0"/>
        <w:numId w:val="1"/>
      </w:numPr>
      <w:ind w:hanging="0" w:left="3119"/>
      <w:outlineLvl w:val="3"/>
    </w:pPr>
    <w:rPr>
      <w:b/>
    </w:rPr>
  </w:style>
  <w:style w:type="paragraph" w:styleId="Heading5">
    <w:name w:val="Heading 5"/>
    <w:basedOn w:val="Normal"/>
    <w:next w:val="Normal"/>
    <w:qFormat/>
    <w:rsid w:val="00e42745"/>
    <w:pPr>
      <w:keepNext w:val="true"/>
      <w:numPr>
        <w:ilvl w:val="0"/>
        <w:numId w:val="2"/>
      </w:numPr>
      <w:jc w:val="center"/>
      <w:outlineLvl w:val="4"/>
    </w:pPr>
    <w:rPr>
      <w:b/>
    </w:rPr>
  </w:style>
  <w:style w:type="paragraph" w:styleId="Heading6">
    <w:name w:val="Heading 6"/>
    <w:basedOn w:val="Normal"/>
    <w:next w:val="Normal"/>
    <w:qFormat/>
    <w:rsid w:val="00e42745"/>
    <w:pPr>
      <w:keepNext w:val="true"/>
      <w:jc w:val="center"/>
      <w:outlineLvl w:val="5"/>
    </w:pPr>
    <w:rPr>
      <w:sz w:val="28"/>
    </w:rPr>
  </w:style>
  <w:style w:type="paragraph" w:styleId="Heading7">
    <w:name w:val="Heading 7"/>
    <w:basedOn w:val="Normal"/>
    <w:next w:val="Normal"/>
    <w:qFormat/>
    <w:rsid w:val="00e42745"/>
    <w:pPr>
      <w:keepNext w:val="true"/>
      <w:jc w:val="center"/>
      <w:outlineLvl w:val="6"/>
    </w:pPr>
    <w:rPr>
      <w:bCs/>
      <w:sz w:val="24"/>
    </w:rPr>
  </w:style>
  <w:style w:type="paragraph" w:styleId="Heading8">
    <w:name w:val="Heading 8"/>
    <w:basedOn w:val="Normal"/>
    <w:next w:val="Normal"/>
    <w:qFormat/>
    <w:rsid w:val="00e42745"/>
    <w:pPr>
      <w:keepNext w:val="true"/>
      <w:jc w:val="center"/>
      <w:outlineLvl w:val="7"/>
    </w:pPr>
    <w:rPr>
      <w:b/>
      <w:bCs/>
      <w:sz w:val="24"/>
    </w:rPr>
  </w:style>
  <w:style w:type="character" w:styleId="DefaultParagraphFont" w:default="1">
    <w:name w:val="Default Paragraph Font"/>
    <w:uiPriority w:val="1"/>
    <w:semiHidden/>
    <w:unhideWhenUsed/>
    <w:qFormat/>
    <w:rPr/>
  </w:style>
  <w:style w:type="character" w:styleId="Pagenumber">
    <w:name w:val="page number"/>
    <w:basedOn w:val="DefaultParagraphFont"/>
    <w:qFormat/>
    <w:rsid w:val="00e42745"/>
    <w:rPr/>
  </w:style>
  <w:style w:type="character" w:styleId="Style1" w:customStyle="1">
    <w:name w:val="Заголовок Знак"/>
    <w:qFormat/>
    <w:rsid w:val="00ba4a00"/>
    <w:rPr>
      <w:b/>
      <w:bCs/>
      <w:sz w:val="28"/>
      <w:szCs w:val="24"/>
    </w:rPr>
  </w:style>
  <w:style w:type="character" w:styleId="2" w:customStyle="1">
    <w:name w:val="Основной текст с отступом 2 Знак"/>
    <w:link w:val="BodyTextIndent2"/>
    <w:qFormat/>
    <w:rsid w:val="0066561f"/>
    <w:rPr>
      <w:sz w:val="24"/>
    </w:rPr>
  </w:style>
  <w:style w:type="character" w:styleId="Style2" w:customStyle="1">
    <w:name w:val="Текст выноски Знак"/>
    <w:link w:val="BalloonText"/>
    <w:qFormat/>
    <w:rsid w:val="0066561f"/>
    <w:rPr>
      <w:rFonts w:ascii="Tahoma" w:hAnsi="Tahoma" w:cs="Tahoma"/>
      <w:sz w:val="16"/>
      <w:szCs w:val="16"/>
    </w:rPr>
  </w:style>
  <w:style w:type="character" w:styleId="Style3" w:customStyle="1">
    <w:name w:val="Основной текст Знак"/>
    <w:qFormat/>
    <w:rsid w:val="0066561f"/>
    <w:rPr>
      <w:sz w:val="22"/>
    </w:rPr>
  </w:style>
  <w:style w:type="character" w:styleId="3" w:customStyle="1">
    <w:name w:val="Основной текст 3 Знак"/>
    <w:link w:val="BodyText3"/>
    <w:qFormat/>
    <w:rsid w:val="0066561f"/>
    <w:rPr>
      <w:sz w:val="28"/>
    </w:rPr>
  </w:style>
  <w:style w:type="character" w:styleId="Annotationreference">
    <w:name w:val="annotation reference"/>
    <w:qFormat/>
    <w:rsid w:val="0066561f"/>
    <w:rPr>
      <w:sz w:val="16"/>
      <w:szCs w:val="16"/>
    </w:rPr>
  </w:style>
  <w:style w:type="character" w:styleId="Style4" w:customStyle="1">
    <w:name w:val="Текст примечания Знак"/>
    <w:basedOn w:val="DefaultParagraphFont"/>
    <w:link w:val="Annotationtext"/>
    <w:qFormat/>
    <w:rsid w:val="0066561f"/>
    <w:rPr/>
  </w:style>
  <w:style w:type="character" w:styleId="Style5" w:customStyle="1">
    <w:name w:val="Тема примечания Знак"/>
    <w:link w:val="Annotationsubject"/>
    <w:qFormat/>
    <w:rsid w:val="0066561f"/>
    <w:rPr>
      <w:b/>
      <w:bCs/>
    </w:rPr>
  </w:style>
  <w:style w:type="character" w:styleId="31" w:customStyle="1">
    <w:name w:val="Заголовок 3 Знак"/>
    <w:qFormat/>
    <w:rsid w:val="0066561f"/>
    <w:rPr>
      <w:b/>
    </w:rPr>
  </w:style>
  <w:style w:type="character" w:styleId="Style6" w:customStyle="1">
    <w:name w:val="Основной текст с отступом Знак"/>
    <w:qFormat/>
    <w:rsid w:val="0066561f"/>
    <w:rPr>
      <w:sz w:val="22"/>
      <w:shd w:fill="FFFFFF" w:val="clear"/>
    </w:rPr>
  </w:style>
  <w:style w:type="character" w:styleId="Style7" w:customStyle="1">
    <w:name w:val="комментарий"/>
    <w:uiPriority w:val="99"/>
    <w:qFormat/>
    <w:rsid w:val="0066561f"/>
    <w:rPr>
      <w:rFonts w:cs="Times New Roman"/>
      <w:b/>
      <w:bCs/>
      <w:i/>
      <w:iCs/>
      <w:shd w:fill="FFFF99" w:val="clear"/>
    </w:rPr>
  </w:style>
  <w:style w:type="character" w:styleId="Style8" w:customStyle="1">
    <w:name w:val="Текст сноски Знак"/>
    <w:basedOn w:val="DefaultParagraphFont"/>
    <w:uiPriority w:val="99"/>
    <w:qFormat/>
    <w:rsid w:val="0066561f"/>
    <w:rPr/>
  </w:style>
  <w:style w:type="character" w:styleId="Style9" w:customStyle="1">
    <w:name w:val="Символ сноски"/>
    <w:uiPriority w:val="99"/>
    <w:qFormat/>
    <w:rsid w:val="0066561f"/>
    <w:rPr>
      <w:vertAlign w:val="superscript"/>
    </w:rPr>
  </w:style>
  <w:style w:type="character" w:styleId="FootnoteReference">
    <w:name w:val="Footnote Reference"/>
    <w:rPr>
      <w:vertAlign w:val="superscript"/>
    </w:rPr>
  </w:style>
  <w:style w:type="character" w:styleId="Style10" w:customStyle="1">
    <w:name w:val="Схема документа Знак"/>
    <w:link w:val="DocumentMap"/>
    <w:qFormat/>
    <w:rsid w:val="0066561f"/>
    <w:rPr>
      <w:rFonts w:ascii="Tahoma" w:hAnsi="Tahoma" w:cs="Tahoma"/>
      <w:shd w:fill="000080" w:val="clear"/>
    </w:rPr>
  </w:style>
  <w:style w:type="character" w:styleId="Style11" w:customStyle="1">
    <w:name w:val="Верхний колонтитул Знак"/>
    <w:basedOn w:val="DefaultParagraphFont"/>
    <w:qFormat/>
    <w:rsid w:val="0066561f"/>
    <w:rPr/>
  </w:style>
  <w:style w:type="character" w:styleId="Hyperlink">
    <w:name w:val="Hyperlink"/>
    <w:basedOn w:val="DefaultParagraphFont"/>
    <w:uiPriority w:val="99"/>
    <w:unhideWhenUsed/>
    <w:rsid w:val="0066722e"/>
    <w:rPr>
      <w:color w:val="0000FF" w:themeColor="hyperlink"/>
      <w:u w:val="single"/>
    </w:rPr>
  </w:style>
  <w:style w:type="character" w:styleId="Style12" w:customStyle="1">
    <w:name w:val="Абзац списка Знак"/>
    <w:link w:val="ListParagraph"/>
    <w:qFormat/>
    <w:locked/>
    <w:rsid w:val="00b11d27"/>
    <w:rPr/>
  </w:style>
  <w:style w:type="character" w:styleId="1" w:customStyle="1">
    <w:name w:val="1. Статья Знак"/>
    <w:link w:val="12"/>
    <w:qFormat/>
    <w:rsid w:val="00b11d27"/>
    <w:rPr>
      <w:sz w:val="24"/>
      <w:szCs w:val="24"/>
      <w:lang w:val="x-none" w:eastAsia="x-none"/>
    </w:rPr>
  </w:style>
  <w:style w:type="paragraph" w:styleId="Style13">
    <w:name w:val="Заголовок"/>
    <w:basedOn w:val="Normal"/>
    <w:next w:val="BodyText"/>
    <w:qFormat/>
    <w:pPr>
      <w:keepNext w:val="true"/>
      <w:spacing w:before="240" w:after="120"/>
    </w:pPr>
    <w:rPr>
      <w:rFonts w:ascii="PT Sans" w:hAnsi="PT Sans" w:eastAsia="Noto Sans CJK SC" w:cs="Arial Unicode MS"/>
      <w:sz w:val="28"/>
      <w:szCs w:val="28"/>
    </w:rPr>
  </w:style>
  <w:style w:type="paragraph" w:styleId="BodyText">
    <w:name w:val="Body Text"/>
    <w:basedOn w:val="Normal"/>
    <w:link w:val="Style3"/>
    <w:rsid w:val="00e42745"/>
    <w:pPr>
      <w:jc w:val="both"/>
    </w:pPr>
    <w:rPr>
      <w:sz w:val="22"/>
    </w:rPr>
  </w:style>
  <w:style w:type="paragraph" w:styleId="List">
    <w:name w:val="List"/>
    <w:basedOn w:val="BodyText"/>
    <w:pPr/>
    <w:rPr/>
  </w:style>
  <w:style w:type="paragraph" w:styleId="Caption">
    <w:name w:val="Caption"/>
    <w:basedOn w:val="Normal"/>
    <w:qFormat/>
    <w:pPr>
      <w:suppressLineNumbers/>
      <w:spacing w:before="120" w:after="120"/>
    </w:pPr>
    <w:rPr>
      <w:rFonts w:cs="Arial Unicode MS"/>
      <w:i/>
      <w:iCs/>
      <w:sz w:val="24"/>
      <w:szCs w:val="24"/>
    </w:rPr>
  </w:style>
  <w:style w:type="paragraph" w:styleId="Style14">
    <w:name w:val="Указатель"/>
    <w:basedOn w:val="Normal"/>
    <w:qFormat/>
    <w:pPr>
      <w:suppressLineNumbers/>
    </w:pPr>
    <w:rPr>
      <w:rFonts w:cs="Arial Unicode MS"/>
    </w:rPr>
  </w:style>
  <w:style w:type="paragraph" w:styleId="Title">
    <w:name w:val="Title"/>
    <w:basedOn w:val="Normal"/>
    <w:next w:val="BodyText"/>
    <w:link w:val="Style1"/>
    <w:qFormat/>
    <w:rsid w:val="00e42745"/>
    <w:pPr>
      <w:jc w:val="center"/>
    </w:pPr>
    <w:rPr>
      <w:b/>
      <w:bCs/>
      <w:sz w:val="28"/>
      <w:szCs w:val="24"/>
    </w:rPr>
  </w:style>
  <w:style w:type="paragraph" w:styleId="Caption1">
    <w:name w:val="caption1"/>
    <w:basedOn w:val="Normal"/>
    <w:qFormat/>
    <w:pPr>
      <w:suppressLineNumbers/>
      <w:spacing w:before="120" w:after="120"/>
    </w:pPr>
    <w:rPr>
      <w:i/>
      <w:iCs/>
      <w:sz w:val="24"/>
      <w:szCs w:val="24"/>
    </w:rPr>
  </w:style>
  <w:style w:type="paragraph" w:styleId="Indexheading">
    <w:name w:val="index heading"/>
    <w:basedOn w:val="Normal"/>
    <w:qFormat/>
    <w:pPr>
      <w:suppressLineNumbers/>
    </w:pPr>
    <w:rPr/>
  </w:style>
  <w:style w:type="paragraph" w:styleId="NormalWeb">
    <w:name w:val="Normal (Web)"/>
    <w:basedOn w:val="Normal"/>
    <w:qFormat/>
    <w:rsid w:val="00e42745"/>
    <w:pPr>
      <w:spacing w:beforeAutospacing="1" w:afterAutospacing="1"/>
      <w:ind w:right="150"/>
    </w:pPr>
    <w:rPr>
      <w:rFonts w:ascii="Tahoma" w:hAnsi="Tahoma" w:cs="Tahoma"/>
      <w:color w:val="000000"/>
    </w:rPr>
  </w:style>
  <w:style w:type="paragraph" w:styleId="BodyText2">
    <w:name w:val="Body Text 2"/>
    <w:basedOn w:val="Normal"/>
    <w:qFormat/>
    <w:rsid w:val="00e42745"/>
    <w:pPr>
      <w:jc w:val="both"/>
    </w:pPr>
    <w:rPr/>
  </w:style>
  <w:style w:type="paragraph" w:styleId="Style15" w:customStyle="1">
    <w:name w:val="Колонтитул"/>
    <w:basedOn w:val="Normal"/>
    <w:qFormat/>
    <w:pPr/>
    <w:rPr/>
  </w:style>
  <w:style w:type="paragraph" w:styleId="Footer">
    <w:name w:val="Footer"/>
    <w:basedOn w:val="Normal"/>
    <w:rsid w:val="00e42745"/>
    <w:pPr>
      <w:tabs>
        <w:tab w:val="clear" w:pos="720"/>
        <w:tab w:val="center" w:pos="4677" w:leader="none"/>
        <w:tab w:val="right" w:pos="9355" w:leader="none"/>
      </w:tabs>
    </w:pPr>
    <w:rPr/>
  </w:style>
  <w:style w:type="paragraph" w:styleId="11" w:customStyle="1">
    <w:name w:val="Текст1"/>
    <w:basedOn w:val="Normal"/>
    <w:qFormat/>
    <w:rsid w:val="00e42745"/>
    <w:pPr>
      <w:spacing w:before="0" w:after="120"/>
      <w:jc w:val="both"/>
    </w:pPr>
    <w:rPr>
      <w:rFonts w:ascii="Courier New" w:hAnsi="Courier New"/>
      <w:sz w:val="22"/>
      <w:lang w:eastAsia="en-US"/>
    </w:rPr>
  </w:style>
  <w:style w:type="paragraph" w:styleId="BodyText3">
    <w:name w:val="Body Text 3"/>
    <w:basedOn w:val="Normal"/>
    <w:link w:val="3"/>
    <w:qFormat/>
    <w:rsid w:val="00e42745"/>
    <w:pPr>
      <w:jc w:val="both"/>
    </w:pPr>
    <w:rPr>
      <w:sz w:val="28"/>
    </w:rPr>
  </w:style>
  <w:style w:type="paragraph" w:styleId="BodyTextIndent">
    <w:name w:val="Body Text Indent"/>
    <w:basedOn w:val="Normal"/>
    <w:link w:val="Style6"/>
    <w:rsid w:val="00e42745"/>
    <w:pPr>
      <w:widowControl w:val="false"/>
      <w:shd w:val="clear" w:color="auto" w:fill="FFFFFF"/>
      <w:ind w:firstLine="567"/>
      <w:jc w:val="both"/>
    </w:pPr>
    <w:rPr>
      <w:sz w:val="22"/>
    </w:rPr>
  </w:style>
  <w:style w:type="paragraph" w:styleId="BodyTextIndent3">
    <w:name w:val="Body Text Indent 3"/>
    <w:basedOn w:val="Normal"/>
    <w:qFormat/>
    <w:rsid w:val="00e42745"/>
    <w:pPr>
      <w:shd w:val="clear" w:color="auto" w:fill="FFFFFF"/>
      <w:ind w:firstLine="567"/>
      <w:jc w:val="both"/>
    </w:pPr>
    <w:rPr>
      <w:sz w:val="28"/>
      <w:szCs w:val="24"/>
    </w:rPr>
  </w:style>
  <w:style w:type="paragraph" w:styleId="Style16" w:customStyle="1">
    <w:name w:val="Таблицы (моноширинный)"/>
    <w:basedOn w:val="Normal"/>
    <w:next w:val="Normal"/>
    <w:qFormat/>
    <w:rsid w:val="0066561f"/>
    <w:pPr>
      <w:widowControl w:val="false"/>
      <w:jc w:val="both"/>
    </w:pPr>
    <w:rPr>
      <w:rFonts w:ascii="Courier New" w:hAnsi="Courier New" w:cs="Courier New"/>
    </w:rPr>
  </w:style>
  <w:style w:type="paragraph" w:styleId="BodyTextIndent2">
    <w:name w:val="Body Text Indent 2"/>
    <w:basedOn w:val="Normal"/>
    <w:link w:val="2"/>
    <w:qFormat/>
    <w:rsid w:val="0066561f"/>
    <w:pPr>
      <w:widowControl w:val="false"/>
      <w:ind w:left="1843"/>
      <w:jc w:val="both"/>
    </w:pPr>
    <w:rPr>
      <w:sz w:val="24"/>
    </w:rPr>
  </w:style>
  <w:style w:type="paragraph" w:styleId="BalloonText">
    <w:name w:val="Balloon Text"/>
    <w:basedOn w:val="Normal"/>
    <w:link w:val="Style2"/>
    <w:qFormat/>
    <w:rsid w:val="0066561f"/>
    <w:pPr>
      <w:widowControl w:val="false"/>
    </w:pPr>
    <w:rPr>
      <w:rFonts w:ascii="Tahoma" w:hAnsi="Tahoma" w:cs="Tahoma"/>
      <w:sz w:val="16"/>
      <w:szCs w:val="16"/>
    </w:rPr>
  </w:style>
  <w:style w:type="paragraph" w:styleId="Annotationtext">
    <w:name w:val="annotation text"/>
    <w:basedOn w:val="Normal"/>
    <w:link w:val="Style4"/>
    <w:qFormat/>
    <w:rsid w:val="0066561f"/>
    <w:pPr>
      <w:widowControl w:val="false"/>
    </w:pPr>
    <w:rPr/>
  </w:style>
  <w:style w:type="paragraph" w:styleId="Annotationsubject">
    <w:name w:val="annotation subject"/>
    <w:basedOn w:val="Annotationtext"/>
    <w:next w:val="Annotationtext"/>
    <w:link w:val="Style5"/>
    <w:qFormat/>
    <w:rsid w:val="0066561f"/>
    <w:pPr/>
    <w:rPr>
      <w:b/>
      <w:bCs/>
    </w:rPr>
  </w:style>
  <w:style w:type="paragraph" w:styleId="ListParagraph">
    <w:name w:val="List Paragraph"/>
    <w:basedOn w:val="Normal"/>
    <w:link w:val="Style12"/>
    <w:uiPriority w:val="34"/>
    <w:qFormat/>
    <w:rsid w:val="0066561f"/>
    <w:pPr>
      <w:widowControl w:val="false"/>
      <w:spacing w:before="0" w:after="0"/>
      <w:ind w:left="720"/>
      <w:contextualSpacing/>
    </w:pPr>
    <w:rPr/>
  </w:style>
  <w:style w:type="paragraph" w:styleId="Style17" w:customStyle="1">
    <w:name w:val="Знак Знак Знак Знак Знак Знак Знак Знак Знак"/>
    <w:basedOn w:val="Normal"/>
    <w:uiPriority w:val="99"/>
    <w:qFormat/>
    <w:rsid w:val="0066561f"/>
    <w:pPr>
      <w:spacing w:lineRule="exact" w:line="240" w:before="0" w:after="160"/>
      <w:jc w:val="both"/>
    </w:pPr>
    <w:rPr>
      <w:rFonts w:ascii="Verdana" w:hAnsi="Verdana"/>
      <w:sz w:val="22"/>
      <w:lang w:val="en-US" w:eastAsia="en-US"/>
    </w:rPr>
  </w:style>
  <w:style w:type="paragraph" w:styleId="Style18" w:customStyle="1">
    <w:name w:val="Подпункт договора"/>
    <w:basedOn w:val="Normal"/>
    <w:qFormat/>
    <w:rsid w:val="0066561f"/>
    <w:pPr>
      <w:tabs>
        <w:tab w:val="clear" w:pos="720"/>
        <w:tab w:val="left" w:pos="360" w:leader="none"/>
      </w:tabs>
      <w:jc w:val="both"/>
    </w:pPr>
    <w:rPr>
      <w:rFonts w:ascii="Arial" w:hAnsi="Arial"/>
    </w:rPr>
  </w:style>
  <w:style w:type="paragraph" w:styleId="ConsNormal" w:customStyle="1">
    <w:name w:val="ConsNormal"/>
    <w:qFormat/>
    <w:rsid w:val="0066561f"/>
    <w:pPr>
      <w:widowControl/>
      <w:suppressAutoHyphens w:val="true"/>
      <w:bidi w:val="0"/>
      <w:spacing w:before="0" w:after="0"/>
      <w:ind w:firstLine="720" w:right="19772"/>
      <w:jc w:val="left"/>
    </w:pPr>
    <w:rPr>
      <w:rFonts w:ascii="Arial" w:hAnsi="Arial" w:eastAsia="Times New Roman" w:cs="Times New Roman"/>
      <w:color w:val="auto"/>
      <w:kern w:val="0"/>
      <w:sz w:val="32"/>
      <w:szCs w:val="20"/>
      <w:lang w:eastAsia="en-US" w:val="ru-RU" w:bidi="ar-SA"/>
    </w:rPr>
  </w:style>
  <w:style w:type="paragraph" w:styleId="Style19" w:customStyle="1">
    <w:name w:val="Знак"/>
    <w:basedOn w:val="Normal"/>
    <w:qFormat/>
    <w:rsid w:val="0066561f"/>
    <w:pPr>
      <w:spacing w:lineRule="exact" w:line="240" w:before="0" w:after="160"/>
    </w:pPr>
    <w:rPr>
      <w:rFonts w:ascii="Verdana" w:hAnsi="Verdana" w:cs="Verdana"/>
      <w:lang w:val="en-US" w:eastAsia="en-US"/>
    </w:rPr>
  </w:style>
  <w:style w:type="paragraph" w:styleId="FootnoteText">
    <w:name w:val="Footnote Text"/>
    <w:basedOn w:val="Normal"/>
    <w:link w:val="Style8"/>
    <w:uiPriority w:val="99"/>
    <w:rsid w:val="0066561f"/>
    <w:pPr>
      <w:widowControl w:val="false"/>
    </w:pPr>
    <w:rPr/>
  </w:style>
  <w:style w:type="paragraph" w:styleId="ListBullet3">
    <w:name w:val="List Bullet 3"/>
    <w:basedOn w:val="Normal"/>
    <w:uiPriority w:val="99"/>
    <w:unhideWhenUsed/>
    <w:qFormat/>
    <w:rsid w:val="0066561f"/>
    <w:pPr>
      <w:tabs>
        <w:tab w:val="clear" w:pos="720"/>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66561f"/>
    <w:pPr>
      <w:tabs>
        <w:tab w:val="clear" w:pos="720"/>
        <w:tab w:val="left" w:pos="851" w:leader="none"/>
      </w:tabs>
      <w:spacing w:lineRule="auto" w:line="360"/>
      <w:ind w:hanging="851" w:left="851"/>
      <w:jc w:val="both"/>
    </w:pPr>
    <w:rPr>
      <w:rFonts w:eastAsia="Calibri"/>
      <w:sz w:val="28"/>
      <w:szCs w:val="28"/>
    </w:rPr>
  </w:style>
  <w:style w:type="paragraph" w:styleId="DocumentMap">
    <w:name w:val="Document Map"/>
    <w:basedOn w:val="Normal"/>
    <w:link w:val="Style10"/>
    <w:qFormat/>
    <w:rsid w:val="0066561f"/>
    <w:pPr>
      <w:widowControl w:val="false"/>
      <w:shd w:val="clear" w:color="auto" w:fill="000080"/>
    </w:pPr>
    <w:rPr>
      <w:rFonts w:ascii="Tahoma" w:hAnsi="Tahoma" w:cs="Tahoma"/>
    </w:rPr>
  </w:style>
  <w:style w:type="paragraph" w:styleId="Revision">
    <w:name w:val="Revision"/>
    <w:uiPriority w:val="99"/>
    <w:semiHidden/>
    <w:qFormat/>
    <w:rsid w:val="0066561f"/>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11"/>
    <w:rsid w:val="0066561f"/>
    <w:pPr>
      <w:widowControl w:val="false"/>
      <w:tabs>
        <w:tab w:val="clear" w:pos="720"/>
        <w:tab w:val="center" w:pos="4677" w:leader="none"/>
        <w:tab w:val="right" w:pos="9355" w:leader="none"/>
      </w:tabs>
    </w:pPr>
    <w:rPr/>
  </w:style>
  <w:style w:type="paragraph" w:styleId="12" w:customStyle="1">
    <w:name w:val="1. Статья"/>
    <w:basedOn w:val="Heading3"/>
    <w:link w:val="1"/>
    <w:qFormat/>
    <w:rsid w:val="00b11d27"/>
    <w:pPr>
      <w:keepNext w:val="false"/>
      <w:widowControl w:val="false"/>
      <w:numPr>
        <w:ilvl w:val="0"/>
        <w:numId w:val="9"/>
      </w:numPr>
      <w:tabs>
        <w:tab w:val="left" w:pos="0" w:leader="none"/>
        <w:tab w:val="left" w:pos="2340" w:leader="none"/>
      </w:tabs>
      <w:overflowPunct w:val="true"/>
      <w:ind w:hanging="0" w:right="1462"/>
      <w:textAlignment w:val="baseline"/>
    </w:pPr>
    <w:rPr>
      <w:b w:val="false"/>
      <w:sz w:val="24"/>
      <w:szCs w:val="24"/>
      <w:lang w:val="x-none" w:eastAsia="x-none"/>
    </w:rPr>
  </w:style>
  <w:style w:type="paragraph" w:styleId="21" w:customStyle="1">
    <w:name w:val="2. Пункт"/>
    <w:basedOn w:val="Heading3"/>
    <w:qFormat/>
    <w:rsid w:val="00b11d27"/>
    <w:pPr>
      <w:keepNext w:val="false"/>
      <w:widowControl w:val="false"/>
      <w:numPr>
        <w:ilvl w:val="1"/>
        <w:numId w:val="9"/>
      </w:numPr>
      <w:overflowPunct w:val="true"/>
      <w:jc w:val="both"/>
      <w:textAlignment w:val="baseline"/>
    </w:pPr>
    <w:rPr>
      <w:b w:val="false"/>
      <w:sz w:val="24"/>
      <w:szCs w:val="24"/>
      <w:lang w:val="x-none" w:eastAsia="x-none"/>
    </w:rPr>
  </w:style>
  <w:style w:type="paragraph" w:styleId="32" w:customStyle="1">
    <w:name w:val="3. Подпункт"/>
    <w:basedOn w:val="Heading3"/>
    <w:qFormat/>
    <w:rsid w:val="00b11d27"/>
    <w:pPr>
      <w:keepNext w:val="false"/>
      <w:widowControl w:val="false"/>
      <w:numPr>
        <w:ilvl w:val="2"/>
        <w:numId w:val="9"/>
      </w:numPr>
      <w:tabs>
        <w:tab w:val="left" w:pos="0" w:leader="none"/>
        <w:tab w:val="left" w:pos="1620" w:leader="none"/>
      </w:tabs>
      <w:overflowPunct w:val="true"/>
      <w:jc w:val="both"/>
      <w:textAlignment w:val="baseline"/>
    </w:pPr>
    <w:rPr>
      <w:bCs/>
      <w:sz w:val="24"/>
      <w:szCs w:val="24"/>
      <w:lang w:val="x-none" w:eastAsia="x-none"/>
    </w:rPr>
  </w:style>
  <w:style w:type="paragraph" w:styleId="Style20" w:customStyle="1">
    <w:name w:val="Содержимое врезки"/>
    <w:basedOn w:val="Normal"/>
    <w:qFormat/>
    <w:pPr/>
    <w:rPr/>
  </w:style>
  <w:style w:type="paragraph" w:styleId="Style21" w:customStyle="1">
    <w:name w:val="Содержимое таблицы"/>
    <w:basedOn w:val="Normal"/>
    <w:qFormat/>
    <w:pPr>
      <w:widowControl w:val="false"/>
      <w:suppressLineNumbers/>
    </w:pPr>
    <w:rPr/>
  </w:style>
  <w:style w:type="paragraph" w:styleId="Style22" w:customStyle="1">
    <w:name w:val="Заголовок таблицы"/>
    <w:basedOn w:val="Style21"/>
    <w:qFormat/>
    <w:pPr>
      <w:jc w:val="center"/>
    </w:pPr>
    <w:rPr>
      <w:b/>
      <w:bCs/>
    </w:rPr>
  </w:style>
  <w:style w:type="numbering" w:styleId="NoList" w:default="1">
    <w:name w:val="No List"/>
    <w:uiPriority w:val="99"/>
    <w:semiHidden/>
    <w:unhideWhenUsed/>
    <w:qFormat/>
  </w:style>
  <w:style w:type="numbering" w:styleId="13" w:customStyle="1">
    <w:name w:val="Нет списка1"/>
    <w:uiPriority w:val="99"/>
    <w:semiHidden/>
    <w:unhideWhenUsed/>
    <w:qFormat/>
    <w:rsid w:val="00477cae"/>
  </w:style>
  <w:style w:type="table" w:default="1" w:styleId="a1">
    <w:name w:val="Normal Table"/>
    <w:uiPriority w:val="99"/>
    <w:semiHidden/>
    <w:unhideWhenUsed/>
    <w:tblPr>
      <w:tblCellMar>
        <w:top w:w="0" w:type="dxa"/>
        <w:left w:w="108" w:type="dxa"/>
        <w:bottom w:w="0" w:type="dxa"/>
        <w:right w:w="108" w:type="dxa"/>
      </w:tblCellMar>
    </w:tblPr>
  </w:style>
  <w:style w:type="table" w:styleId="affb">
    <w:name w:val="Table Grid"/>
    <w:basedOn w:val="a1"/>
    <w:rsid w:val="006656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yperlink" Target="mailto:balakovo@rushydro.ru" TargetMode="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Relationship Id="rId14"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2B0210-04F7-43B9-A737-FEF4A9B0B2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Application>AlterOffice/2026.2.0.0$Linux_X86_64 LibreOffice_project/bc4ef1adf80b36c7a6365f8ed6cbf29021361edd</Application>
  <AppVersion>15.0000</AppVersion>
  <Pages>13</Pages>
  <Words>5798</Words>
  <Characters>40825</Characters>
  <CharactersWithSpaces>46329</CharactersWithSpaces>
  <Paragraphs>268</Paragraphs>
  <Company>ООО "Райдэн"</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2026-10-30T10:02:00Z</dcterms:created>
  <dc:creator>Света &amp; Алла (Twix)</dc:creator>
  <dc:description/>
  <dc:language>ru-RU</dc:language>
  <cp:lastModifiedBy>bobryashovda@corp.gidroogk.com</cp:lastModifiedBy>
  <cp:lastPrinted>2018-02-14T12:53:00Z</cp:lastPrinted>
  <dcterms:modified xsi:type="dcterms:W3CDTF">2026-11-03T10:25:18Z</dcterms:modified>
  <cp:revision>5</cp:revision>
  <dc:subject/>
  <dc:title>ДОГОВОР ПОСТАВКИ</dc:title>
</cp:coreProperties>
</file>

<file path=docProps/custom.xml><?xml version="1.0" encoding="utf-8"?>
<Properties xmlns="http://schemas.openxmlformats.org/officeDocument/2006/custom-properties" xmlns:vt="http://schemas.openxmlformats.org/officeDocument/2006/docPropsVTypes"/>
</file>