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9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285" w:leader="none"/>
          <w:tab w:val="right" w:pos="10205" w:leader="none"/>
        </w:tabs>
        <w:rPr/>
      </w:pPr>
      <w:r>
        <w:rPr/>
        <w:tab/>
      </w:r>
    </w:p>
    <w:p>
      <w:pPr>
        <w:pStyle w:val="Normal"/>
        <w:ind w:hanging="0" w:left="4253"/>
        <w:jc w:val="center"/>
        <w:rPr/>
      </w:pPr>
      <w:bookmarkStart w:id="0" w:name="_Toc152389383"/>
      <w:bookmarkEnd w:id="0"/>
      <w:r>
        <w:rPr>
          <w:color w:val="00000A"/>
          <w:sz w:val="28"/>
          <w:szCs w:val="28"/>
        </w:rPr>
        <w:t>УТВЕРЖДАЮ</w:t>
      </w:r>
    </w:p>
    <w:p>
      <w:pPr>
        <w:pStyle w:val="Normal"/>
        <w:ind w:hanging="0" w:left="4253"/>
        <w:jc w:val="center"/>
        <w:rPr/>
      </w:pPr>
      <w:r>
        <w:rPr>
          <w:color w:val="00000A"/>
          <w:sz w:val="28"/>
          <w:szCs w:val="28"/>
        </w:rPr>
        <w:t xml:space="preserve">Заместитель директора – </w:t>
      </w:r>
    </w:p>
    <w:p>
      <w:pPr>
        <w:pStyle w:val="Normal"/>
        <w:ind w:hanging="0" w:left="4253"/>
        <w:jc w:val="center"/>
        <w:rPr/>
      </w:pPr>
      <w:r>
        <w:rPr>
          <w:color w:val="00000A"/>
          <w:sz w:val="28"/>
          <w:szCs w:val="28"/>
        </w:rPr>
        <w:t>главный инженер Филиала</w:t>
      </w:r>
    </w:p>
    <w:p>
      <w:pPr>
        <w:pStyle w:val="Normal"/>
        <w:ind w:hanging="0" w:left="4253"/>
        <w:jc w:val="center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ПАО «РусГидро» - «Камская ГЭС»</w:t>
      </w:r>
    </w:p>
    <w:p>
      <w:pPr>
        <w:pStyle w:val="Normal"/>
        <w:ind w:hanging="0" w:left="4253"/>
        <w:jc w:val="center"/>
        <w:rPr/>
      </w:pPr>
      <w:r>
        <w:rPr/>
      </w:r>
    </w:p>
    <w:p>
      <w:pPr>
        <w:pStyle w:val="Normal"/>
        <w:ind w:hanging="0" w:left="4253"/>
        <w:jc w:val="center"/>
        <w:rPr/>
      </w:pPr>
      <w:r>
        <w:rPr/>
      </w:r>
    </w:p>
    <w:p>
      <w:pPr>
        <w:pStyle w:val="Normal"/>
        <w:ind w:hanging="0" w:left="4253"/>
        <w:jc w:val="center"/>
        <w:rPr/>
      </w:pPr>
      <w:r>
        <w:rPr>
          <w:color w:val="00000A"/>
          <w:sz w:val="28"/>
          <w:szCs w:val="28"/>
        </w:rPr>
        <w:t>__________________А.И. Бурнышев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tLeast" w:line="0"/>
        <w:ind w:hanging="0" w:left="4252"/>
        <w:jc w:val="center"/>
        <w:rPr>
          <w:b/>
          <w:sz w:val="40"/>
          <w:szCs w:val="40"/>
        </w:rPr>
      </w:pPr>
      <w:r>
        <w:rPr>
          <w:color w:val="00000A"/>
          <w:sz w:val="28"/>
          <w:szCs w:val="28"/>
        </w:rPr>
        <w:t>«_____» _________________ 2026 г.</w:t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ТЕХНИЧЕСКИЕ ТРЕБОВАНИЯ</w:t>
      </w:r>
    </w:p>
    <w:p>
      <w:pPr>
        <w:pStyle w:val="Normal"/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bookmarkStart w:id="1" w:name="_Hlk1151004271"/>
      <w:bookmarkStart w:id="2" w:name="_Hlk1151004271"/>
      <w:bookmarkEnd w:id="2"/>
    </w:p>
    <w:p>
      <w:pPr>
        <w:pStyle w:val="Normal"/>
        <w:jc w:val="center"/>
        <w:rPr/>
      </w:pPr>
      <w:bookmarkStart w:id="3" w:name="_Hlk1151004271_Копия_1"/>
      <w:bookmarkEnd w:id="3"/>
      <w:r>
        <w:rPr>
          <w:sz w:val="28"/>
          <w:szCs w:val="28"/>
        </w:rPr>
        <w:t>ОКПД2 27.12 Поставка запасных частей и приборов для эксплуатации оборудования релейной защиты, автоматики и метрологии для нужд филиала ПАО "РусГидро"-"Камская ГЭС"</w:t>
      </w:r>
    </w:p>
    <w:p>
      <w:pPr>
        <w:pStyle w:val="Normal"/>
        <w:keepNext w:val="true"/>
        <w:keepLines/>
        <w:spacing w:lineRule="auto" w:line="276" w:before="480" w:after="0"/>
        <w:jc w:val="center"/>
        <w:rPr>
          <w:sz w:val="32"/>
          <w:szCs w:val="32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>
        <w:br w:type="page"/>
      </w:r>
    </w:p>
    <w:p>
      <w:pPr>
        <w:pStyle w:val="Normal"/>
        <w:spacing w:lineRule="auto" w:line="276" w:before="480" w:after="0"/>
        <w:jc w:val="center"/>
        <w:rPr>
          <w:rFonts w:ascii="Cambria" w:hAnsi="Cambria"/>
          <w:b/>
          <w:bCs/>
          <w:sz w:val="28"/>
          <w:szCs w:val="28"/>
        </w:rPr>
      </w:pPr>
      <w:bookmarkStart w:id="4" w:name="_Toc15238938312"/>
      <w:bookmarkStart w:id="5" w:name="_Toc15238938311"/>
      <w:bookmarkStart w:id="6" w:name="_Toc15238938313"/>
      <w:bookmarkEnd w:id="4"/>
      <w:bookmarkEnd w:id="5"/>
      <w:bookmarkEnd w:id="6"/>
      <w:r>
        <w:rPr>
          <w:rFonts w:ascii="Cambria" w:hAnsi="Cambria"/>
          <w:b/>
          <w:bCs/>
          <w:sz w:val="28"/>
          <w:szCs w:val="28"/>
        </w:rPr>
        <w:t>Оглавление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right" w:pos="10348" w:leader="dot"/>
        </w:tabs>
        <w:ind w:hanging="0" w:right="-454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</w:rPr>
        <w:t>Общие сведения……………………………………………………………………………………………..3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bCs/>
          <w:sz w:val="24"/>
          <w:szCs w:val="24"/>
        </w:rPr>
        <w:t>1.1 Обозначения и сокращения……………………………………………………………………………..3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bCs/>
          <w:sz w:val="24"/>
          <w:szCs w:val="24"/>
        </w:rPr>
        <w:t>1.2 Наименование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bCs/>
          <w:sz w:val="24"/>
          <w:szCs w:val="24"/>
        </w:rPr>
        <w:t>1.3 Цель использования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sz w:val="24"/>
          <w:szCs w:val="24"/>
        </w:rPr>
        <w:t>2. Требование к продукции</w:t>
        <w:tab/>
        <w:t>…4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sz w:val="24"/>
          <w:szCs w:val="24"/>
        </w:rPr>
        <w:t>2.1 Требования к объемам и срокам поставки</w:t>
        <w:tab/>
        <w:t>…4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sz w:val="24"/>
          <w:szCs w:val="24"/>
        </w:rPr>
        <w:t>2.1.1 Перечень и объем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/>
      </w:pPr>
      <w:r>
        <w:rPr>
          <w:bCs/>
          <w:sz w:val="24"/>
          <w:szCs w:val="24"/>
        </w:rPr>
        <w:t>2.1.2 Требования к срокам поставки продукции</w:t>
        <w:tab/>
        <w:t>6</w:t>
      </w:r>
    </w:p>
    <w:p>
      <w:pPr>
        <w:pStyle w:val="Normal"/>
        <w:tabs>
          <w:tab w:val="clear" w:pos="708"/>
          <w:tab w:val="right" w:pos="10348" w:leader="dot"/>
        </w:tabs>
        <w:ind w:hanging="0" w:right="-454"/>
        <w:rPr/>
      </w:pPr>
      <w:r>
        <w:rPr>
          <w:bCs/>
          <w:sz w:val="24"/>
          <w:szCs w:val="24"/>
        </w:rPr>
        <w:t>2.2 Требования к качеству продукции</w:t>
        <w:tab/>
        <w:t>7</w:t>
      </w:r>
    </w:p>
    <w:p>
      <w:pPr>
        <w:sectPr>
          <w:footerReference w:type="default" r:id="rId2"/>
          <w:type w:val="nextPage"/>
          <w:pgSz w:w="11906" w:h="16838"/>
          <w:pgMar w:left="1134" w:right="282" w:gutter="0" w:header="0" w:top="1236" w:footer="720" w:bottom="1234"/>
          <w:pgNumType w:fmt="decimal"/>
          <w:formProt w:val="false"/>
          <w:textDirection w:val="lrTb"/>
          <w:docGrid w:type="default" w:linePitch="272" w:charSpace="40960"/>
        </w:sectPr>
        <w:pStyle w:val="Normal"/>
        <w:tabs>
          <w:tab w:val="clear" w:pos="708"/>
          <w:tab w:val="right" w:pos="10348" w:leader="dot"/>
        </w:tabs>
        <w:ind w:hanging="0" w:right="-454"/>
        <w:rPr/>
      </w:pPr>
      <w:r>
        <w:rPr>
          <w:bCs/>
          <w:sz w:val="24"/>
          <w:szCs w:val="24"/>
        </w:rPr>
        <w:t>3. Требования к документации по ценообразованию на этапе закупки……………………………………………………………………………………………………...104</w:t>
      </w:r>
    </w:p>
    <w:p>
      <w:pPr>
        <w:pStyle w:val="Normal"/>
        <w:spacing w:before="0" w:after="240"/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1. </w:t>
      </w:r>
      <w:r>
        <w:rPr>
          <w:b/>
          <w:sz w:val="28"/>
          <w:szCs w:val="28"/>
        </w:rPr>
        <w:t>Общие сведения</w:t>
      </w:r>
      <w:r>
        <w:rPr>
          <w:b/>
          <w:sz w:val="24"/>
          <w:szCs w:val="24"/>
        </w:rPr>
        <w:t>.</w:t>
      </w:r>
    </w:p>
    <w:p>
      <w:pPr>
        <w:pStyle w:val="Normal"/>
        <w:spacing w:before="0" w:after="240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1.1 </w:t>
      </w:r>
      <w:bookmarkStart w:id="7" w:name="_Toc75446567"/>
      <w:bookmarkStart w:id="8" w:name="_Toc46743505"/>
      <w:r>
        <w:rPr>
          <w:b/>
          <w:bCs/>
          <w:sz w:val="24"/>
          <w:szCs w:val="24"/>
        </w:rPr>
        <w:t>Обозначения и сокращения</w:t>
      </w:r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СРЗАиМ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Служба релейной защиты, автоматики и метрологии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Противоаварийная автоматика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Техническое обслуживание</w:t>
            </w:r>
          </w:p>
        </w:tc>
      </w:tr>
    </w:tbl>
    <w:p>
      <w:pPr>
        <w:sectPr>
          <w:headerReference w:type="default" r:id="rId3"/>
          <w:footerReference w:type="default" r:id="rId4"/>
          <w:footerReference w:type="first" r:id="rId5"/>
          <w:type w:val="nextPage"/>
          <w:pgSz w:w="11906" w:h="16838"/>
          <w:pgMar w:left="1134" w:right="849" w:gutter="0" w:header="720" w:top="1236" w:footer="720" w:bottom="1234"/>
          <w:pgNumType w:fmt="decimal"/>
          <w:formProt w:val="false"/>
          <w:textDirection w:val="lrTb"/>
          <w:docGrid w:type="default" w:linePitch="272" w:charSpace="40960"/>
        </w:sectPr>
      </w:pPr>
    </w:p>
    <w:p>
      <w:pPr>
        <w:pStyle w:val="Normal"/>
        <w:spacing w:before="0" w:after="240"/>
        <w:rPr/>
      </w:pPr>
      <w:r>
        <w:rPr>
          <w:b/>
          <w:bCs/>
          <w:sz w:val="24"/>
          <w:szCs w:val="24"/>
        </w:rPr>
        <w:t>1.2 Наименование закупаемой продукции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ind w:firstLine="567"/>
        <w:jc w:val="both"/>
        <w:rPr/>
      </w:pPr>
      <w:r>
        <w:rPr>
          <w:sz w:val="24"/>
          <w:szCs w:val="24"/>
        </w:rPr>
        <w:t>Материально-технические ресурсы (далее – МТР) для эксплуатации Службы релейной защиты, автоматики и метрологии (далее – СРЗАиМ).</w:t>
      </w:r>
    </w:p>
    <w:p>
      <w:pPr>
        <w:pStyle w:val="Normal"/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Normal"/>
        <w:spacing w:before="0" w:after="240"/>
        <w:jc w:val="both"/>
        <w:rPr/>
      </w:pPr>
      <w:r>
        <w:rPr>
          <w:b/>
          <w:bCs/>
          <w:sz w:val="24"/>
          <w:szCs w:val="24"/>
        </w:rPr>
        <w:t>1.3 Цель использования закупаемой продукции</w:t>
      </w:r>
    </w:p>
    <w:p>
      <w:pPr>
        <w:pStyle w:val="Normal"/>
        <w:spacing w:before="0" w:after="120"/>
        <w:ind w:firstLine="567"/>
        <w:jc w:val="both"/>
        <w:rPr/>
      </w:pPr>
      <w:r>
        <w:rPr>
          <w:bCs/>
          <w:sz w:val="24"/>
          <w:szCs w:val="24"/>
        </w:rPr>
        <w:t xml:space="preserve">Целью закупки МТР является </w:t>
      </w:r>
      <w:r>
        <w:rPr>
          <w:rFonts w:eastAsia="Calibri"/>
          <w:sz w:val="24"/>
          <w:szCs w:val="24"/>
        </w:rPr>
        <w:t xml:space="preserve">снижение времени простоя основного оборудования при отказах и дефектах РЗА, ПА, технологической автоматики в процессе эксплуатации или при выявлении дефекта при проведении ТО. 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ind w:firstLine="567"/>
        <w:jc w:val="both"/>
        <w:rPr/>
      </w:pPr>
      <w:r>
        <w:rPr>
          <w:rFonts w:eastAsia="Calibri"/>
          <w:bCs/>
          <w:sz w:val="24"/>
          <w:szCs w:val="24"/>
          <w:lang w:eastAsia="en-US"/>
        </w:rPr>
        <w:t>Задача - приобретение МТР для производственных нужд СРЗАиМ.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20"/>
        <w:jc w:val="center"/>
        <w:rPr>
          <w:b/>
          <w:b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 xml:space="preserve">2. </w:t>
      </w:r>
      <w:bookmarkStart w:id="9" w:name="_Toc75446573"/>
      <w:bookmarkStart w:id="10" w:name="_Toc51339693"/>
      <w:r>
        <w:rPr>
          <w:rFonts w:eastAsia="Calibri"/>
          <w:b/>
          <w:iCs/>
          <w:sz w:val="24"/>
          <w:szCs w:val="24"/>
        </w:rPr>
        <w:t>Требования к продукции</w:t>
      </w:r>
      <w:bookmarkEnd w:id="9"/>
      <w:bookmarkEnd w:id="10"/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 </w:t>
      </w:r>
      <w:bookmarkStart w:id="11" w:name="_Toc75446574"/>
      <w:r>
        <w:rPr>
          <w:b/>
          <w:bCs/>
          <w:sz w:val="24"/>
          <w:szCs w:val="24"/>
        </w:rPr>
        <w:t>Требования к объемам и срокам поставки</w:t>
      </w:r>
      <w:bookmarkEnd w:id="11"/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2.1.1 </w:t>
      </w:r>
      <w:bookmarkStart w:id="12" w:name="_Toc75446575"/>
      <w:r>
        <w:rPr>
          <w:b/>
          <w:bCs/>
          <w:sz w:val="24"/>
          <w:szCs w:val="24"/>
        </w:rPr>
        <w:t>Перечень и объем закупаемой продукции</w:t>
      </w:r>
      <w:bookmarkEnd w:id="12"/>
    </w:p>
    <w:p>
      <w:pPr>
        <w:pStyle w:val="Heading1"/>
        <w:keepLines/>
        <w:spacing w:before="240" w:after="60"/>
        <w:rPr>
          <w:bCs/>
          <w:sz w:val="24"/>
          <w:szCs w:val="24"/>
        </w:rPr>
      </w:pPr>
      <w:bookmarkStart w:id="13" w:name="_Toc75446576"/>
      <w:bookmarkStart w:id="14" w:name="_Toc51339695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3"/>
    </w:p>
    <w:tbl>
      <w:tblPr>
        <w:tblW w:w="9857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1"/>
        <w:gridCol w:w="5686"/>
        <w:gridCol w:w="2379"/>
        <w:gridCol w:w="1240"/>
      </w:tblGrid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 КИПвЭВнг(А)-LS 2х2х0,78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коммутационное УК-ВК исп.14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Извещатель пожарный ручной ИПР-Кск (ИОПР513/101-1) "При пожаре"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Аккумуляторная батарея Delta DTM 1212 (12V / 12Ah)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Аккумуляторная батарея  Delta DTM 12045 (12V / 4,5Ah)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Резистор постоянный металлопленочный 1,5 кОм, 0,25 Вт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Аккумуляторная батарея Delta DTM 12022  (12V / 2,2Ah)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Преобразователь давления измерительный АИР-10Н-ДГ-1540/Зонд27/P20/12V/t2570/А01/0…15000 мм вод.ст./IP68/ГП/ТУ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Манометр технический показывающий стандартного исполнения с корпусом диаметром 160 мм из нержавеющей стали МП4-УУХЛ1 - 4 МПа (огр.черта 2 МПа) - 1,5 - Св.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Ключ управления 4G25-202-U-S1 apator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Блок питания SDR-120-24 в ЗПУ однофазный 24 В с блок-контактом.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Блок питания TDR-240-24 в ЗПУ трёхфазный 24 В с блок-контактом.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Блок питания TRACO POWER TMP 30512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Блок питания КАМ1524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Мастика герметизирующая кабельная МГКП (уп. 15 кг)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Блок испытательный базовый с рабочей крышкой БИЭЛ-9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Блок испытательный базовый с рабочей крышкой БИЭЛ-5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Крышка контрольная БИЭЛ КК-9, тестовые гнезда для контрольной крышки, 4мм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Крышка контрольная БИЭЛ КК-5, тестовые гнезда для контрольной крышки, 4мм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Перемычка штекерная Elkey ББ 2-8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Перемычка штекерная Elkey ББ 4-8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Перемычка штекерная Elkey ББ 5-8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блок индикации Э2601 с ПО v.6, ЭКРА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</w:rPr>
              <w:t>блок логики : Л2516, ЭКРА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</w:rPr>
              <w:t>Плата управления блока Д253 ЭКРА .301411.213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Радиоповторитель интерфейсов С2000-РПИ ИСП.02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Модуль порошкового пожаротушения с комбинированным запуском БУРАН-2,5(2С)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Контрольно-пусковой блок С2000-КПБ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Оповещатель пожарный световой с встроенным звуковым оповещателем  Молния-24-З "Порошок уходи"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Сирена уличная Марс 24-КУ (Оповещатель охранно-пожарный комбинированный Марс24-КУ)</w:t>
            </w:r>
          </w:p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Реле времени (таймер) 240В AC/DC 2CO 12А 0.05с…10дн.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</w:tr>
    </w:tbl>
    <w:p>
      <w:pPr>
        <w:pStyle w:val="Normal"/>
        <w:spacing w:before="0"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br w:type="page"/>
      </w:r>
    </w:p>
    <w:p>
      <w:pPr>
        <w:pStyle w:val="Normal"/>
        <w:spacing w:before="0" w:after="240"/>
        <w:jc w:val="both"/>
        <w:rPr/>
      </w:pPr>
      <w:r>
        <w:rPr>
          <w:b/>
          <w:sz w:val="24"/>
          <w:szCs w:val="24"/>
        </w:rPr>
        <w:t xml:space="preserve">2.1.2 </w:t>
      </w:r>
      <w:bookmarkStart w:id="15" w:name="_Toc75446578"/>
      <w:bookmarkStart w:id="16" w:name="_Toc51339696"/>
      <w:r>
        <w:rPr>
          <w:b/>
          <w:sz w:val="24"/>
          <w:szCs w:val="24"/>
        </w:rPr>
        <w:t xml:space="preserve">Требования </w:t>
      </w:r>
      <w:bookmarkEnd w:id="16"/>
      <w:r>
        <w:rPr>
          <w:b/>
          <w:sz w:val="24"/>
          <w:szCs w:val="24"/>
        </w:rPr>
        <w:t>к срокам поставки продукции</w:t>
      </w:r>
      <w:bookmarkEnd w:id="15"/>
      <w:r>
        <w:rPr>
          <w:b/>
          <w:sz w:val="24"/>
          <w:szCs w:val="24"/>
        </w:rPr>
        <w:t>.</w:t>
      </w:r>
    </w:p>
    <w:p>
      <w:pPr>
        <w:pStyle w:val="Normal"/>
        <w:spacing w:before="0" w:after="240"/>
        <w:jc w:val="both"/>
        <w:rPr/>
      </w:pPr>
      <w:r>
        <w:rPr>
          <w:sz w:val="24"/>
          <w:szCs w:val="24"/>
        </w:rPr>
        <w:t xml:space="preserve"> </w:t>
      </w:r>
      <w:bookmarkStart w:id="17" w:name="_Toc75446579"/>
      <w:bookmarkStart w:id="18" w:name="_Toc51339697"/>
      <w:bookmarkStart w:id="19" w:name="_Toc50125127"/>
      <w:r>
        <w:rPr>
          <w:sz w:val="24"/>
          <w:szCs w:val="24"/>
        </w:rPr>
        <w:t>Та</w:t>
      </w:r>
      <w:r>
        <w:rPr>
          <w:b/>
          <w:bCs/>
          <w:sz w:val="24"/>
          <w:szCs w:val="24"/>
        </w:rPr>
        <w:t xml:space="preserve">блица 2.1 </w:t>
      </w:r>
      <w:bookmarkStart w:id="20" w:name="_Hlk50465284"/>
      <w:r>
        <w:rPr>
          <w:b/>
          <w:bCs/>
          <w:sz w:val="24"/>
          <w:szCs w:val="24"/>
        </w:rPr>
        <w:t xml:space="preserve">Требования по срокам </w:t>
      </w:r>
      <w:bookmarkEnd w:id="18"/>
      <w:bookmarkEnd w:id="19"/>
      <w:bookmarkEnd w:id="20"/>
      <w:r>
        <w:rPr>
          <w:b/>
          <w:bCs/>
          <w:sz w:val="24"/>
          <w:szCs w:val="24"/>
        </w:rPr>
        <w:t>поставки продукции</w:t>
      </w:r>
      <w:bookmarkEnd w:id="17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04"/>
        <w:gridCol w:w="3346"/>
        <w:gridCol w:w="2732"/>
        <w:gridCol w:w="2793"/>
      </w:tblGrid>
      <w:tr>
        <w:trPr/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113"/>
              <w:jc w:val="center"/>
              <w:rPr/>
            </w:pPr>
            <w:r>
              <w:rPr/>
              <w:t>1-37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13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Поставка запасных частей и оборудования для эксплуатации СРЗАиМ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До 30.11.2026 г.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w="11906" w:h="16838"/>
          <w:pgMar w:left="1417" w:right="567" w:gutter="0" w:header="0" w:top="550" w:footer="850" w:bottom="1366"/>
          <w:pgNumType w:fmt="decimal"/>
          <w:formProt w:val="false"/>
          <w:textDirection w:val="lrTb"/>
          <w:docGrid w:type="default" w:linePitch="272" w:charSpace="40960"/>
        </w:sectPr>
      </w:pPr>
    </w:p>
    <w:p>
      <w:pPr>
        <w:pStyle w:val="Heading4"/>
        <w:spacing w:before="0" w:after="240"/>
        <w:ind w:hanging="0" w:left="1132"/>
        <w:jc w:val="both"/>
        <w:rPr/>
      </w:pPr>
      <w:r>
        <w:rPr>
          <w:rFonts w:ascii="Times New Roman" w:hAnsi="Times New Roman"/>
          <w:sz w:val="24"/>
          <w:szCs w:val="24"/>
        </w:rPr>
        <w:t xml:space="preserve">2.2 </w:t>
      </w:r>
      <w:bookmarkStart w:id="21" w:name="_Toc754465812"/>
      <w:bookmarkStart w:id="22" w:name="_Toc46743511"/>
      <w:r>
        <w:rPr>
          <w:rFonts w:ascii="Times New Roman" w:hAnsi="Times New Roman"/>
          <w:sz w:val="24"/>
          <w:szCs w:val="24"/>
        </w:rPr>
        <w:t xml:space="preserve">Требования к </w:t>
      </w:r>
      <w:bookmarkEnd w:id="22"/>
      <w:r>
        <w:rPr>
          <w:rFonts w:ascii="Times New Roman" w:hAnsi="Times New Roman"/>
          <w:sz w:val="24"/>
          <w:szCs w:val="24"/>
        </w:rPr>
        <w:t>качеству продукции</w:t>
      </w:r>
      <w:bookmarkEnd w:id="21"/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 Требования к продукции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 Таблицы 1.1):</w:t>
      </w:r>
      <w:r>
        <w:rPr>
          <w:color w:val="000000" w:themeColor="text1"/>
          <w:sz w:val="24"/>
          <w:szCs w:val="24"/>
        </w:rPr>
        <w:t xml:space="preserve">  К</w:t>
      </w:r>
      <w:r>
        <w:rPr>
          <w:sz w:val="24"/>
        </w:rPr>
        <w:t xml:space="preserve">абель КИПвЭВнг(А)-LS 2х2х0,78 </w:t>
      </w:r>
      <w:r>
        <w:rPr>
          <w:bCs/>
          <w:color w:val="000000"/>
          <w:sz w:val="24"/>
          <w:szCs w:val="24"/>
        </w:rPr>
        <w:t>или эквивалент</w:t>
      </w:r>
      <w:r>
        <w:rPr>
          <w:bCs/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кабеля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КИПвЭВнг(А)-LS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медных жил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2х2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медных жил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 мм2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Описание кабеля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Симметричный интерфейсный кабель, предназначенный для систем распределённого сбора данных с промышленным интерфейсом RS-485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Температура окружающей среды: -10…+60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транспорта.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Совместно с кабелем должна идти следующая информация: марка, завод-изготовитель, длина.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10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 Требования к продукции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№2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Устройство коммутационное УК-ВК исп.14. </w:t>
      </w: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Релейный усилитель на два сигнала для целей пожарной сигнализации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Входной ток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напряжение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ток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Крепление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Возможность крепления на DIN рейку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Температура окружающей среды: -30…+50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Не менее 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18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коммутационное УК-ВК исп.14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3.3 Требования к продукции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3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И</w:t>
      </w:r>
      <w:r>
        <w:rPr>
          <w:color w:val="000000" w:themeColor="text1"/>
          <w:sz w:val="24"/>
          <w:szCs w:val="24"/>
        </w:rPr>
        <w:t>звещатель пожарный ручной ИПР-Кск (ИОПР513/101-1) "При пожаре"</w:t>
      </w:r>
      <w:r>
        <w:rPr>
          <w:color w:val="000000"/>
          <w:sz w:val="24"/>
          <w:szCs w:val="24"/>
        </w:rPr>
        <w:t xml:space="preserve">. </w:t>
      </w: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 w:themeColor="text1"/>
                <w:sz w:val="24"/>
                <w:szCs w:val="24"/>
              </w:rPr>
              <w:t>звещатель пожарный ручной "При пожаре".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 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Световая индикация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Присутствует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подключаемых приборов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исполнительных выходов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Пластик, IP41, для настенного монтажа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-15…+50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 w:themeColor="text1"/>
                <w:sz w:val="24"/>
                <w:szCs w:val="24"/>
              </w:rPr>
              <w:t>звещатель пожарный ручной ИПР-Кск (ИОПР513/101-1) "При пожаре"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3.4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4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Аккумуляторная батарея Delta DTM 1212 (12V / 12Ah)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Ёмкость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F2(FASTON (зажим) 6.35 мм)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Д*Ш*В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(ДхШхВ): 98 х 151 х 101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0…+40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3.5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5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Аккумуляторная батарея Delta DTM 12045 (12V / 4,5Ah)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Ёмкость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Ач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F1(FASTON (зажим) 4.75 мм)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Д*Ш*В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(ДхШхВ): 70 х 90 х 101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0…+40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3.6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6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Резистор постоянный металлопленочный 1,5 кОм, 0,25 Вт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Резистор постоянный металлопленочный типа C2-C3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 сопротивление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кОм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 выдерживаемая мощность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 Вт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рабочее напряжение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отверстие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Цветная кодировка номинала, луженые выводы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-55…+155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3.7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7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Аккумуляторная батарея Delta DTM 12022 (12V / 2,2Ah)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12B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Ёмкость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 Ач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F1(FASTON (зажим) 4.75 мм)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Д*Ш*В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(ДхШхВ): 178 х 35х 97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0…+40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3.8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8 Таблицы 1.1):</w:t>
      </w:r>
      <w:r>
        <w:rPr>
          <w:color w:val="000000" w:themeColor="text1"/>
          <w:sz w:val="24"/>
          <w:szCs w:val="24"/>
        </w:rPr>
        <w:t xml:space="preserve"> Преобразователь давления измерительный АИР-10Н-ДГ-1540/Зонд27/P20/12V/t2570/А01/0…15000 мм вод.ст./IP68/ГП/ТУ 4212-029-13282997-09 </w:t>
      </w:r>
      <w:r>
        <w:rPr>
          <w:b/>
          <w:bCs/>
          <w:i/>
          <w:iCs/>
          <w:color w:val="000000" w:themeColor="text1"/>
          <w:sz w:val="24"/>
          <w:szCs w:val="24"/>
        </w:rPr>
        <w:t>или эквивалент</w:t>
      </w:r>
      <w:r>
        <w:rPr>
          <w:b/>
          <w:bCs/>
          <w:i/>
          <w:iCs/>
          <w:sz w:val="24"/>
          <w:szCs w:val="24"/>
        </w:rPr>
        <w:t>¹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6" w:type="dxa"/>
        <w:jc w:val="left"/>
        <w:tblInd w:w="15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93"/>
        <w:gridCol w:w="8"/>
        <w:gridCol w:w="2153"/>
        <w:gridCol w:w="3223"/>
        <w:gridCol w:w="3008"/>
        <w:gridCol w:w="3680"/>
        <w:gridCol w:w="3010"/>
      </w:tblGrid>
      <w:tr>
        <w:trPr/>
        <w:tc>
          <w:tcPr>
            <w:tcW w:w="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6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 w:right="51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15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22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параметры эквивалентности</w:t>
            </w:r>
          </w:p>
          <w:p>
            <w:pPr>
              <w:pStyle w:val="Normal"/>
              <w:widowControl w:val="false"/>
              <w:ind w:hanging="0"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 измеряемого давления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гидростатическое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Диапазон измерений (установленный)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0...15000 мм вод. ст.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Диаметр погружного зонда, не более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27 мм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1.4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Исполнение по материалам,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мембрана – нержавеющая сталь </w:t>
            </w:r>
            <w:r>
              <w:rPr>
                <w:sz w:val="24"/>
                <w:szCs w:val="24"/>
              </w:rPr>
              <w:t>03Х17Н14М3 (316L)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корпус - нержавеющая сталь</w:t>
            </w:r>
          </w:p>
          <w:p>
            <w:pPr>
              <w:pStyle w:val="Default"/>
              <w:widowControl w:val="false"/>
              <w:rPr/>
            </w:pPr>
            <w:r>
              <w:rPr/>
              <w:t>12Х18Н10Т</w:t>
            </w:r>
            <w:r>
              <w:rPr>
                <w:color w:val="000000" w:themeColor="text1"/>
              </w:rPr>
              <w:t>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оболочка кабеля – фторопласт;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уплотнительные кольца – витон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Климатическое исполнение,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-25°С до +70°С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Предел допускаемой основной приведенной погрешности, не хуже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Выходной сигнал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4…20 мА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Длина «мокрого» кабеля, не менее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 м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1.9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Степень защиты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IP68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Межповерочный интервал, не менее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Место поставки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ind w:hanging="0"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гарантии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гарантии на оборудование должен составлять не менее 12 месяцев с даты ввода оборудования в эксплуатацию (подписания Акта приемки)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38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Предоставить в объеме поставки документацию на русском языке:</w:t>
            </w:r>
          </w:p>
          <w:p>
            <w:pPr>
              <w:pStyle w:val="ListParagraph"/>
              <w:widowControl w:val="false"/>
              <w:ind w:hanging="0" w:left="57"/>
              <w:jc w:val="both"/>
              <w:rPr/>
            </w:pPr>
            <w:r>
              <w:rPr>
                <w:color w:val="000000" w:themeColor="text1"/>
              </w:rPr>
              <w:t>1. Паспорт и(или) формуляр СИ (оригинал или электронная версия если это допускается производителем), или другой идентифицирующий СИ документ, содержащий в том числе информацию о производителе, заводской номер, дату выпуска;</w:t>
            </w:r>
          </w:p>
          <w:p>
            <w:pPr>
              <w:pStyle w:val="Normal"/>
              <w:widowControl w:val="false"/>
              <w:spacing w:before="0" w:after="0"/>
              <w:ind w:hanging="0" w:left="57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2.Руководство по эксплуатации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6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3.Действующее свидетельство (копия) об утверждении типа СИ с приложенным описанием типа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4.Действующее свидетельство о первичной поверке СИ (оригинал) или другое легитимное подтверждение прохождения СИ процедуры первичной поверки со сроком действия не менее 2/3 межповерочного интервала, на момент поставки (на каждую единицу);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 Методика поверки (бумажная или электронная версия)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216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3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3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Cs/>
          <w:color w:val="000000" w:themeColor="text1"/>
          <w:sz w:val="24"/>
          <w:szCs w:val="24"/>
        </w:rPr>
      </w:pPr>
      <w:r>
        <w:rPr>
          <w:b/>
          <w:bCs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3.9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9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Манометр технический показывающий стандартного исполнения с корпусом диаметром 160 мм из нержавеющей стали МП4-УУХЛ1 - 4 МПа (огр.черта 2 МПа) - 1,5 - Св.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Манометр технический показывающий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давлений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до 4 МПа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корпуса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IP40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-50…+60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Манометр технический показывающий стандартного исполнения с корпусом диаметром 160 мм из нержавеющей стали МП4-УУХЛ1 - 4 МПа (огр.черта 2 МПа) - 1,5 - Св.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3.10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10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Ключ управления 4G25-202-U-S1 apator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Переключатель кулачковый для щитов и шкафов управления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срок, лет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полюсов, шт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длительной нагрузки,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номинальное рабочее напряжение В переменного тока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положений переключателя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нулевого положения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крепления (монтажа)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Винт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возвратной пружиной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подключения кабелей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Винтовое соединеие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Встроенное устройство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эксплуатации, климатическое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Ключ управления 4G25-202-U-S1 apator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3.11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11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Блок питания SDR-120-24 однофазный 24 В с блок-контактом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однофазный импульсный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напряжение,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ток, 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Мощность, Вт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механической подстройки выходного напряжения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Однофазное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переменого входного напряжения не менее,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88...264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входного постоянного напряжения не менее,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124...370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Встроенные защиты: от короткого замыкания, перегрузки, перенапряжения, перегрева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для установку на рейку DIN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-25...+70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питания SDR-120-24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3.12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12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Блок питания TDR-240-24 трехфазный 24 В с блок-контактом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трехфазный импульсный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напряжение,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ток, 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Мощность, Вт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механической подстройки выходного напряжения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Трехфазное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переменого входного напряжения не менее,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340...550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входного постоянного напряжения не менее,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47...480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Встроенные защиты: от короткого замыкания, перегрузки, перенапряжения, перегрева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для установку на рейку DIN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-30...+70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питания TDR-240-24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3.13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13 Таблицы 1.1):</w:t>
      </w:r>
      <w:r>
        <w:rPr>
          <w:color w:val="000000"/>
          <w:sz w:val="24"/>
          <w:szCs w:val="24"/>
        </w:rPr>
        <w:t xml:space="preserve">  Блок питания TRACO POWER TMP 30512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TMP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постоянное напряжения на первом выходе,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постоянный ток на первом выходе, мА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постоянное напряжения на втором выходе,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постоянный ток на втором выходе,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постоянное напряжения на третьем выходе,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постоянный ток на третьем выходе,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Пиковая выходная мощность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Вт, 550 — 330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Однофазное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Встроенные защиты: от короткого замыкания, перегрузки, перенапряжения, перегрева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PCB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-25...+70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питания TRACO POWER TMP 30512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3.14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14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Блок питания KAM1524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KAM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Выходная мощность, Вт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Выходное постоянное напряжение,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ток,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входного переменного напряжения,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85 - 265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выходного постоянного напряжения,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120 - 370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выходная, Вт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Встроенные защиты: от короткого замыкания, перегрузки, перенапряжения, перегрева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PCB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-25...+50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питания КАМ1524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3.15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15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Мастика герметизирующая МГКП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Мастика герметизирующая для кабельных проходок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Однокомпонентная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сохранением пластичности в течении срока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сохранением дымо- и газонепроницаемости в течении срока эксплуатации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Герметизация горизонтальных и вертикальных проходок трубчатого и коробчатого сечения максимального размера не менее 100мм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вдоль одной из осей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Температурный диапазон эксплуатации без потери герметизирующих свойств,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-50...+70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Мастика герметизирующая МГКП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3.16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16 Таблицы 1.1):</w:t>
      </w:r>
      <w:r>
        <w:rPr>
          <w:color w:val="000000" w:themeColor="text1"/>
          <w:sz w:val="24"/>
          <w:szCs w:val="24"/>
        </w:rPr>
        <w:t xml:space="preserve">  Б</w:t>
      </w:r>
      <w:r>
        <w:rPr>
          <w:color w:val="000000"/>
          <w:sz w:val="24"/>
          <w:szCs w:val="24"/>
        </w:rPr>
        <w:t>лок испытательный базовый с рабочей крышкой БИЭЛ-9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испытательный базовый модульный для возможности замыкания вторичной обмотки ТТ с защитой от прикосновения к токоведущим частям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установки перемычек с передней стороны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контактов, шт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Макимальное напряжение,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разъемов, мм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 выдерживаемый ток,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подключаемых проводов, мм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0,75 — 10 или 0,75 — 6 для многожильных проводов с наконечником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 в стенке шкафа или монтажной панели ШхВ, мм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 х 116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испытательный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возможности замыкания вторичной обмотки ТТ на 9 контактов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</w:rPr>
              <w:t>лок испытательный базовый с рабочей крышкой БИЭЛ-9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3.17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17 Таблицы 1.1):</w:t>
      </w:r>
      <w:r>
        <w:rPr>
          <w:color w:val="000000" w:themeColor="text1"/>
          <w:sz w:val="24"/>
          <w:szCs w:val="24"/>
        </w:rPr>
        <w:t xml:space="preserve">  Б</w:t>
      </w:r>
      <w:r>
        <w:rPr>
          <w:color w:val="000000"/>
          <w:sz w:val="24"/>
          <w:szCs w:val="24"/>
        </w:rPr>
        <w:t>лок испытательный базовый с рабочей крышкой БИЭЛ-5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испытательный базовый модульный для возможности замыкания вторичной обмотки ТТ с защитой от прикосновения к токоведущим частям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установки перемычек с передней стороны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контактов, шт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Макимальное напряжение,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разъемов, мм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 выдерживаемый ток,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подключаемых проводов, мм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0,75 — 10 или 0,75 — 6 для многожильных проводов с наконечником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 в стенке шкафа или монтажной панели ШхВ, мм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 х 83,8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испытательный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возможности замыкания вторичной обмотки ТТ на 9 контактов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</w:rPr>
              <w:t>лок испытательный базовый с рабочей крышкой БИЭЛ-5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3.18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18 Таблицы 1.1):</w:t>
      </w:r>
      <w:r>
        <w:rPr>
          <w:color w:val="000000" w:themeColor="text1"/>
          <w:sz w:val="24"/>
          <w:szCs w:val="24"/>
        </w:rPr>
        <w:t xml:space="preserve">  Крышка контрольная </w:t>
      </w:r>
      <w:r>
        <w:rPr>
          <w:color w:val="000000"/>
          <w:sz w:val="24"/>
          <w:szCs w:val="24"/>
        </w:rPr>
        <w:t>БИЭЛ КК-9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Крышка контрольная с установленными тестовыми гнёздами для блока испытательного базового модульного БИЭЛ-9 или эквивалента, выбранного в таблице 3.21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Крышка контрольная с установленными тестовыми гнёздами для блока испытательного базового модульного БИЭЛ-9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3.19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19 Таблицы 1.1):</w:t>
      </w:r>
      <w:r>
        <w:rPr>
          <w:color w:val="000000" w:themeColor="text1"/>
          <w:sz w:val="24"/>
          <w:szCs w:val="24"/>
        </w:rPr>
        <w:t xml:space="preserve">  Крышка контрольная </w:t>
      </w:r>
      <w:r>
        <w:rPr>
          <w:color w:val="000000"/>
          <w:sz w:val="24"/>
          <w:szCs w:val="24"/>
        </w:rPr>
        <w:t>БИЭЛ КК-5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Крышка контрольная с установленными тестовыми гнёздами для блока испытательного базового модульного БИЭЛ-5 или эквивалента, выбранного в таблице 3.21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Крышка контрольная с установленными тестовыми гнёздами для блока испытательного базового модульного БИЭЛ-5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3.20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20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Перемычка штекерная Elkey ББ 2-8 для блока испытательного БИЭЛ-9 (БИЭЛ-5)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Перемычка штекерная для блока испытательного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контактов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с шагом между контактами 8,2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Штекерная перемычка для блока базового БИЭЛ-9 (БИЭЛ-5)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3.21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21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Перемычка штекерная Elkey ББ 4-8 для блока испытательного БИЭЛ-9 (БИЭЛ-5)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Перемычка штекерная для блока испытательного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контактов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с шагом между контактами 8,2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Штекерная перемычка для блока базового БИЭЛ-9 (БИЭЛ-5)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3.22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22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Перемычка штекерная Elkey ББ 5-8 для блока испытательного БИЭЛ-9 (БИЭЛ-5)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Перемычка штекерная для блока испытательного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контактов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с шагом между контактами 8,2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стойкости к горению по ГОСТ 28157-89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ПВ-0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Штекерная перемычка для блока базового БИЭЛ-9 (БИЭЛ-5)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 3.23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23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  <w:u w:val="single"/>
        </w:rPr>
        <w:t>Э2601 Блок индикации ЭКРА.656116.515 (для терминалов с ПО v6)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tbl>
      <w:tblPr>
        <w:tblW w:w="1587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2124"/>
        <w:gridCol w:w="3263"/>
        <w:gridCol w:w="2974"/>
        <w:gridCol w:w="3688"/>
        <w:gridCol w:w="2975"/>
      </w:tblGrid>
      <w:tr>
        <w:trPr/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26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Диагональ блока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 дюймов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Э2601 Блок индикации ЭКРА.656116.515 (для терминалов с ПО v6)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3.24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24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  <w:u w:val="single"/>
        </w:rPr>
        <w:t>Плата логики Л2516 ЭКРА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tbl>
      <w:tblPr>
        <w:tblW w:w="1587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22"/>
        <w:gridCol w:w="2102"/>
        <w:gridCol w:w="51"/>
        <w:gridCol w:w="3212"/>
        <w:gridCol w:w="2974"/>
        <w:gridCol w:w="3688"/>
        <w:gridCol w:w="2975"/>
      </w:tblGrid>
      <w:tr>
        <w:trPr/>
        <w:tc>
          <w:tcPr>
            <w:tcW w:w="8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15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2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36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 с интерфейсными блоками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Д2691А; Д2691А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38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Блок индикации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3.25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25 Таблицы 1.1):</w:t>
      </w:r>
      <w:r>
        <w:rPr>
          <w:color w:val="000000" w:themeColor="text1"/>
          <w:sz w:val="24"/>
          <w:szCs w:val="24"/>
        </w:rPr>
        <w:t xml:space="preserve"> Плата управления блока </w:t>
      </w:r>
      <w:r>
        <w:rPr>
          <w:bCs/>
          <w:color w:val="000000" w:themeColor="text1"/>
          <w:sz w:val="24"/>
          <w:szCs w:val="24"/>
          <w:u w:val="single"/>
        </w:rPr>
        <w:t>Д253 ЭКРА. 301411.213</w:t>
      </w:r>
    </w:p>
    <w:p>
      <w:pPr>
        <w:pStyle w:val="Normal"/>
        <w:jc w:val="both"/>
        <w:rPr/>
      </w:pP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tbl>
      <w:tblPr>
        <w:tblW w:w="1587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22"/>
        <w:gridCol w:w="2102"/>
        <w:gridCol w:w="51"/>
        <w:gridCol w:w="3212"/>
        <w:gridCol w:w="2974"/>
        <w:gridCol w:w="3688"/>
        <w:gridCol w:w="2975"/>
      </w:tblGrid>
      <w:tr>
        <w:trPr/>
        <w:tc>
          <w:tcPr>
            <w:tcW w:w="8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15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2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36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 с интерфейсными блоками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Д25345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38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3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Блок индикации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3.26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26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Радоповторитель интерфейсов С2000-РПИ ИСП.02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Радиоповторитель интерфейсов пожарный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частот, МГц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866.0…868.0; 868.0…868.2; 868.7…869.2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рабочих частотных каналов не менее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Излучаемая мощность не менее, мВт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Дальность связи в прямой видимости не менее, 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Разъем для подключения антенны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RP-SMA (famale)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Внешние интерфейсы RS-485, шт.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входов питания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напряжений питания,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 … 28.4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PCB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-30...+50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Радоповторитель интерфейсов С2000-РПИ ИСП.02;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Антенна 868 МГц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3.27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27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Модуль порошкового пожаротушения с комбинированным запуском БУРАН-2,5(2С)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порошкового пожаротушения пожаров класса А, В, С и электрооборудования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огнетушащего порошка типа АБС, кг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1,95 +/- 0,05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Огнетушащая способность при тушении очагов пожаров класса А до,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Огнетушащая способность при тушении очагов пожаров класса В до,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Пороговое значение температуры в режиме самозапуска до,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180+/- 10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пусковой ток не более,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Длительность электроимпульса не менее, с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срабатывания в режиме электрозапуска не более, с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действия не более, с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безотказного срабатывания не  менее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монтажа на стену, потолок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-50...+50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порошкового пожаротушения с комбинированным запуском БУРАН-2,5(2С) с кронштейном крепления — 1 шт;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крепежный штифт — 2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крепежная планка —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 руководство по эксплуатации (на каждый модуль)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3.28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28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Конрольно-пусковой блок С2000-КПБ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Контрольно-пусковой блок для работы в составе систем охранно-пожарной сигнализации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выходов не менее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Коммутируемый ток не менее, 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Коммутируемый ток одного выхода, 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0,005 … 2,5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контроля исправности цепей не более,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шлейфов сигнализации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Сопротивление проводов (шлейфов сигнализации) без учета выносного элемента не более, Ом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Коммутируемое напряжение не менее,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12/24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Разъем для подключения антенны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RP-SMA (famale)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Внешние интерфейсы RS-485, шт.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входов питания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напряжений питания,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 … 28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монтажа на стену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-30...+55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Радоповторитель интерфейсов С2000-РПИ ИСП.02;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Антенна 868 МГц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3.29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29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Оповещатель пожарный световой с встроенным звуковым оповещением Молния-24-3 «Порошок уходи»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Оповещатель пожарный световой с встроенным звуковым оповещением  «Порошок уходи»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звукового давления встроенной сирены, дБ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 постоянного тока,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потребления максимальный,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монтажа на стену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-30...+55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Степерь защиты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IP52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Оповещатель пожарный световой с встроенным звуковым оповещением Молния-24-3  «Порошок уходи»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3.30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30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Сирена уличная Марс 24-КУ (Оповещатель охранно-пожарный комбинированный Марс24</w:t>
      </w:r>
      <w:r>
        <w:rPr>
          <w:color w:val="000000"/>
          <w:sz w:val="24"/>
          <w:szCs w:val="24"/>
          <w:shd w:fill="FFFF00" w:val="clear"/>
        </w:rPr>
        <w:t>-</w:t>
      </w:r>
      <w:r>
        <w:rPr>
          <w:color w:val="000000"/>
          <w:sz w:val="24"/>
          <w:szCs w:val="24"/>
        </w:rPr>
        <w:t>КУ)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Сирена уличная охранно-пожарной сигнализации комбинировання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свечения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звукового давления встроенной сирены, дБ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 постоянного тока,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потребления максимальный в режиме «свет»,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потребления максимальный в режиме «звук»,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монтажа на стену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-30...+55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Степерь защиты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IP52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Сирена уличная Марс 24-КУ (Оповещатель охранно-пожарный комбинированный Марс24-КУ)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3.31 Требования к продукции</w:t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</w:t>
      </w:r>
      <w:r>
        <w:rPr>
          <w:b/>
          <w:bCs/>
          <w:i/>
          <w:iCs/>
          <w:color w:val="000000" w:themeColor="text1"/>
          <w:sz w:val="24"/>
          <w:szCs w:val="24"/>
          <w:shd w:fill="FFFF00" w:val="clear"/>
        </w:rPr>
        <w:t xml:space="preserve">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31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Реле времени (таймер) 240В AC/DC 2CO 12А 0.05с…10дн.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877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7"/>
        <w:gridCol w:w="3234"/>
        <w:gridCol w:w="4263"/>
        <w:gridCol w:w="2942"/>
        <w:gridCol w:w="2496"/>
        <w:gridCol w:w="2324"/>
      </w:tblGrid>
      <w:tr>
        <w:trPr/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Реле времени мультифункциональное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 коммутируемый ток не менее, А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питания цепи управления переменного тока при 50 Гц, В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питания цепи управления перемен. тока АС при 50 Гц, В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питания цепи управления постоянного тока, В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питания цепи управления постоянного тока DC с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времени, с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0...10 дней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 дискретности по времени, с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выходов с задержкой, переключающий контакт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Функция задержки при отключении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Функция задержки при включении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Функция мигания начинается с импульса, фиксированное время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Функция формирования импульсов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PCB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диапазон температур не менее, градусов 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-25...+50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24 месяцев с даты подписания Сторонами накладной ТОРГ-12(УПД)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питания КАМ1524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76" w:type="dxa"/>
            <w:gridSpan w:val="6"/>
            <w:tcBorders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¹ </w:t>
            </w:r>
            <w:bookmarkStart w:id="23" w:name="_Hlk6880692811"/>
            <w:r>
              <w:rPr>
                <w:sz w:val="24"/>
                <w:szCs w:val="24"/>
              </w:rPr>
              <w:t xml:space="preserve">Указанные в настоящем ТТ ссылки на ТУ, марку (тип) продукции носят описательный, а не обязательный характер. </w:t>
            </w:r>
            <w:bookmarkEnd w:id="23"/>
            <w:r>
              <w:rPr>
                <w:sz w:val="24"/>
                <w:szCs w:val="24"/>
              </w:rPr>
      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эквивалентности».</w:t>
            </w:r>
          </w:p>
          <w:p>
            <w:pPr>
              <w:pStyle w:val="Normal"/>
              <w:widowControl w:val="false"/>
              <w:ind w:firstLine="720"/>
              <w:rPr>
                <w:rStyle w:val="Style13"/>
                <w:b w:val="false"/>
                <w:iCs/>
              </w:rPr>
            </w:pPr>
            <w:r>
              <w:rPr>
                <w:rFonts w:eastAsia="Calibri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</w:t>
            </w:r>
            <w:bookmarkStart w:id="24" w:name="_Toc7544658111"/>
            <w:bookmarkStart w:id="25" w:name="_Toc754465813"/>
            <w:bookmarkEnd w:id="24"/>
            <w:bookmarkEnd w:id="25"/>
            <w:r>
              <w:rPr>
                <w:rFonts w:eastAsia="Calibri"/>
              </w:rPr>
              <w:t>ам эксплуатации.</w:t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orient="landscape" w:w="16838" w:h="11906"/>
          <w:pgMar w:left="567" w:right="567" w:gutter="0" w:header="0" w:top="1418" w:footer="850" w:bottom="1366"/>
          <w:pgNumType w:start="7" w:fmt="decimal"/>
          <w:formProt w:val="false"/>
          <w:textDirection w:val="lrTb"/>
          <w:docGrid w:type="default" w:linePitch="100" w:charSpace="32768"/>
        </w:sectPr>
      </w:pPr>
    </w:p>
    <w:p>
      <w:pPr>
        <w:pStyle w:val="Heading1"/>
        <w:keepLines/>
        <w:spacing w:before="0" w:after="120"/>
        <w:ind w:hanging="0" w:left="357"/>
        <w:jc w:val="center"/>
        <w:rPr>
          <w:bCs/>
          <w:sz w:val="24"/>
          <w:szCs w:val="24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bookmarkStart w:id="26" w:name="_Toc75446583"/>
      <w:bookmarkStart w:id="27" w:name="_Toc53393312"/>
      <w:r>
        <w:rPr>
          <w:sz w:val="28"/>
          <w:szCs w:val="28"/>
        </w:rPr>
        <w:t>Требования к документации по ценообразованию</w:t>
      </w:r>
      <w:bookmarkEnd w:id="27"/>
      <w:r>
        <w:rPr>
          <w:sz w:val="28"/>
          <w:szCs w:val="28"/>
        </w:rPr>
        <w:t xml:space="preserve"> на этапе закупки</w:t>
      </w:r>
      <w:bookmarkEnd w:id="26"/>
    </w:p>
    <w:p>
      <w:pPr>
        <w:pStyle w:val="Normal"/>
        <w:numPr>
          <w:ilvl w:val="1"/>
          <w:numId w:val="4"/>
        </w:numPr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28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28"/>
      <w:r>
        <w:rPr>
          <w:bCs/>
          <w:i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  <w:bookmarkStart w:id="29" w:name="_GoBack"/>
      <w:bookmarkStart w:id="30" w:name="_GoBack"/>
      <w:bookmarkEnd w:id="30"/>
    </w:p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w="11906" w:h="16838"/>
      <w:pgMar w:left="1417" w:right="567" w:gutter="0" w:header="0" w:top="550" w:footer="850" w:bottom="1366"/>
      <w:pgNumType w:start="12" w:fmt="decimal"/>
      <w:formProt w:val="false"/>
      <w:textDirection w:val="lrTb"/>
      <w:docGrid w:type="default" w:linePitch="272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sz w:val="24"/>
        <w:szCs w:val="24"/>
        <w:color w:val="000000"/>
      </w:rPr>
      <w:instrText xml:space="preserve"> PAGE </w:instrText>
    </w:r>
    <w:r>
      <w:rPr>
        <w:sz w:val="24"/>
        <w:szCs w:val="24"/>
        <w:color w:val="000000"/>
      </w:rPr>
      <w:fldChar w:fldCharType="separate"/>
    </w:r>
    <w:r>
      <w:rPr>
        <w:sz w:val="24"/>
        <w:szCs w:val="24"/>
        <w:color w:val="000000"/>
      </w:rPr>
      <w:t>2</w:t>
    </w:r>
    <w:r>
      <w:rPr>
        <w:sz w:val="24"/>
        <w:szCs w:val="24"/>
        <w:color w:val="000000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sz w:val="24"/>
        <w:szCs w:val="24"/>
        <w:color w:val="000000"/>
      </w:rPr>
      <w:instrText xml:space="preserve"> PAGE </w:instrText>
    </w:r>
    <w:r>
      <w:rPr>
        <w:sz w:val="24"/>
        <w:szCs w:val="24"/>
        <w:color w:val="000000"/>
      </w:rPr>
      <w:fldChar w:fldCharType="separate"/>
    </w:r>
    <w:r>
      <w:rPr>
        <w:sz w:val="24"/>
        <w:szCs w:val="24"/>
        <w:color w:val="000000"/>
      </w:rPr>
      <w:t>3</w:t>
    </w:r>
    <w:r>
      <w:rPr>
        <w:sz w:val="24"/>
        <w:szCs w:val="24"/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6</w:t>
    </w:r>
    <w:r>
      <w:rPr>
        <w:sz w:val="24"/>
        <w:szCs w:val="24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5307634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103</w:t>
        </w:r>
        <w:r>
          <w:rPr/>
          <w:fldChar w:fldCharType="end"/>
        </w:r>
      </w:p>
    </w:sdtContent>
  </w:sdt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>104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12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7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3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2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outlineLvl w:val="0"/>
    </w:pPr>
    <w:rPr>
      <w:b/>
    </w:rPr>
  </w:style>
  <w:style w:type="paragraph" w:styleId="Heading2">
    <w:name w:val="Heading 2"/>
    <w:basedOn w:val="Normal"/>
    <w:link w:val="2"/>
    <w:uiPriority w:val="9"/>
    <w:unhideWhenUsed/>
    <w:qFormat/>
    <w:pPr>
      <w:spacing w:before="280" w:after="2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uiPriority w:val="9"/>
    <w:unhideWhenUsed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uiPriority w:val="99"/>
    <w:unhideWhenUsed/>
    <w:rsid w:val="00c34b10"/>
    <w:rPr>
      <w:color w:val="0563C1" w:themeColor="hyperlink"/>
      <w:u w:val="single"/>
    </w:rPr>
  </w:style>
  <w:style w:type="character" w:styleId="Style5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4" w:customStyle="1">
    <w:name w:val="Стиль4 Знак"/>
    <w:link w:val="41"/>
    <w:qFormat/>
    <w:rPr>
      <w:bCs/>
      <w:color w:val="000000"/>
      <w:sz w:val="22"/>
      <w:szCs w:val="22"/>
      <w:shd w:fill="FFFFFF" w:val="clear"/>
    </w:rPr>
  </w:style>
  <w:style w:type="character" w:styleId="Style6" w:customStyle="1">
    <w:name w:val="Основной текст Знак"/>
    <w:qFormat/>
    <w:rPr>
      <w:sz w:val="22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Pr/>
  </w:style>
  <w:style w:type="character" w:styleId="Style8" w:customStyle="1">
    <w:name w:val="Тема примечания Знак"/>
    <w:link w:val="Annotationsubject"/>
    <w:qFormat/>
    <w:rPr>
      <w:b/>
      <w:bCs/>
    </w:rPr>
  </w:style>
  <w:style w:type="character" w:styleId="Style9" w:customStyle="1">
    <w:name w:val="Верхний колонтитул Знак"/>
    <w:basedOn w:val="DefaultParagraphFont"/>
    <w:qFormat/>
    <w:rPr/>
  </w:style>
  <w:style w:type="character" w:styleId="Apple-converted-space" w:customStyle="1">
    <w:name w:val="apple-converted-space"/>
    <w:qFormat/>
    <w:rPr/>
  </w:style>
  <w:style w:type="character" w:styleId="2" w:customStyle="1">
    <w:name w:val="Заголовок 2 Знак"/>
    <w:qFormat/>
    <w:rPr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3" w:customStyle="1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5617ab"/>
    <w:rPr>
      <w:color w:val="954F72" w:themeColor="followedHyperlink"/>
      <w:u w:val="single"/>
    </w:rPr>
  </w:style>
  <w:style w:type="character" w:styleId="Style10" w:customStyle="1">
    <w:name w:val="Текст сноски Знак"/>
    <w:basedOn w:val="DefaultParagraphFont"/>
    <w:qFormat/>
    <w:rPr/>
  </w:style>
  <w:style w:type="character" w:styleId="Style1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Style12" w:customStyle="1">
    <w:name w:val="Нижний колонтитул Знак"/>
    <w:basedOn w:val="DefaultParagraphFont"/>
    <w:uiPriority w:val="99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11" w:customStyle="1">
    <w:name w:val="Номер строки1"/>
    <w:qFormat/>
    <w:rPr/>
  </w:style>
  <w:style w:type="character" w:styleId="Style14" w:customStyle="1">
    <w:name w:val="Символ нумерации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12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2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2"/>
    <w:qFormat/>
    <w:pPr/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NormalWeb">
    <w:name w:val="Normal (Web)"/>
    <w:basedOn w:val="Normal"/>
    <w:qFormat/>
    <w:pPr>
      <w:spacing w:before="280" w:after="280"/>
      <w:ind w:hanging="0" w:right="150"/>
    </w:pPr>
    <w:rPr>
      <w:rFonts w:ascii="Tahoma" w:hAnsi="Tahoma" w:cs="Tahoma"/>
      <w:color w:val="000000"/>
    </w:rPr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2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348" w:leader="dot"/>
      </w:tabs>
    </w:pPr>
    <w:rPr>
      <w:bCs/>
      <w:sz w:val="24"/>
      <w:szCs w:val="24"/>
    </w:rPr>
  </w:style>
  <w:style w:type="paragraph" w:styleId="BalloonText">
    <w:name w:val="Balloon Text"/>
    <w:basedOn w:val="Normal"/>
    <w:link w:val="Style5"/>
    <w:qFormat/>
    <w:pPr/>
    <w:rPr>
      <w:rFonts w:ascii="Tahoma" w:hAnsi="Tahoma" w:cs="Tahoma"/>
      <w:sz w:val="16"/>
      <w:szCs w:val="16"/>
    </w:rPr>
  </w:style>
  <w:style w:type="paragraph" w:styleId="13" w:customStyle="1">
    <w:name w:val="Стиль1"/>
    <w:basedOn w:val="Normal"/>
    <w:qFormat/>
    <w:pPr>
      <w:numPr>
        <w:ilvl w:val="0"/>
        <w:numId w:val="1"/>
      </w:numPr>
      <w:shd w:val="clear" w:color="auto" w:fill="FFFFFF"/>
      <w:tabs>
        <w:tab w:val="clear" w:pos="708"/>
        <w:tab w:val="left" w:pos="426" w:leader="none"/>
      </w:tabs>
      <w:spacing w:before="120" w:after="60"/>
      <w:ind w:hanging="0" w:left="0"/>
      <w:jc w:val="center"/>
    </w:pPr>
    <w:rPr>
      <w:b/>
      <w:bCs/>
      <w:color w:val="000000"/>
      <w:sz w:val="22"/>
      <w:szCs w:val="22"/>
    </w:rPr>
  </w:style>
  <w:style w:type="paragraph" w:styleId="41" w:customStyle="1">
    <w:name w:val="Стиль4"/>
    <w:basedOn w:val="13"/>
    <w:link w:val="4"/>
    <w:qFormat/>
    <w:pPr>
      <w:tabs>
        <w:tab w:val="clear" w:pos="426"/>
        <w:tab w:val="left" w:pos="709" w:leader="none"/>
      </w:tabs>
      <w:spacing w:before="0" w:after="0"/>
      <w:jc w:val="both"/>
    </w:pPr>
    <w:rPr>
      <w:b w:val="false"/>
    </w:rPr>
  </w:style>
  <w:style w:type="paragraph" w:styleId="5" w:customStyle="1">
    <w:name w:val="Стиль5"/>
    <w:basedOn w:val="41"/>
    <w:qFormat/>
    <w:pPr>
      <w:tabs>
        <w:tab w:val="clear" w:pos="709"/>
        <w:tab w:val="left" w:pos="360" w:leader="none"/>
        <w:tab w:val="left" w:pos="851" w:leader="none"/>
        <w:tab w:val="left" w:pos="1800" w:leader="none"/>
      </w:tabs>
      <w:ind w:hanging="0" w:left="142"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>
      <w:sz w:val="24"/>
      <w:szCs w:val="24"/>
    </w:rPr>
  </w:style>
  <w:style w:type="paragraph" w:styleId="Annotationtext">
    <w:name w:val="annotation text"/>
    <w:basedOn w:val="Normal"/>
    <w:link w:val="Style7"/>
    <w:qFormat/>
    <w:pPr/>
    <w:rPr/>
  </w:style>
  <w:style w:type="paragraph" w:styleId="Annotationsubject">
    <w:name w:val="annotation subject"/>
    <w:basedOn w:val="Annotationtext"/>
    <w:next w:val="Annotationtext"/>
    <w:link w:val="Style8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right" w:pos="10348" w:leader="dot"/>
      </w:tabs>
      <w:ind w:hanging="0" w:left="216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pPr>
      <w:spacing w:lineRule="auto" w:line="276" w:before="0" w:after="100"/>
      <w:ind w:hanging="0" w:left="440"/>
    </w:pPr>
    <w:rPr>
      <w:rFonts w:ascii="Calibri" w:hAnsi="Calibri"/>
      <w:sz w:val="22"/>
      <w:szCs w:val="22"/>
    </w:rPr>
  </w:style>
  <w:style w:type="paragraph" w:styleId="FootnoteText">
    <w:name w:val="Footnote Text"/>
    <w:basedOn w:val="Normal"/>
    <w:link w:val="Style10"/>
    <w:pPr/>
    <w:rPr/>
  </w:style>
  <w:style w:type="paragraph" w:styleId="Style19" w:customStyle="1">
    <w:name w:val="Содержимое врезки"/>
    <w:basedOn w:val="Normal"/>
    <w:qFormat/>
    <w:pPr/>
    <w:rPr/>
  </w:style>
  <w:style w:type="paragraph" w:styleId="Style20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Style23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EndnoteText">
    <w:name w:val="Endnote Text"/>
    <w:basedOn w:val="Normal"/>
    <w:pPr>
      <w:suppressLineNumbers/>
      <w:ind w:hanging="340" w:left="340"/>
    </w:pPr>
    <w:rPr/>
  </w:style>
  <w:style w:type="paragraph" w:styleId="Style24" w:customStyle="1">
    <w:name w:val="Содержимое списка"/>
    <w:basedOn w:val="Normal"/>
    <w:qFormat/>
    <w:pPr>
      <w:ind w:hanging="0" w:left="567"/>
    </w:pPr>
    <w:rPr/>
  </w:style>
  <w:style w:type="paragraph" w:styleId="Style25" w:customStyle="1">
    <w:name w:val="Заголовок списка"/>
    <w:basedOn w:val="Normal"/>
    <w:next w:val="Style24"/>
    <w:qFormat/>
    <w:pPr/>
    <w:rPr/>
  </w:style>
  <w:style w:type="paragraph" w:styleId="Default" w:customStyle="1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header" Target="header6.xml"/><Relationship Id="rId15" Type="http://schemas.openxmlformats.org/officeDocument/2006/relationships/header" Target="header7.xml"/><Relationship Id="rId16" Type="http://schemas.openxmlformats.org/officeDocument/2006/relationships/footer" Target="footer8.xml"/><Relationship Id="rId17" Type="http://schemas.openxmlformats.org/officeDocument/2006/relationships/footer" Target="footer9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7790</TotalTime>
  <Application>AlterOffice/2026.2.0.0$Linux_X86_64 LibreOffice_project/bc4ef1adf80b36c7a6365f8ed6cbf29021361edd</Application>
  <AppVersion>15.0000</AppVersion>
  <Pages>104</Pages>
  <Words>15097</Words>
  <Characters>99488</Characters>
  <CharactersWithSpaces>110279</CharactersWithSpaces>
  <Paragraphs>4445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2025-02-18T10:10:00Z</dcterms:created>
  <dc:creator>zaborovtsevan</dc:creator>
  <dc:description/>
  <dc:language>ru-RU</dc:language>
  <cp:lastModifiedBy>yakushevagg@corp.gidroogk.com</cp:lastModifiedBy>
  <cp:lastPrinted>2026-05-28T14:48:00Z</cp:lastPrinted>
  <dcterms:modified xsi:type="dcterms:W3CDTF">2026-11-03T11:46:47Z</dcterms:modified>
  <cp:revision>127</cp:revision>
  <dc:subject/>
  <dc:title>7-ЭКСП-БПД-2016 ТТ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  <property fmtid="{D5CDD505-2E9C-101B-9397-08002B2CF9AE}" pid="3" name="_dlc_DocId">
    <vt:lpwstr>EWZZHUPVRMST-1972618624-17000</vt:lpwstr>
  </property>
  <property fmtid="{D5CDD505-2E9C-101B-9397-08002B2CF9AE}" pid="4" name="_dlc_DocIdItemGuid">
    <vt:lpwstr>6104e6fd-6bfe-4a33-abb6-003c79e14552</vt:lpwstr>
  </property>
  <property fmtid="{D5CDD505-2E9C-101B-9397-08002B2CF9AE}" pid="5" name="_dlc_DocIdUrl">
    <vt:lpwstr>http://sr-dc-020/_layouts/15/DocIdRedir.aspx?ID=EWZZHUPVRMST-1972618624-17000, EWZZHUPVRMST-1972618624-17000</vt:lpwstr>
  </property>
</Properties>
</file>