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before="0" w:after="0"/>
        <w:contextualSpacing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center"/>
        <w:rPr>
          <w:color w:val="auto"/>
          <w:sz w:val="28"/>
          <w:szCs w:val="28"/>
        </w:rPr>
      </w:pPr>
      <w:r>
        <w:rPr>
          <w:rFonts w:eastAsia="Calibri"/>
          <w:b/>
          <w:i/>
          <w:color w:val="auto"/>
          <w:sz w:val="28"/>
          <w:szCs w:val="28"/>
        </w:rPr>
        <w:t>ОКПД2 26.40.33 Поставка видеорегистраторов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spacing w:before="0" w:after="0"/>
        <w:contextualSpacing/>
        <w:jc w:val="center"/>
        <w:rPr>
          <w:rStyle w:val="Style8"/>
          <w:rFonts w:eastAsia="Calibri"/>
          <w:color w:val="C9211E"/>
          <w:sz w:val="28"/>
          <w:szCs w:val="28"/>
          <w:shd w:fill="auto" w:val="clear"/>
        </w:rPr>
      </w:pPr>
      <w:r>
        <w:rPr>
          <w:rFonts w:eastAsia="Calibri"/>
          <w:color w:val="C9211E"/>
          <w:sz w:val="28"/>
          <w:szCs w:val="28"/>
          <w:shd w:fill="auto" w:val="clear"/>
        </w:rPr>
      </w:r>
    </w:p>
    <w:p>
      <w:pPr>
        <w:pStyle w:val="Normal"/>
        <w:keepNext w:val="true"/>
        <w:keepLines/>
        <w:spacing w:before="0" w:after="0"/>
        <w:contextualSpacing/>
        <w:jc w:val="center"/>
        <w:rPr>
          <w:rFonts w:eastAsia="Calibri"/>
          <w:b/>
          <w:i/>
          <w:i/>
          <w:color w:val="C9211E"/>
        </w:rPr>
      </w:pPr>
      <w:r>
        <w:rPr>
          <w:rFonts w:eastAsia="Calibri"/>
          <w:b/>
          <w:i/>
          <w:color w:val="C9211E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2026г.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6041_4020964711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3_4020964711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5_4020964711">
            <w:r>
              <w:rPr>
                <w:rStyle w:val="Style14"/>
              </w:rPr>
              <w:t>1.2. Наименование закупаемой продукции «Поставка запасных частей, комплектующих на содержание и эксплуатацию оборудования связи»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7_4020964711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9_4020964711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51_4020964711">
            <w:r>
              <w:rPr>
                <w:rStyle w:val="Style14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6053_4020964711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55_4020964711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6057_4020964711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6059_4020964711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61_4020964711">
            <w:r>
              <w:rPr>
                <w:rStyle w:val="Style1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6063_4020964711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103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Heading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ind w:hanging="0" w:left="5038"/>
        <w:rPr>
          <w:color w:val="C9211E"/>
        </w:rPr>
      </w:pPr>
      <w:r>
        <w:rPr>
          <w:color w:val="C9211E"/>
        </w:rPr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340" w:left="397" w:right="0"/>
        <w:jc w:val="center"/>
        <w:rPr>
          <w:color w:val="auto"/>
        </w:rPr>
      </w:pPr>
      <w:bookmarkStart w:id="0" w:name="__RefHeading___Toc76041_4020964711"/>
      <w:bookmarkStart w:id="1" w:name="_Toc51339692"/>
      <w:bookmarkStart w:id="2" w:name="_Toc161908468"/>
      <w:bookmarkEnd w:id="0"/>
      <w:r>
        <w:rPr>
          <w:color w:val="auto"/>
        </w:rPr>
        <w:t>Общие сведения</w:t>
      </w:r>
      <w:bookmarkEnd w:id="1"/>
      <w:bookmarkEnd w:id="2"/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Heading4"/>
        <w:numPr>
          <w:ilvl w:val="1"/>
          <w:numId w:val="3"/>
        </w:numPr>
        <w:rPr>
          <w:color w:val="auto"/>
          <w:sz w:val="24"/>
          <w:szCs w:val="24"/>
        </w:rPr>
      </w:pPr>
      <w:bookmarkStart w:id="3" w:name="__RefHeading___Toc76043_4020964711"/>
      <w:bookmarkStart w:id="4" w:name="_Toc161908469"/>
      <w:bookmarkStart w:id="5" w:name="_Toc46743505"/>
      <w:bookmarkEnd w:id="3"/>
      <w:r>
        <w:rPr>
          <w:color w:val="auto"/>
          <w:sz w:val="24"/>
          <w:szCs w:val="24"/>
        </w:rPr>
        <w:t>Обозначения и сокращения</w:t>
      </w:r>
      <w:bookmarkEnd w:id="4"/>
      <w:bookmarkEnd w:id="5"/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ТТ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ССИТС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>Технические требования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x-none"/>
              </w:rPr>
              <w:t>Служба связи, информационных и технологических систем</w:t>
            </w:r>
          </w:p>
        </w:tc>
      </w:tr>
    </w:tbl>
    <w:p>
      <w:pPr>
        <w:pStyle w:val="Heading4"/>
        <w:numPr>
          <w:ilvl w:val="0"/>
          <w:numId w:val="0"/>
        </w:numPr>
        <w:ind w:hanging="0" w:left="43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Heading4"/>
        <w:numPr>
          <w:ilvl w:val="1"/>
          <w:numId w:val="3"/>
        </w:numPr>
        <w:rPr>
          <w:color w:val="auto"/>
          <w:sz w:val="24"/>
          <w:szCs w:val="24"/>
        </w:rPr>
      </w:pPr>
      <w:bookmarkStart w:id="6" w:name="_Toc46743506"/>
      <w:r>
        <w:rPr>
          <w:color w:val="auto"/>
          <w:sz w:val="24"/>
          <w:szCs w:val="24"/>
        </w:rPr>
        <w:t>Наименование закупаемой продукции</w:t>
      </w:r>
      <w:bookmarkEnd w:id="6"/>
      <w:r>
        <w:rPr>
          <w:color w:val="auto"/>
          <w:sz w:val="24"/>
          <w:szCs w:val="24"/>
        </w:rPr>
        <w:t xml:space="preserve"> </w:t>
      </w:r>
    </w:p>
    <w:p>
      <w:pPr>
        <w:pStyle w:val="Heading4"/>
        <w:rPr/>
      </w:pPr>
      <w:r>
        <w:rPr>
          <w:color w:val="auto"/>
          <w:sz w:val="24"/>
          <w:szCs w:val="24"/>
        </w:rPr>
        <w:t>«</w:t>
      </w:r>
      <w:r>
        <w:rPr>
          <w:color w:val="auto"/>
          <w:sz w:val="24"/>
          <w:szCs w:val="24"/>
          <w:lang w:eastAsia="en-US"/>
        </w:rPr>
        <w:t xml:space="preserve">ОКПД2 </w:t>
      </w:r>
      <w:r>
        <w:rPr>
          <w:rFonts w:eastAsia="Calibri"/>
          <w:b/>
          <w:i/>
          <w:color w:val="auto"/>
          <w:sz w:val="24"/>
          <w:szCs w:val="24"/>
          <w:lang w:eastAsia="en-US"/>
        </w:rPr>
        <w:t xml:space="preserve">26.40.33 </w:t>
      </w:r>
      <w:r>
        <w:rPr>
          <w:color w:val="auto"/>
          <w:sz w:val="24"/>
          <w:szCs w:val="24"/>
          <w:lang w:eastAsia="en-US"/>
        </w:rPr>
        <w:t xml:space="preserve"> </w:t>
      </w:r>
      <w:r>
        <w:rPr>
          <w:color w:val="auto"/>
          <w:sz w:val="24"/>
          <w:szCs w:val="24"/>
        </w:rPr>
        <w:t>Поставка видеорегистраторов</w:t>
      </w:r>
      <w:r>
        <w:rPr>
          <w:rStyle w:val="Style8"/>
          <w:b/>
          <w:bCs w:val="false"/>
          <w:i w:val="false"/>
          <w:color w:val="000000"/>
          <w:sz w:val="24"/>
          <w:szCs w:val="24"/>
          <w:shd w:fill="auto" w:val="clear"/>
        </w:rPr>
        <w:t>»</w:t>
      </w:r>
    </w:p>
    <w:p>
      <w:pPr>
        <w:pStyle w:val="Heading4"/>
        <w:numPr>
          <w:ilvl w:val="1"/>
          <w:numId w:val="3"/>
        </w:numPr>
        <w:rPr>
          <w:color w:val="auto"/>
          <w:sz w:val="24"/>
          <w:szCs w:val="24"/>
        </w:rPr>
      </w:pPr>
      <w:bookmarkStart w:id="7" w:name="__RefHeading___Toc76047_4020964711"/>
      <w:bookmarkStart w:id="8" w:name="_Toc161908471"/>
      <w:bookmarkStart w:id="9" w:name="_Toc46743507"/>
      <w:bookmarkEnd w:id="7"/>
      <w:r>
        <w:rPr>
          <w:color w:val="auto"/>
          <w:sz w:val="24"/>
          <w:szCs w:val="24"/>
        </w:rPr>
        <w:t xml:space="preserve">Цель </w:t>
      </w:r>
      <w:bookmarkEnd w:id="9"/>
      <w:r>
        <w:rPr>
          <w:color w:val="auto"/>
          <w:sz w:val="24"/>
          <w:szCs w:val="24"/>
        </w:rPr>
        <w:t>использования закупаемой продукции</w:t>
      </w:r>
      <w:bookmarkEnd w:id="8"/>
      <w:r>
        <w:rPr>
          <w:color w:val="auto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0" w:after="120"/>
        <w:ind w:firstLine="567" w:left="0" w:right="0"/>
        <w:jc w:val="both"/>
        <w:rPr/>
      </w:pP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Основной целью является, обеспечение</w:t>
      </w:r>
      <w:r>
        <w:rPr>
          <w:rStyle w:val="Style8"/>
          <w:rFonts w:eastAsia="Calibri" w:cs="Times New Roman"/>
          <w:b w:val="false"/>
          <w:bCs/>
          <w:i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 видеорегистраторами рабочих мест персонала ГЭС.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firstLine="567" w:right="-2"/>
        <w:jc w:val="both"/>
        <w:rPr>
          <w:rStyle w:val="Style8"/>
          <w:rFonts w:eastAsia="Calibri"/>
          <w:b w:val="false"/>
          <w:bCs/>
          <w:i w:val="false"/>
          <w:i w:val="false"/>
          <w:color w:val="auto"/>
          <w:sz w:val="24"/>
          <w:szCs w:val="24"/>
          <w:shd w:fill="auto" w:val="clear"/>
        </w:rPr>
      </w:pPr>
      <w:r>
        <w:rPr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</w:r>
    </w:p>
    <w:p>
      <w:pPr>
        <w:pStyle w:val="Heading4"/>
        <w:numPr>
          <w:ilvl w:val="1"/>
          <w:numId w:val="3"/>
        </w:numPr>
        <w:rPr>
          <w:color w:val="auto"/>
          <w:sz w:val="24"/>
          <w:szCs w:val="24"/>
        </w:rPr>
      </w:pPr>
      <w:bookmarkStart w:id="10" w:name="__RefHeading___Toc76049_4020964711"/>
      <w:bookmarkStart w:id="11" w:name="_Toc161908472"/>
      <w:bookmarkStart w:id="12" w:name="_Toc46743508"/>
      <w:bookmarkEnd w:id="10"/>
      <w:r>
        <w:rPr>
          <w:color w:val="auto"/>
          <w:sz w:val="24"/>
          <w:szCs w:val="24"/>
        </w:rPr>
        <w:t>Существующее положение</w:t>
      </w:r>
      <w:bookmarkEnd w:id="11"/>
      <w:bookmarkEnd w:id="12"/>
      <w:r>
        <w:rPr>
          <w:color w:val="auto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bidi w:val="0"/>
        <w:spacing w:before="0" w:after="120"/>
        <w:ind w:firstLine="567" w:left="0" w:right="0"/>
        <w:jc w:val="both"/>
        <w:rPr/>
      </w:pP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В 2020 году на филиал ПАО «РусГидро» Камская ГЭС была закуплена система видео регистраторов для обеспечения средствами контроля и получения информационного обеспечения при расследовании причин аварий и несчастных случаев. На текущий момент данная система физически устарела, с оборудованием совместимы только оригинальные комплектующие производителя. В связи с вышеизложенным, по ряду позиций отсутствует возможность ремонта, так как данные позиции являются элементом законченного устройства и обладают уникальными параметрами и характеристиками. В связи с чем возникла необходимость закупить новую систему видеорегистраторов.</w:t>
      </w:r>
    </w:p>
    <w:p>
      <w:pPr>
        <w:pStyle w:val="Heading4"/>
        <w:numPr>
          <w:ilvl w:val="1"/>
          <w:numId w:val="3"/>
        </w:numPr>
        <w:spacing w:before="0" w:after="0"/>
        <w:ind w:hanging="0" w:left="0" w:right="0"/>
        <w:contextualSpacing/>
        <w:rPr/>
      </w:pPr>
      <w:bookmarkStart w:id="13" w:name="__RefHeading___Toc76051_4020964711"/>
      <w:bookmarkStart w:id="14" w:name="_Toc161908473"/>
      <w:bookmarkStart w:id="15" w:name="_Toc46743509"/>
      <w:bookmarkStart w:id="16" w:name="_Toc467435091"/>
      <w:bookmarkStart w:id="17" w:name="_Hlk49857604"/>
      <w:bookmarkStart w:id="18" w:name="_Hlk498576041"/>
      <w:bookmarkEnd w:id="13"/>
      <w:r>
        <w:rPr>
          <w:color w:val="auto"/>
          <w:sz w:val="24"/>
          <w:szCs w:val="24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14"/>
      <w:bookmarkEnd w:id="15"/>
      <w:bookmarkEnd w:id="16"/>
      <w:bookmarkEnd w:id="17"/>
      <w:bookmarkEnd w:id="1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ind w:hanging="0" w:left="0" w:right="0"/>
        <w:contextualSpacing/>
        <w:jc w:val="both"/>
        <w:rPr/>
      </w:pPr>
      <w:r>
        <w:rPr>
          <w:rStyle w:val="Style8"/>
          <w:rFonts w:eastAsia="Calibri"/>
          <w:bCs/>
          <w:i w:val="false"/>
          <w:color w:val="000000"/>
          <w:sz w:val="24"/>
          <w:szCs w:val="24"/>
          <w:shd w:fill="auto" w:val="clear"/>
        </w:rPr>
        <w:tab/>
        <w:tab/>
        <w:t xml:space="preserve">1.5.1. </w:t>
      </w: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Продукция поставляется одной партией.</w:t>
      </w:r>
    </w:p>
    <w:p>
      <w:pPr>
        <w:pStyle w:val="Normal"/>
        <w:spacing w:before="0" w:after="0"/>
        <w:ind w:hanging="0" w:left="0" w:right="0"/>
        <w:contextualSpacing/>
        <w:rPr/>
      </w:pPr>
      <w:r>
        <w:rPr>
          <w:b/>
          <w:bCs/>
          <w:color w:val="auto"/>
          <w:sz w:val="24"/>
          <w:szCs w:val="24"/>
        </w:rPr>
        <w:tab/>
        <w:t xml:space="preserve">1.5.2. </w:t>
      </w:r>
      <w:r>
        <w:rPr>
          <w:color w:val="auto"/>
          <w:sz w:val="24"/>
          <w:szCs w:val="24"/>
        </w:rPr>
        <w:t>Переход права собственности и риска случайной гибели продукции происходит в момент передачи продукции Покупателю (подписание товарной накладной ТОРГ-12).</w:t>
      </w:r>
    </w:p>
    <w:p>
      <w:pPr>
        <w:pStyle w:val="Normal"/>
        <w:spacing w:before="240" w:after="60"/>
        <w:rPr>
          <w:color w:val="C9211E"/>
          <w:sz w:val="24"/>
          <w:szCs w:val="24"/>
        </w:rPr>
      </w:pPr>
      <w:r>
        <w:rPr>
          <w:color w:val="C9211E"/>
          <w:sz w:val="24"/>
          <w:szCs w:val="24"/>
        </w:rPr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0" w:left="0" w:right="0"/>
        <w:jc w:val="center"/>
        <w:rPr>
          <w:color w:val="auto"/>
          <w:sz w:val="24"/>
          <w:szCs w:val="24"/>
        </w:rPr>
      </w:pPr>
      <w:bookmarkStart w:id="19" w:name="__RefHeading___Toc76053_4020964711"/>
      <w:bookmarkStart w:id="20" w:name="_Toc51339693"/>
      <w:bookmarkStart w:id="21" w:name="_Toc161908474"/>
      <w:bookmarkEnd w:id="19"/>
      <w:r>
        <w:rPr>
          <w:color w:val="auto"/>
          <w:sz w:val="24"/>
          <w:szCs w:val="24"/>
        </w:rPr>
        <w:t>Требования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rPr>
          <w:color w:val="auto"/>
          <w:sz w:val="24"/>
          <w:szCs w:val="24"/>
        </w:rPr>
      </w:pPr>
      <w:bookmarkStart w:id="22" w:name="__RefHeading___Toc76055_4020964711"/>
      <w:bookmarkStart w:id="23" w:name="_Toc161908475"/>
      <w:bookmarkEnd w:id="22"/>
      <w:r>
        <w:rPr>
          <w:color w:val="auto"/>
          <w:sz w:val="24"/>
          <w:szCs w:val="24"/>
        </w:rPr>
        <w:t>Требования к объемам и срокам поставки</w:t>
      </w:r>
      <w:bookmarkEnd w:id="23"/>
    </w:p>
    <w:p>
      <w:pPr>
        <w:pStyle w:val="Heading3"/>
        <w:numPr>
          <w:ilvl w:val="2"/>
          <w:numId w:val="3"/>
        </w:numPr>
        <w:rPr>
          <w:color w:val="auto"/>
          <w:sz w:val="24"/>
          <w:szCs w:val="24"/>
        </w:rPr>
      </w:pPr>
      <w:bookmarkStart w:id="24" w:name="__RefHeading___Toc76057_4020964711"/>
      <w:bookmarkStart w:id="25" w:name="_Toc161908476"/>
      <w:bookmarkEnd w:id="24"/>
      <w:r>
        <w:rPr>
          <w:color w:val="auto"/>
          <w:sz w:val="24"/>
          <w:szCs w:val="24"/>
        </w:rPr>
        <w:t>Перечень и объем закупаемой продукции</w:t>
      </w:r>
      <w:bookmarkEnd w:id="25"/>
    </w:p>
    <w:p>
      <w:pPr>
        <w:pStyle w:val="Normal"/>
        <w:ind w:firstLine="720"/>
        <w:rPr>
          <w:color w:val="auto"/>
          <w:sz w:val="24"/>
          <w:szCs w:val="24"/>
        </w:rPr>
      </w:pPr>
      <w:bookmarkStart w:id="26" w:name="_Toc51339695"/>
      <w:r>
        <w:rPr>
          <w:b/>
          <w:color w:val="auto"/>
          <w:sz w:val="24"/>
          <w:szCs w:val="24"/>
        </w:rPr>
        <w:t xml:space="preserve">Таблица 1.1 Перечень </w:t>
      </w:r>
      <w:bookmarkEnd w:id="26"/>
      <w:r>
        <w:rPr>
          <w:b/>
          <w:color w:val="auto"/>
          <w:sz w:val="24"/>
          <w:szCs w:val="24"/>
        </w:rPr>
        <w:t>и объем закупаемой продукции</w:t>
      </w:r>
    </w:p>
    <w:tbl>
      <w:tblPr>
        <w:tblW w:w="10260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2"/>
        <w:gridCol w:w="6917"/>
        <w:gridCol w:w="1759"/>
        <w:gridCol w:w="851"/>
      </w:tblGrid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Наименование продукции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  <w:lang w:eastAsia="en-US"/>
              </w:rPr>
              <w:t>Индивидуальный видеорегистратор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24</w:t>
            </w:r>
          </w:p>
        </w:tc>
      </w:tr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Терминал зарядки и загрузки данных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Style w:val="113"/>
                <w:color w:val="auto"/>
                <w:sz w:val="24"/>
                <w:szCs w:val="24"/>
              </w:rPr>
              <w:t>СПО для терминала и АРМ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</w:tr>
    </w:tbl>
    <w:p>
      <w:pPr>
        <w:pStyle w:val="Heading3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Normal"/>
        <w:rPr>
          <w:color w:val="C9211E"/>
        </w:rPr>
      </w:pPr>
      <w:r>
        <w:rPr>
          <w:color w:val="C9211E"/>
        </w:rPr>
      </w:r>
    </w:p>
    <w:p>
      <w:pPr>
        <w:pStyle w:val="Heading3"/>
        <w:numPr>
          <w:ilvl w:val="2"/>
          <w:numId w:val="3"/>
        </w:numPr>
        <w:rPr>
          <w:rFonts w:ascii="Times New Roman" w:hAnsi="Times New Roman"/>
          <w:color w:val="auto"/>
          <w:sz w:val="24"/>
          <w:szCs w:val="24"/>
        </w:rPr>
      </w:pPr>
      <w:bookmarkStart w:id="27" w:name="__RefHeading___Toc76059_4020964711"/>
      <w:bookmarkStart w:id="28" w:name="_Toc161908477"/>
      <w:bookmarkStart w:id="29" w:name="_Toc51339696"/>
      <w:bookmarkEnd w:id="27"/>
      <w:r>
        <w:rPr>
          <w:color w:val="auto"/>
          <w:sz w:val="24"/>
          <w:szCs w:val="24"/>
        </w:rPr>
        <w:t xml:space="preserve">Требования </w:t>
      </w:r>
      <w:bookmarkEnd w:id="29"/>
      <w:r>
        <w:rPr>
          <w:color w:val="auto"/>
          <w:sz w:val="24"/>
          <w:szCs w:val="24"/>
        </w:rPr>
        <w:t>к срокам поставки продукции</w:t>
      </w:r>
      <w:bookmarkEnd w:id="28"/>
      <w:r>
        <w:rPr>
          <w:color w:val="auto"/>
          <w:sz w:val="24"/>
          <w:szCs w:val="24"/>
        </w:rPr>
        <w:t>.</w:t>
      </w:r>
    </w:p>
    <w:p>
      <w:pPr>
        <w:pStyle w:val="Normal"/>
        <w:ind w:firstLine="720"/>
        <w:rPr>
          <w:rFonts w:ascii="Times New Roman" w:hAnsi="Times New Roman"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Таблица 2.1 Требования по срокам поставки продукции</w:t>
      </w:r>
    </w:p>
    <w:p>
      <w:pPr>
        <w:pStyle w:val="Normal"/>
        <w:ind w:firstLine="720"/>
        <w:rPr>
          <w:rFonts w:ascii="Times New Roman" w:hAnsi="Times New Roman"/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  <w:bookmarkStart w:id="30" w:name="_Toc501251261"/>
      <w:bookmarkStart w:id="31" w:name="_Toc467435101"/>
      <w:bookmarkStart w:id="32" w:name="_Toc501251261"/>
      <w:bookmarkStart w:id="33" w:name="_Toc467435101"/>
      <w:bookmarkEnd w:id="32"/>
      <w:bookmarkEnd w:id="33"/>
    </w:p>
    <w:tbl>
      <w:tblPr>
        <w:tblW w:w="10514" w:type="dxa"/>
        <w:jc w:val="left"/>
        <w:tblInd w:w="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7"/>
        <w:gridCol w:w="5567"/>
        <w:gridCol w:w="2595"/>
        <w:gridCol w:w="1784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Наименование продукции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  <w:lang w:eastAsia="en-US"/>
              </w:rPr>
              <w:t>Индивидуальный видеорегистратор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 30.11.2027г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Терминал зарядки и загрузки данных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 30.11.2027г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Style w:val="113"/>
                <w:color w:val="auto"/>
                <w:sz w:val="24"/>
                <w:szCs w:val="24"/>
              </w:rPr>
              <w:t>СПО для терминала и АРМ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 30.11.2027г</w:t>
            </w:r>
          </w:p>
        </w:tc>
      </w:tr>
    </w:tbl>
    <w:p>
      <w:pPr>
        <w:sectPr>
          <w:type w:val="nextPage"/>
          <w:pgSz w:w="11906" w:h="16838"/>
          <w:pgMar w:left="1134" w:right="387" w:gutter="0" w:header="0" w:top="245" w:footer="0" w:bottom="70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color w:val="auto"/>
        </w:rPr>
      </w:pPr>
      <w:bookmarkStart w:id="34" w:name="__RefHeading___Toc76061_4020964711"/>
      <w:bookmarkStart w:id="35" w:name="_Toc161908478"/>
      <w:bookmarkStart w:id="36" w:name="_Toc46743511"/>
      <w:bookmarkStart w:id="37" w:name="_Toc501251261_Копия_1_Копия_1"/>
      <w:bookmarkStart w:id="38" w:name="_Toc467435101_Копия_1_Копия_1"/>
      <w:bookmarkStart w:id="39" w:name="_Toc51339698"/>
      <w:bookmarkStart w:id="40" w:name="_Toc5012512611"/>
      <w:bookmarkStart w:id="41" w:name="_Toc4674351011"/>
      <w:bookmarkStart w:id="42" w:name="_Toc501251261_Копия_1"/>
      <w:bookmarkStart w:id="43" w:name="_Toc467435101_Копия_1"/>
      <w:bookmarkEnd w:id="34"/>
      <w:bookmarkEnd w:id="37"/>
      <w:bookmarkEnd w:id="38"/>
      <w:bookmarkEnd w:id="39"/>
      <w:bookmarkEnd w:id="40"/>
      <w:bookmarkEnd w:id="41"/>
      <w:bookmarkEnd w:id="42"/>
      <w:bookmarkEnd w:id="43"/>
      <w:r>
        <w:rPr>
          <w:color w:val="auto"/>
          <w:sz w:val="22"/>
          <w:szCs w:val="22"/>
        </w:rPr>
        <w:t xml:space="preserve">Требования к </w:t>
      </w:r>
      <w:bookmarkEnd w:id="36"/>
      <w:r>
        <w:rPr>
          <w:color w:val="auto"/>
          <w:sz w:val="22"/>
          <w:szCs w:val="22"/>
        </w:rPr>
        <w:t>качеству продукции</w:t>
      </w:r>
      <w:bookmarkEnd w:id="35"/>
    </w:p>
    <w:p>
      <w:pPr>
        <w:pStyle w:val="Normal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rPr>
          <w:color w:val="auto"/>
        </w:rPr>
      </w:pPr>
      <w:r>
        <w:rPr>
          <w:b/>
          <w:color w:val="auto"/>
          <w:sz w:val="22"/>
          <w:szCs w:val="22"/>
        </w:rPr>
        <w:tab/>
      </w:r>
      <w:bookmarkStart w:id="44" w:name="_Toc125458484"/>
      <w:r>
        <w:rPr>
          <w:b/>
          <w:color w:val="auto"/>
          <w:sz w:val="22"/>
          <w:szCs w:val="22"/>
        </w:rPr>
        <w:t xml:space="preserve">Таблица 2.2.1. Наименование продукции (позиция №:1 Таблицы 1.1): </w:t>
      </w:r>
      <w:bookmarkEnd w:id="44"/>
      <w:r>
        <w:rPr>
          <w:b/>
          <w:color w:val="auto"/>
          <w:sz w:val="22"/>
          <w:szCs w:val="22"/>
        </w:rPr>
        <w:t>Индивидуальный видеорегистратор</w:t>
      </w:r>
    </w:p>
    <w:p>
      <w:pPr>
        <w:pStyle w:val="Normal"/>
        <w:rPr>
          <w:rFonts w:ascii="Times New Roman" w:hAnsi="Times New Roman"/>
          <w:color w:val="C9211E"/>
          <w:sz w:val="22"/>
          <w:szCs w:val="22"/>
        </w:rPr>
      </w:pPr>
      <w:r>
        <w:rPr>
          <w:color w:val="C9211E"/>
          <w:sz w:val="22"/>
          <w:szCs w:val="22"/>
        </w:rPr>
      </w:r>
    </w:p>
    <w:tbl>
      <w:tblPr>
        <w:tblW w:w="1450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3999"/>
        <w:gridCol w:w="5670"/>
        <w:gridCol w:w="2263"/>
        <w:gridCol w:w="1980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3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Требование заказчика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  <w:t>Технические характеристики: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Индивидуальный видеорегистратор с характеристиками не хуже: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1.1. Встроенная память несъемная: не менее 64ГБ;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1.2. Время работы без записи видео, в включенном состоянии: не менее 24 часов;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1.3. Светочувствительность: не менее 0.1 Люкс;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1.4. Поддержка режимов видеозаписи:2688-1512, 30 пикс., к/с 2560х1440, 30 пикс., к/с 2560х1080, 30 пикс., к/с 1920x1080, 30 пикс., к/с 848х480, 1 пикс., к/с 848х480, 60 пикс., к/с;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1.5. Стандарт видеоизображения: NTSC/PAL;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1.6. Функция кодирования/декодирования видеофайлов, для просмотра/удаления/редактирования: наличие Видеокодек: H.265 Формат записи: AVI, MP4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1.7. Наличие разъема USB: да;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1.8. Устойчивость к климатическим условиям: ресурс батареи при разных температурных режимах: 8 часов или более (0т -30 до +30);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1.9. Наличие встроенного модуля ГЛОНАСС: да;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1.10. Наличие встроенного фонаря: да;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1.11. Масса: не более 250 г;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1.12. Размер: не более 100х80х40 мм;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1.13. Индивидуальный заводской номер изделия, нанесенный способом, исключающим возможность его удаления;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1.14. Угол обзора: не менее 110 градусов;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1.15. Наличие Функции наложения даты и времени, координат на видео и фото: наличие;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1.16. Исполнение во влагозащитном, ударопрочном корпусе с защитой не менееIP65: да;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1.17. Наличие датчика движения: да;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contextualSpacing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Дополнительные возможности, комплектация: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2.1. Возможность подключения к мультимедийному терминалу посредством док станции с магнитными разъемами;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2.2. Защита от электромагнитного поля.;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2.3. Конструкция: носимая с крепежными элементами Прищепкой или другим креплением, не затрудняющим движение человека.;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2.4. Совместимость с мультимедийными терминалами хранения данных и выгрузки информации;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2.5. Наличие Функции вкл./выкл. автоматической записи видео при включении видеорегистратора: да;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2.6. Наличие Функции Голосовые подсказки на русском языке (начало записи, конец записи, батарея разряжена, карта памяти переполнена): да;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2.7. Наличие кнопки Блокировка управления регистратора: ВКЛ/ВЫКЛ, Видеозапись, ИК-подсветка: да;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contextualSpacing/>
              <w:jc w:val="left"/>
              <w:rPr/>
            </w:pPr>
            <w:r>
              <w:rPr>
                <w:rStyle w:val="113"/>
                <w:rFonts w:eastAsia="Calibri" w:ascii="Times New Roman" w:hAnsi="Times New Roman"/>
                <w:color w:val="auto"/>
                <w:sz w:val="22"/>
                <w:szCs w:val="22"/>
              </w:rPr>
              <w:t>Регистрация событий в ночное время суток и при недостаточной освещенности до десяти метров, с помощью внутренней подсветки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contextualSpacing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Отсутствие возможности удаления архива из памяти регистратора;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Комплектация: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5.1. Видеорегистратор должен комплектоваться адаптером питания;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5.2. USB кабель;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5.3. Док-станция;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5.4. Паспорт/Инструкция;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5.5. Электронный носитель со стандартным          лицензионным программным обеспечением и инструкцией, (возможно в электронном варианте);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5.6. Гарантийный талон.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6.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6.2.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6.3.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>
          <w:trHeight w:val="1800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6.4.</w:t>
            </w:r>
          </w:p>
        </w:tc>
        <w:tc>
          <w:tcPr>
            <w:tcW w:w="3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7.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7.1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Не менее 3 лет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8.1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8.1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8.2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>
          <w:trHeight w:val="741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8.3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Таблица 2.2.2. Наименование продукции (позиция №: 2 Таблицы 1.1): Терминал зарядки и загрузки данных</w:t>
      </w:r>
    </w:p>
    <w:p>
      <w:pPr>
        <w:pStyle w:val="Normal"/>
        <w:ind w:hanging="0" w:left="720"/>
        <w:rPr>
          <w:b/>
        </w:rPr>
      </w:pPr>
      <w:r>
        <w:rPr>
          <w:b/>
        </w:rPr>
      </w:r>
    </w:p>
    <w:tbl>
      <w:tblPr>
        <w:tblW w:w="14413" w:type="dxa"/>
        <w:jc w:val="left"/>
        <w:tblInd w:w="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4"/>
        <w:gridCol w:w="3795"/>
        <w:gridCol w:w="5670"/>
        <w:gridCol w:w="2296"/>
        <w:gridCol w:w="1978"/>
      </w:tblGrid>
      <w:tr>
        <w:trPr/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Требование заказчика</w:t>
            </w:r>
          </w:p>
        </w:tc>
        <w:tc>
          <w:tcPr>
            <w:tcW w:w="4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1.1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  <w:t>Технические характеристики: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Терминал зарядки и загрузки данных с характеристиками не хуже: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1.1. Количество портов для беспроводного подключения видеорегистраторов: не менее 8;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1.2. Скорость определения регистратора при подключении к терминалу и отображения в СПО не более 5 секунд;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1.3. Емкость встроенных дисков хранения данных терминала не менее 4ТБ;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1.4. Встроенный Интерфейс: не менее 4 порта USB;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1.5. Интерфейс LAN (не мене: Fast Ethernet, 100Мбит/с (разъем Rj45);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1.6. Кнопка включение и выключения терминала с индикацией;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1.7. Индикация заряда и переноса данных;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1.8. Центральный процессор: не менее 6 ядер, не менее 2.3 ГГц;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1.9. Оперативная память не менее 16Гб;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1.10. Наличие индикатора заряда батареи, всех подключенных регистраторов: да;</w:t>
            </w:r>
          </w:p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auto"/>
                <w:sz w:val="22"/>
                <w:szCs w:val="22"/>
              </w:rPr>
              <w:t>1.11. Наличие персонального номера видеорегистратора: да;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70" w:right="0"/>
              <w:contextualSpacing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Автоматическое определение регистратора при его подключении к терминалу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</w:numPr>
              <w:suppressAutoHyphens w:val="true"/>
              <w:bidi w:val="0"/>
              <w:spacing w:before="0" w:after="0"/>
              <w:ind w:hanging="0" w:left="170" w:right="0"/>
              <w:contextualSpacing/>
              <w:jc w:val="left"/>
              <w:rPr/>
            </w:pPr>
            <w:r>
              <w:rPr>
                <w:rStyle w:val="113"/>
                <w:rFonts w:eastAsia="Calibri" w:ascii="Times New Roman" w:hAnsi="Times New Roman"/>
                <w:color w:val="auto"/>
                <w:sz w:val="22"/>
                <w:szCs w:val="22"/>
              </w:rPr>
              <w:t>Требования к конструкции терминала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Надежное крепление гнезд для регистраторов, отсутствие вертикального люфта гнезда при вставке регистратора, допустимый люфт при максимальном усилии до 15 кг на гнездо – не более 1 мм;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</w:numPr>
              <w:suppressAutoHyphens w:val="true"/>
              <w:bidi w:val="0"/>
              <w:spacing w:before="0" w:after="0"/>
              <w:ind w:hanging="0" w:left="283" w:right="0"/>
              <w:contextualSpacing/>
              <w:jc w:val="left"/>
              <w:rPr/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Требование к посадке регистратора в гнездо терминала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Люфты регистратора в гнезде не должны приводить к потере контакта регистратора с терминалом;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/>
            </w:pPr>
            <w:r>
              <w:rPr>
                <w:rStyle w:val="113"/>
                <w:rFonts w:eastAsia="Calibri" w:ascii="Times New Roman" w:hAnsi="Times New Roman"/>
                <w:color w:val="auto"/>
                <w:sz w:val="22"/>
                <w:szCs w:val="22"/>
              </w:rPr>
              <w:t>Электронные компоненты терминала должны быть защищены от воздействия электростатических разрядов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Дополнительные возможности и комплектация: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6.1. Возможность зарядки видеорегистраторов;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6.2. Возможность установки времени хранения аудио-видео архивов;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6.3. Наличие функции разделения прав на администратора и пользователя: да;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6.4. Автоматическое форматирование памяти регистратора после копирования данных на терминал.;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6.5. Сбор данных из хранилища;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6.6. Автоматическое удаление старых файлов при заполнении диска.;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6.7. Наличие журнала событий;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6.8. Возможность сортировки медиа информации по номеру регистратора, сотруднику, времени, дате, комментарию, размеру файла, подразделению;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6.9. Наличие функции выдачи и регистрации устройства за определенным пользователем; да;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70" w:right="0"/>
              <w:contextualSpacing/>
              <w:jc w:val="lef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Комплектация: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7.1. Терминал;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7.2. Руководство по эксплуатации и клиентское ПО на электронном носителе;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7.3. Паспорт;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7.4. Лицензия СПО;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7.5. Предустановленная операционная система АльтерОС не ниже 9.6.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rFonts w:eastAsia="Calibri"/>
                <w:b w:val="false"/>
                <w:bCs w:val="false"/>
                <w:color w:val="auto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>
          <w:trHeight w:val="1082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8.3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8.4</w:t>
            </w:r>
          </w:p>
        </w:tc>
        <w:tc>
          <w:tcPr>
            <w:tcW w:w="3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9.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9.1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Не менее 3 лет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10.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10.1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color w:val="auto"/>
              </w:rPr>
            </w:pPr>
            <w:r>
              <w:rPr>
                <w:rFonts w:eastAsia="Calibri"/>
                <w:b w:val="false"/>
                <w:bCs w:val="false"/>
                <w:color w:val="auto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11</w:t>
            </w:r>
          </w:p>
        </w:tc>
        <w:tc>
          <w:tcPr>
            <w:tcW w:w="9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11.1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11.2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11.3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Таблица 2.2.3. Наименование продукции (позиция №: 3 Таблицы 1.1):  СПО для терминала и АРМ</w:t>
      </w:r>
    </w:p>
    <w:p>
      <w:pPr>
        <w:pStyle w:val="Normal"/>
        <w:ind w:hanging="0" w:left="720"/>
        <w:rPr>
          <w:b/>
        </w:rPr>
      </w:pPr>
      <w:r>
        <w:rPr>
          <w:b/>
        </w:rPr>
      </w:r>
    </w:p>
    <w:tbl>
      <w:tblPr>
        <w:tblW w:w="14378" w:type="dxa"/>
        <w:jc w:val="left"/>
        <w:tblInd w:w="1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4"/>
        <w:gridCol w:w="3810"/>
        <w:gridCol w:w="5609"/>
        <w:gridCol w:w="2325"/>
        <w:gridCol w:w="1930"/>
      </w:tblGrid>
      <w:tr>
        <w:trPr/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3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Наименование параметра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Требование заказчика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3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5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</w:t>
            </w:r>
          </w:p>
        </w:tc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функциональным характеристикам (включая гарантируемые показатели)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</w:numPr>
              <w:suppressAutoHyphens w:val="true"/>
              <w:bidi w:val="0"/>
              <w:spacing w:before="0" w:after="0"/>
              <w:ind w:hanging="0" w:left="113" w:right="0"/>
              <w:contextualSpacing/>
              <w:jc w:val="left"/>
              <w:rPr>
                <w:b w:val="false"/>
                <w:bCs w:val="false"/>
                <w:color w:val="auto"/>
              </w:rPr>
            </w:pPr>
            <w:r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  <w:t>Характеристики: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СПО для терминала и АРМ с характеристиками не хуже: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СПО должно быть включено в Единый реестр российских программ для электронных вычислительных машин и баз данных;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70" w:right="0"/>
              <w:contextualSpacing/>
              <w:jc w:val="lef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СПО должно работать на операционной системе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70" w:right="0"/>
              <w:contextualSpacing/>
              <w:jc w:val="lef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АльтерОС 9.6.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/>
            </w:pPr>
            <w:r>
              <w:rPr>
                <w:rStyle w:val="113"/>
                <w:rFonts w:eastAsia="Calibri" w:ascii="Times New Roman" w:hAnsi="Times New Roman"/>
                <w:color w:val="auto"/>
                <w:sz w:val="22"/>
                <w:szCs w:val="22"/>
              </w:rPr>
              <w:t>Функциональные возможности СПО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3.1. Возможность настройки прав доступа пользователя к параметрам (копирование файлов, просмотр файлов, удаление файлов, добавление, удаление пользователя, настройка СПО, настройка регистратора, просмотр журнала событий);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 Возможность разграничения прав доступа к функционалу программы: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3.2.1. пользователь с уровнем доступа «Администратор» имеет полный доступ ко всем функциям СПО, включая настройку, первичную идентификацию видеорегистраторов;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3.2.2. Пользователь «Администратор» и «Администратор подразделения» создает и удаляет пользователей устанавливает условия авторизации пользователей, настраивает параметры архива;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3.2.3. Пользователь «Аналитик» и «Аналитик подразделения» имеют доступ к аудио-видео архиву. Как с самого терминала/арма, так и удаленно с любого рабочего места Общества.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3.2.4. Пользователь «Оператор» имеет доступ к выдаче видеорегистраторов сотрудникам;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3.2.5. Пользователь «Сотрудник» имеет возможность получать видеорегистраторы для проведения аудио-видео съемки;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3.3. Один пользователь СПО может совмещать две или более ролей кроме административных;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3.4. Индивидуальная идентификация аудио-видео регистратора для каждого пользователя          подразделения посредством введения персонального кода авторизации для доступа к записям;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3.5. Автоматическая привязка-идентификация аудио-видео файлов к пользователю с сохранением информации в базе данных;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3.6. Функция одновременного просмотра видео-отрезка и отслеживание его на карте по ГЛОНАСС офлайн, функция делить видео на новые фрагменты;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3.7. Возможность просмотра любого аудио-видео файла из списка, а также внесение в базу данных записей, комментариев и пометок (тэгов), характеризующих фрагменты записей или событии, при которых они сделаны;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3.8. Просмотр (вывод) информации об объеме хранилища диска, индикаторе заряда батареи, всех подключенных регистраторов, а также персональный номер регистратора и фотокарту владельца в головной интерфейс СПО;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3.9. Журнал событий для отслеживания истории работы, а также архив всех событий;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3.10. Функция отображения в СПО извлеченных видеорегистраторов;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3.11. Сортировка медиаинформации по номеру видеорегистратора, сотруднику, времени, дате, комментарию, размеру файла, подразделению, терминалу;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3.12. Настройка параметров видеорегистратора (разрешение видео, длина видео, качество видео, громкость, разрешение фото, инфракрасный свет, сигнал записи, время и дата);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3.13. Автоматическая синхронизация времени видеорегистратора с временем на терминале;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3.14. Автоматическое копирование информации из          встроенной памяти аудио-видеорегистратора на терминал или ПК;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3.15. Автоматическое копирование информации из локального хранилища Терминала и АРМа на удаленный сервер СВ через ПСПД;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3.16. Желательно, наличие функция остановки видеозаписи только после подключения видеорегистратора к СПО Терминала;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3.17. Удаленное подключение к СПО Терминала и АРМа по локальной сети через СВ.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3.18. Функция фото и видеоотчета оператора терминала в журнале событий;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3.19. Желательно удаленное управление СПО терминала и АРМа по локальной сети через СВ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3.20. Функция сервера приложений, синхронизирующий информацию с нескольких терминалов одновременного, должен быть установлен на СВ и предоставлен в виде дистрибутива;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3.21. Наличие возможности автоматического обновления программное обеспечение через меню СПО;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3.22. Наличие возможности настройки наименования и номера подразделения, настройка списка личного состава подразделения, включающая ФИО, личный идентификатор;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227" w:right="0"/>
              <w:contextualSpacing/>
              <w:jc w:val="left"/>
              <w:rPr/>
            </w:pPr>
            <w:r>
              <w:rPr>
                <w:rStyle w:val="113"/>
                <w:rFonts w:eastAsia="Calibri" w:ascii="Times New Roman" w:hAnsi="Times New Roman"/>
                <w:color w:val="auto"/>
                <w:sz w:val="22"/>
                <w:szCs w:val="22"/>
              </w:rPr>
              <w:t>Дополнительные функциональные возможности СПО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4.1. Наличие функции доступа к СПО посредством авторизации пользователя АРМа;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4.2. Возможность индивидуальной идентификации для каждого сотрудника подразделения посредством введения персонального кода авторизации для доступа к записям через Терминал;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 </w:t>
            </w:r>
            <w:r>
              <w:rPr>
                <w:color w:val="auto"/>
                <w:sz w:val="22"/>
                <w:szCs w:val="22"/>
              </w:rPr>
              <w:t>4.3. Автоматическая привязка-идентификации аудио-         видео файлов к сотруднику с сохранением информации в базе данных СВ, терминала и АРМа;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4.4. Автоматическая идентификация аудио-видео файлов по дате, времени дежурства с сохранением информации в специальной базе данных ПСП и СВ;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4.5. Возможность перемотки при воспроизведении архива в АРМ-И и АРМ-О по времени и по координате;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4.6. Возможность формирования Стоп-кадра с записанного видео файла в общую систему баз данным ПСП и СВ;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4.7. Возможность формирование отчета, включающего сформированные Стоп-кадры и фрагменты видеозаписи, дату и время съемки, данные сотрудника (идентификатор, ФИО), а также вывод сформированного отчета в формате, доступном для просмотра стандартными программными средствами на АРМе, терминале, СВ;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4.8. Использование многоуровневой иерархической структуры записи и хранения данных в СВ;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4.9. Ведение журнала событий с записью истории использования камеры Автоматическое уведомление об остатке места на жестком диске терминала;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4.10. СПО центрального сервера должно иметь возможность формирования множества учетных записей операторов обработки информации (права аналитик) с назначением им персональных прав (по территориальному признаку в соответствии со структурой          организации; чтение/удаление/корректировка; добавление/удаление пользователей; управление сетевыми элементами (станциями);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4.11. Наличие функции указания в названии аудио/видео файлов индекса территориальной привязки и абонента.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>
          <w:trHeight w:val="1111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jc w:val="left"/>
              <w:rPr/>
            </w:pPr>
            <w:r>
              <w:rPr>
                <w:rStyle w:val="113"/>
                <w:sz w:val="22"/>
                <w:szCs w:val="22"/>
              </w:rPr>
              <w:t>СВ должна быть разработана в виде масштабируемой отказоустойчивой системы распределённой обработки.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C9211E"/>
                <w:sz w:val="22"/>
                <w:szCs w:val="22"/>
              </w:rPr>
              <w:t>-</w:t>
            </w:r>
          </w:p>
        </w:tc>
      </w:tr>
      <w:tr>
        <w:trPr>
          <w:trHeight w:val="1140" w:hRule="atLeast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jc w:val="left"/>
              <w:rPr/>
            </w:pPr>
            <w:r>
              <w:rPr>
                <w:rStyle w:val="113"/>
                <w:sz w:val="22"/>
                <w:szCs w:val="22"/>
              </w:rPr>
              <w:t>Аппаратно-программный комплекс СВ должен иметь возможность восстановления в случаях сбоев.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jc w:val="left"/>
              <w:rPr/>
            </w:pPr>
            <w:r>
              <w:rPr>
                <w:sz w:val="22"/>
                <w:szCs w:val="22"/>
              </w:rPr>
              <w:t xml:space="preserve">СПО </w:t>
            </w:r>
            <w:r>
              <w:rPr>
                <w:rStyle w:val="113"/>
                <w:sz w:val="22"/>
                <w:szCs w:val="22"/>
              </w:rPr>
              <w:t>должны быть укомплектована подсистемой оповещения Администраторов о возникновении аварийной ситуации.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jc w:val="left"/>
              <w:rPr/>
            </w:pPr>
            <w:r>
              <w:rPr>
                <w:rStyle w:val="113"/>
                <w:sz w:val="22"/>
                <w:szCs w:val="22"/>
              </w:rPr>
              <w:t>Надежность программного обеспечения подсистем должна обеспечиваться за счет надежности общесистемного ПО и установленных на терминале, Сервера приложений на СВ.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jc w:val="left"/>
              <w:rPr/>
            </w:pPr>
            <w:r>
              <w:rPr>
                <w:rStyle w:val="113"/>
                <w:sz w:val="22"/>
                <w:szCs w:val="22"/>
              </w:rPr>
              <w:t>Подсистемы СВ должны обеспечивать удобный для конечного пользователя интерфейс, отвечающий следующим требованиям.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9.1. Интерфейсы подсистем должен быть типизированы, наличие локализованного (русскоязычного) интерфейса пользователя. Цветовая палитра должна быть: спокойной для штатного режима работы, агрессивной при возникновении нештатных ситуаций;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9.2. В части диалога с пользователем требуется использование ввода с помощью справочников во всех случаях, когда это возможно. При возникновении ошибок в работе подсистемы на экран монитора должно выводиться сообщение с наименованием ошибки и с рекомендациями по её устранению на русском языке;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9.3. В части процедур ввода-вывода данных, возможность многомерного анализа данных в табличном и графическом видах.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9.4. Должна быть предусмотрена расширенная фильтрация результатов поиска информации;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9.5. Должна быть предусмотрена возможность запоминания учетных данных пользователя, при авторизации.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Программное обеспечение на рабочих местах пользователей и администраторов СВ должно быть совместимым с установкой средств антивирусной защиты АО «Лаборатория Касперского».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Требования по разграничению доступа должны быть разработаны в виде матрицы разграничения прав.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Матрица должна раскрывать следующую информацию: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12.1. код ответственности: управление, использование, наблюдение;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12.2. наименование объекта СВ, на который накладываются ограничения;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12.3. роль сотрудника/единица организационной структуры, для которых накладываются ограничения.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Аутентификация пользователей системы выполняется с помощью регистрационного имени пользователя и многоразового пароля.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При установке ПО для СВ все поля ввода и вывода, для которых возможно использование классификаторов, должны быть реализованы с использованием классификаторов;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>Эксплуатационные документы СВ должны иметь унифицированное содержание и стили оформления.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  <w:sz w:val="22"/>
                <w:szCs w:val="22"/>
              </w:rPr>
              <w:t xml:space="preserve">Для реализации подсистемы хранения данных должна использоваться промышленная РСУБД </w:t>
            </w:r>
            <w:r>
              <w:rPr>
                <w:rStyle w:val="113"/>
                <w:sz w:val="22"/>
                <w:szCs w:val="22"/>
                <w:lang w:val="en-US"/>
              </w:rPr>
              <w:t>PostgreSQL</w:t>
            </w:r>
            <w:r>
              <w:rPr>
                <w:rStyle w:val="113"/>
                <w:sz w:val="22"/>
                <w:szCs w:val="22"/>
              </w:rPr>
              <w:t xml:space="preserve"> или эквивалент;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numPr>
                <w:ilvl w:val="0"/>
              </w:numPr>
              <w:spacing w:before="40" w:after="40"/>
              <w:rPr/>
            </w:pPr>
            <w:r>
              <w:rPr>
                <w:rStyle w:val="113"/>
              </w:rPr>
              <w:t>СВ должна протоколировать все события, связанные с изменением своего информационного наполнения, и иметь возможность в случае сбоя в работе восстанавливать свое состояние, используя ранее запротоколированные изменения данных.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Да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40" w:after="40"/>
              <w:ind w:hanging="0" w:left="57" w:right="57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/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18.1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40" w:after="40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auto"/>
              </w:rPr>
              <w:t>Место поставки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18.2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40" w:after="40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auto"/>
              </w:rPr>
              <w:t>Транспортировка и упаковка оборудования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18.3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40" w:after="40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auto"/>
              </w:rPr>
              <w:t>Информация о дате и времени поставки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18.4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spacing w:before="40" w:after="40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</w:rPr>
              <w:t>Доставка оборудования</w:t>
            </w:r>
          </w:p>
        </w:tc>
        <w:tc>
          <w:tcPr>
            <w:tcW w:w="5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19</w:t>
            </w:r>
          </w:p>
        </w:tc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19.1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rFonts w:eastAsia="Calibri"/>
                <w:b w:val="false"/>
                <w:bCs w:val="false"/>
                <w:color w:val="auto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20</w:t>
            </w:r>
          </w:p>
        </w:tc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20.1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20.2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20.3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Согласие с требованием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b/>
          <w:color w:val="C9211E"/>
          <w:sz w:val="22"/>
          <w:szCs w:val="22"/>
        </w:rPr>
      </w:pPr>
      <w:r>
        <w:rPr>
          <w:b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spacing w:before="0" w:after="0"/>
        <w:contextualSpacing/>
        <w:rPr>
          <w:color w:val="auto"/>
        </w:rPr>
      </w:pPr>
      <w:r>
        <w:rPr>
          <w:b/>
          <w:bCs/>
          <w:color w:val="auto"/>
          <w:sz w:val="24"/>
          <w:szCs w:val="24"/>
        </w:rPr>
        <w:t>¹ В позициях предусматривающих эквивалент,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участник указывает конкретные наименования (тип/марку) продукции в Приложении 1 к Письму о подаче оферты «Коммерческое предложение» без указания «или эквивалент».</w:t>
      </w:r>
    </w:p>
    <w:p>
      <w:pPr>
        <w:pStyle w:val="Normal"/>
        <w:spacing w:before="0" w:after="0"/>
        <w:contextualSpacing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</w:r>
      <w:bookmarkStart w:id="45" w:name="_GoBack_Копия_1"/>
      <w:bookmarkStart w:id="46" w:name="_GoBack_Копия_1"/>
      <w:bookmarkEnd w:id="46"/>
    </w:p>
    <w:p>
      <w:pPr>
        <w:pStyle w:val="Normal"/>
        <w:spacing w:before="0" w:after="0"/>
        <w:contextualSpacing/>
        <w:rPr>
          <w:color w:val="auto"/>
        </w:rPr>
      </w:pPr>
      <w:r>
        <w:rPr>
          <w:bCs/>
          <w:color w:val="auto"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spacing w:before="0" w:after="0"/>
        <w:contextualSpacing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</w:r>
    </w:p>
    <w:p>
      <w:pPr>
        <w:pStyle w:val="Heading1"/>
        <w:spacing w:before="120" w:after="60"/>
        <w:rPr>
          <w:color w:val="auto"/>
        </w:rPr>
      </w:pPr>
      <w:r>
        <w:rPr/>
      </w:r>
    </w:p>
    <w:sectPr>
      <w:type w:val="nextPage"/>
      <w:pgSz w:orient="landscape" w:w="16838" w:h="11906"/>
      <w:pgMar w:left="1417" w:right="850" w:gutter="0" w:header="0" w:top="737" w:footer="0" w:bottom="73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53ac9"/>
    <w:pPr>
      <w:keepNext w:val="true"/>
      <w:tabs>
        <w:tab w:val="clear" w:pos="708"/>
        <w:tab w:val="left" w:pos="0" w:leader="none"/>
      </w:tabs>
      <w:spacing w:before="120" w:after="60"/>
      <w:ind w:hanging="0" w:left="1224"/>
      <w:outlineLvl w:val="2"/>
    </w:pPr>
    <w:rPr>
      <w:rFonts w:eastAsia="Calibri"/>
      <w:b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53ac9"/>
    <w:rPr>
      <w:rFonts w:ascii="Times New Roman" w:hAnsi="Times New Roman" w:cs="Times New Roman"/>
      <w:b/>
      <w:sz w:val="24"/>
      <w:szCs w:val="24"/>
      <w:lang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1" w:customStyle="1">
    <w:name w:val="Гиперссылка1"/>
    <w:basedOn w:val="DefaultParagraphFont"/>
    <w:qFormat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Style1" w:customStyle="1">
    <w:name w:val="Название Знак"/>
    <w:link w:val="116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7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rPr>
      <w:sz w:val="26"/>
      <w:szCs w:val="26"/>
    </w:rPr>
  </w:style>
  <w:style w:type="character" w:styleId="31" w:customStyle="1">
    <w:name w:val="УРОВЕНЬ_Абзац_тип3 Знак"/>
    <w:link w:val="37"/>
    <w:qFormat/>
    <w:rPr>
      <w:rFonts w:eastAsia="Calibri"/>
      <w:sz w:val="26"/>
      <w:szCs w:val="28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6"/>
    <w:qFormat/>
    <w:rPr>
      <w:b/>
      <w:sz w:val="28"/>
    </w:rPr>
  </w:style>
  <w:style w:type="character" w:styleId="13" w:customStyle="1">
    <w:name w:val="УРОВЕНЬ_1. Знак"/>
    <w:link w:val="120"/>
    <w:qFormat/>
    <w:rPr>
      <w:rFonts w:eastAsia="Calibri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15" w:customStyle="1">
    <w:name w:val="Основной текст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6" w:customStyle="1">
    <w:name w:val="Заголовок Знак"/>
    <w:basedOn w:val="DefaultParagraphFont"/>
    <w:qFormat/>
    <w:rPr>
      <w:rFonts w:ascii="Liberation Sans" w:hAnsi="Liberation Sans" w:eastAsia="Arial Unicode MS" w:cs="Arial Unicode MS"/>
      <w:sz w:val="28"/>
      <w:szCs w:val="28"/>
      <w:lang w:eastAsia="ru-RU"/>
    </w:rPr>
  </w:style>
  <w:style w:type="character" w:styleId="16" w:customStyle="1">
    <w:name w:val="Текст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7" w:customStyle="1">
    <w:name w:val="Верхний колонтитул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7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3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11" w:customStyle="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4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9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18" w:customStyle="1">
    <w:name w:val="Текст примечания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Тема примечания Знак"/>
    <w:basedOn w:val="1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9" w:customStyle="1">
    <w:name w:val="Подзаголовок Знак1"/>
    <w:basedOn w:val="DefaultParagraphFont"/>
    <w:qFormat/>
    <w:rPr>
      <w:rFonts w:eastAsia="Calibri"/>
      <w:color w:val="5A5A5A"/>
      <w:spacing w:val="15"/>
      <w:lang w:eastAsia="ru-RU"/>
    </w:rPr>
  </w:style>
  <w:style w:type="character" w:styleId="211" w:customStyle="1">
    <w:name w:val="Цитата 2 Знак1"/>
    <w:basedOn w:val="DefaultParagraphFont"/>
    <w:qFormat/>
    <w:rPr>
      <w:rFonts w:ascii="Times New Roman" w:hAnsi="Times New Roman" w:eastAsia="Times New Roman" w:cs="Times New Roman"/>
      <w:i/>
      <w:iCs/>
      <w:color w:val="404040"/>
      <w:sz w:val="28"/>
      <w:szCs w:val="28"/>
      <w:lang w:eastAsia="ru-RU"/>
    </w:rPr>
  </w:style>
  <w:style w:type="character" w:styleId="110" w:customStyle="1">
    <w:name w:val="Выделенная цитата Знак1"/>
    <w:basedOn w:val="DefaultParagraphFont"/>
    <w:qFormat/>
    <w:rPr>
      <w:rFonts w:ascii="Times New Roman" w:hAnsi="Times New Roman" w:eastAsia="Times New Roman" w:cs="Times New Roman"/>
      <w:i/>
      <w:iCs/>
      <w:color w:val="5B9BD5"/>
      <w:sz w:val="28"/>
      <w:szCs w:val="28"/>
      <w:lang w:eastAsia="ru-RU"/>
    </w:rPr>
  </w:style>
  <w:style w:type="character" w:styleId="111" w:customStyle="1">
    <w:name w:val="Электронная подпись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12" w:customStyle="1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113">
    <w:name w:val="Основной текст1"/>
    <w:basedOn w:val="DefaultParagraphFont"/>
    <w:qFormat/>
    <w:rPr>
      <w:rFonts w:ascii="Times New Roman" w:hAnsi="Times New Roman" w:eastAsia="Times New Roman" w:cs="Times New Roman"/>
      <w:color w:val="000000"/>
      <w:spacing w:val="1"/>
      <w:w w:val="100"/>
      <w:sz w:val="20"/>
      <w:szCs w:val="20"/>
      <w:shd w:fill="FFFFFF" w:val="clear"/>
      <w:lang w:val="ru-RU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ascii="Calibri" w:hAnsi="Calibri" w:eastAsia="Calibri" w:cs="Tahoma"/>
      <w:lang w:eastAsia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6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1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1">
    <w:name w:val="index 1"/>
    <w:basedOn w:val="Normal"/>
    <w:next w:val="Normal"/>
    <w:autoRedefine/>
    <w:qFormat/>
    <w:pPr>
      <w:ind w:hanging="280" w:left="280"/>
    </w:pPr>
    <w:rPr/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rFonts w:ascii="Calibri" w:hAnsi="Calibri" w:eastAsia="Calibri" w:cs="Tahoma"/>
      <w:sz w:val="22"/>
      <w:szCs w:val="22"/>
      <w:lang w:eastAsia="en-US"/>
    </w:rPr>
  </w:style>
  <w:style w:type="paragraph" w:styleId="115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6" w:customStyle="1">
    <w:name w:val="Название1"/>
    <w:basedOn w:val="Normal"/>
    <w:link w:val="Style1"/>
    <w:qFormat/>
    <w:pPr>
      <w:jc w:val="center"/>
    </w:pPr>
    <w:rPr>
      <w:rFonts w:ascii="Calibri" w:hAnsi="Calibri" w:eastAsia="Calibri" w:cs="Tahoma"/>
      <w:szCs w:val="22"/>
      <w:lang w:eastAsia="en-US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ahoma"/>
      <w:sz w:val="24"/>
      <w:szCs w:val="24"/>
      <w:lang w:eastAsia="en-US"/>
    </w:rPr>
  </w:style>
  <w:style w:type="paragraph" w:styleId="BodyTextIndent">
    <w:name w:val="Body Text Indent"/>
    <w:basedOn w:val="Normal"/>
    <w:link w:val="Style17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link w:val="33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rFonts w:ascii="Calibri" w:hAnsi="Calibri" w:eastAsia="Calibri" w:cs="Tahoma"/>
      <w:sz w:val="16"/>
      <w:szCs w:val="16"/>
      <w:lang w:eastAsia="en-US"/>
    </w:rPr>
  </w:style>
  <w:style w:type="paragraph" w:styleId="BodyText2">
    <w:name w:val="Body Text 2"/>
    <w:basedOn w:val="Normal"/>
    <w:link w:val="24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ascii="Calibri" w:hAnsi="Calibri" w:eastAsia="Calibri" w:cs="Tahoma"/>
      <w:szCs w:val="22"/>
      <w:lang w:eastAsia="en-US"/>
    </w:rPr>
  </w:style>
  <w:style w:type="paragraph" w:styleId="26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ascii="Calibri" w:hAnsi="Calibri" w:eastAsia="Calibri" w:cs="Tahoma"/>
      <w:b/>
      <w:szCs w:val="22"/>
      <w:lang w:eastAsia="en-US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hanging="0" w:left="567"/>
    </w:pPr>
    <w:rPr>
      <w:rFonts w:cs="Calibri"/>
      <w:sz w:val="20"/>
      <w:szCs w:val="20"/>
    </w:rPr>
  </w:style>
  <w:style w:type="paragraph" w:styleId="Style28" w:customStyle="1">
    <w:name w:val="Раздел регламента"/>
    <w:basedOn w:val="Normal"/>
    <w:qFormat/>
    <w:pPr/>
    <w:rPr/>
  </w:style>
  <w:style w:type="paragraph" w:styleId="Style29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link w:val="Style19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rFonts w:ascii="Calibri" w:hAnsi="Calibri" w:eastAsia="Calibri" w:cs="Tahoma"/>
      <w:sz w:val="22"/>
      <w:szCs w:val="22"/>
      <w:lang w:eastAsia="en-US"/>
    </w:rPr>
  </w:style>
  <w:style w:type="paragraph" w:styleId="Annotationsubject">
    <w:name w:val="annotation subject"/>
    <w:basedOn w:val="Annotationtext"/>
    <w:next w:val="Annotationtext"/>
    <w:link w:val="Style20"/>
    <w:qFormat/>
    <w:pPr/>
    <w:rPr>
      <w:b/>
      <w:bCs/>
    </w:rPr>
  </w:style>
  <w:style w:type="paragraph" w:styleId="117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/>
    </w:pPr>
    <w:rPr>
      <w:rFonts w:cs="Calibri"/>
      <w:sz w:val="20"/>
      <w:szCs w:val="20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 w:eastAsia="Calibri" w:cs="Tahom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ascii="Calibri" w:hAnsi="Calibri" w:eastAsia="Calibri" w:cs="Tahoma"/>
      <w:sz w:val="24"/>
      <w:szCs w:val="24"/>
      <w:lang w:eastAsia="en-US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 w:cs="Tahoma"/>
      <w:i/>
      <w:iCs/>
      <w:color w:val="000000"/>
      <w:sz w:val="22"/>
      <w:szCs w:val="22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Tahoma"/>
      <w:b/>
      <w:bCs/>
      <w:i/>
      <w:iCs/>
      <w:color w:val="4F81BD"/>
      <w:sz w:val="22"/>
      <w:szCs w:val="22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ascii="Calibri" w:hAnsi="Calibri" w:eastAsia="Calibri" w:cs="Tahoma"/>
      <w:sz w:val="24"/>
      <w:szCs w:val="24"/>
      <w:lang w:eastAsia="en-US"/>
    </w:rPr>
  </w:style>
  <w:style w:type="paragraph" w:styleId="Style31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18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6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37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</w:rPr>
  </w:style>
  <w:style w:type="paragraph" w:styleId="119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rFonts w:ascii="Calibri" w:hAnsi="Calibri" w:eastAsia="Calibri" w:cs="Tahoma"/>
      <w:sz w:val="22"/>
      <w:szCs w:val="22"/>
      <w:lang w:eastAsia="en-US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20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Заголовок списка"/>
    <w:basedOn w:val="Normal"/>
    <w:next w:val="Style43"/>
    <w:qFormat/>
    <w:pPr/>
    <w:rPr/>
  </w:style>
  <w:style w:type="paragraph" w:styleId="Style43" w:customStyle="1">
    <w:name w:val="Содержимое списка"/>
    <w:basedOn w:val="Normal"/>
    <w:qFormat/>
    <w:pPr>
      <w:ind w:hanging="0" w:left="567"/>
    </w:pPr>
    <w:rPr/>
  </w:style>
  <w:style w:type="paragraph" w:styleId="Style44" w:customStyle="1">
    <w:name w:val="ТТ_Заголовок"/>
    <w:basedOn w:val="Heading1"/>
    <w:next w:val="Normal"/>
    <w:qFormat/>
    <w:pPr>
      <w:spacing w:before="0" w:after="0"/>
      <w:ind w:hanging="0" w:left="0"/>
      <w:jc w:val="center"/>
      <w:outlineLvl w:val="9"/>
    </w:pPr>
    <w:rPr>
      <w:rFonts w:eastAsia="Arial Unicode MS" w:cs="Arial Unicode MS"/>
      <w:bCs/>
      <w:kern w:val="2"/>
      <w:sz w:val="24"/>
      <w:szCs w:val="24"/>
      <w:lang w:eastAsia="zh-CN" w:bidi="hi-IN"/>
    </w:rPr>
  </w:style>
  <w:style w:type="paragraph" w:styleId="BCListNumber10" w:customStyle="1">
    <w:name w:val="BC List Number 10"/>
    <w:basedOn w:val="Normal"/>
    <w:qFormat/>
    <w:pPr>
      <w:numPr>
        <w:ilvl w:val="0"/>
        <w:numId w:val="6"/>
      </w:numPr>
      <w:spacing w:before="60" w:after="60"/>
      <w:jc w:val="both"/>
    </w:pPr>
    <w:rPr>
      <w:kern w:val="2"/>
      <w:sz w:val="20"/>
      <w:szCs w:val="24"/>
      <w:lang w:eastAsia="en-US"/>
    </w:rPr>
  </w:style>
  <w:style w:type="paragraph" w:styleId="38">
    <w:name w:val="Основной текст3"/>
    <w:basedOn w:val="Normal"/>
    <w:qFormat/>
    <w:pPr>
      <w:widowControl w:val="false"/>
      <w:shd w:val="clear" w:color="auto" w:fill="FFFFFF"/>
      <w:spacing w:lineRule="exact" w:line="250" w:before="0" w:after="2160"/>
      <w:ind w:hanging="320"/>
    </w:pPr>
    <w:rPr>
      <w:spacing w:val="1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21" w:customStyle="1">
    <w:name w:val="Стиль1"/>
    <w:qFormat/>
  </w:style>
  <w:style w:type="numbering" w:styleId="212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4210</TotalTime>
  <Application>AlterOffice/2026.2.0.0$Linux_X86_64 LibreOffice_project/bc4ef1adf80b36c7a6365f8ed6cbf29021361edd</Application>
  <AppVersion>15.0000</AppVersion>
  <Pages>17</Pages>
  <Words>3052</Words>
  <Characters>21068</Characters>
  <CharactersWithSpaces>23768</CharactersWithSpaces>
  <Paragraphs>505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2025-03-31T09:30:00Z</dcterms:created>
  <dc:creator>Заборовцев Андрей Николаевич</dc:creator>
  <dc:description/>
  <dc:language>ru-RU</dc:language>
  <cp:lastModifiedBy>bezmaternyheb@corp.gidroogk.com</cp:lastModifiedBy>
  <cp:lastPrinted>2026-05-26T10:27:53Z</cp:lastPrinted>
  <dcterms:modified xsi:type="dcterms:W3CDTF">2026-11-03T14:27:10Z</dcterms:modified>
  <cp:revision>116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