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notes.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notes.xml" ContentType="application/vnd.openxmlformats-officedocument.wordprocessingml.footnotes+xml"/>
  <Override PartName="/word/footer2.xml" ContentType="application/vnd.openxmlformats-officedocument.wordprocessingml.footer+xml"/>
  <Override PartName="/word/header4.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document.xml" ContentType="application/vnd.openxmlformats-officedocument.wordprocessingml.document.main+xml"/>
  <Override PartName="/_rels/.rels" ContentType="application/vnd.openxmlformats-package.relationships+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_rels/item5.xml.rels" ContentType="application/vnd.openxmlformats-package.relationships+xml"/>
  <Override PartName="/customXml/_rels/item2.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clear" w:pos="708"/>
          <w:tab w:val="left" w:pos="3148" w:leader="none"/>
          <w:tab w:val="center" w:pos="4818" w:leader="none"/>
          <w:tab w:val="left" w:pos="6926" w:leader="none"/>
        </w:tabs>
        <w:spacing w:lineRule="auto" w:line="240"/>
        <w:ind w:hanging="0"/>
        <w:jc w:val="right"/>
        <w:rPr>
          <w:color w:val="000000"/>
        </w:rPr>
      </w:pPr>
      <w:r>
        <w:rPr>
          <w:color w:val="000000"/>
        </w:rPr>
      </w:r>
    </w:p>
    <w:p>
      <w:pPr>
        <w:pStyle w:val="Normal"/>
        <w:shd w:val="clear" w:color="auto" w:fill="FFFFFF"/>
        <w:tabs>
          <w:tab w:val="clear" w:pos="708"/>
          <w:tab w:val="left" w:pos="3148" w:leader="none"/>
          <w:tab w:val="center" w:pos="4818" w:leader="none"/>
          <w:tab w:val="left" w:pos="6926" w:leader="none"/>
        </w:tabs>
        <w:spacing w:lineRule="auto" w:line="240"/>
        <w:ind w:hanging="0"/>
        <w:jc w:val="center"/>
        <w:rPr>
          <w:b/>
          <w:b/>
          <w:bCs/>
          <w:color w:val="000000"/>
          <w:sz w:val="24"/>
          <w:szCs w:val="24"/>
        </w:rPr>
      </w:pPr>
      <w:r>
        <w:rPr>
          <w:b/>
          <w:bCs/>
          <w:color w:val="000000"/>
          <w:sz w:val="24"/>
          <w:szCs w:val="24"/>
        </w:rPr>
        <w:t xml:space="preserve">Договор подряда </w:t>
      </w:r>
    </w:p>
    <w:p>
      <w:pPr>
        <w:pStyle w:val="Normal"/>
        <w:shd w:val="clear" w:color="auto" w:fill="FFFFFF"/>
        <w:tabs>
          <w:tab w:val="clear" w:pos="708"/>
          <w:tab w:val="left" w:pos="3148" w:leader="none"/>
          <w:tab w:val="center" w:pos="4818" w:leader="none"/>
          <w:tab w:val="left" w:pos="6926" w:leader="none"/>
        </w:tabs>
        <w:spacing w:lineRule="auto" w:line="240"/>
        <w:ind w:hanging="0"/>
        <w:jc w:val="center"/>
        <w:rPr>
          <w:b/>
          <w:b/>
          <w:sz w:val="24"/>
          <w:szCs w:val="24"/>
        </w:rPr>
      </w:pPr>
      <w:r>
        <w:rPr>
          <w:b/>
          <w:bCs/>
          <w:color w:val="000000"/>
          <w:sz w:val="24"/>
          <w:szCs w:val="24"/>
        </w:rPr>
        <w:t>на выполнение проектных работ № ____</w:t>
      </w:r>
    </w:p>
    <w:p>
      <w:pPr>
        <w:pStyle w:val="Normal"/>
        <w:shd w:val="clear" w:color="auto" w:fill="FFFFFF"/>
        <w:spacing w:lineRule="auto" w:line="240"/>
        <w:ind w:hanging="0"/>
        <w:rPr>
          <w:b/>
          <w:b/>
          <w:bCs/>
          <w:color w:val="000000"/>
          <w:sz w:val="24"/>
          <w:szCs w:val="24"/>
        </w:rPr>
      </w:pPr>
      <w:r>
        <w:rPr>
          <w:b/>
          <w:bCs/>
          <w:color w:val="000000"/>
          <w:sz w:val="24"/>
          <w:szCs w:val="24"/>
        </w:rPr>
      </w:r>
    </w:p>
    <w:p>
      <w:pPr>
        <w:pStyle w:val="Normal"/>
        <w:shd w:val="clear" w:color="auto" w:fill="FFFFFF"/>
        <w:tabs>
          <w:tab w:val="clear" w:pos="708"/>
          <w:tab w:val="right" w:pos="993" w:leader="none"/>
        </w:tabs>
        <w:spacing w:lineRule="auto" w:line="240"/>
        <w:ind w:hanging="0"/>
        <w:rPr>
          <w:bCs/>
          <w:color w:val="000000"/>
          <w:sz w:val="24"/>
          <w:szCs w:val="24"/>
        </w:rPr>
      </w:pPr>
      <w:r>
        <w:rPr>
          <w:bCs/>
          <w:color w:val="000000"/>
          <w:sz w:val="24"/>
          <w:szCs w:val="24"/>
        </w:rPr>
        <w:t>г. _________</w:t>
        <w:tab/>
        <w:tab/>
        <w:tab/>
        <w:tab/>
        <w:tab/>
        <w:tab/>
        <w:tab/>
        <w:t xml:space="preserve">                      «___» _________ 20__ г.</w:t>
      </w:r>
    </w:p>
    <w:p>
      <w:pPr>
        <w:pStyle w:val="Normal"/>
        <w:shd w:val="clear" w:color="auto" w:fill="FFFFFF"/>
        <w:tabs>
          <w:tab w:val="clear" w:pos="708"/>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00000A"/>
        </w:rPr>
      </w:pPr>
      <w:r>
        <w:rPr>
          <w:b/>
          <w:color w:val="00000A"/>
          <w:lang w:val="ru-RU"/>
        </w:rPr>
        <w:t>А</w:t>
      </w:r>
      <w:r>
        <w:rPr>
          <w:b/>
          <w:color w:val="00000A"/>
        </w:rPr>
        <w:t>кционерное общество «</w:t>
      </w:r>
      <w:r>
        <w:rPr>
          <w:b/>
          <w:color w:val="00000A"/>
          <w:lang w:val="ru-RU"/>
        </w:rPr>
        <w:t>Дальневосточная распределительная сетевая компания</w:t>
      </w:r>
      <w:r>
        <w:rPr>
          <w:b/>
          <w:color w:val="00000A"/>
        </w:rPr>
        <w:t xml:space="preserve">» </w:t>
      </w:r>
      <w:r>
        <w:rPr>
          <w:color w:val="00000A"/>
        </w:rPr>
        <w:t>(АО «</w:t>
      </w:r>
      <w:r>
        <w:rPr>
          <w:color w:val="00000A"/>
          <w:lang w:val="ru-RU"/>
        </w:rPr>
        <w:t>ДРСК</w:t>
      </w:r>
      <w:r>
        <w:rPr>
          <w:color w:val="00000A"/>
        </w:rPr>
        <w:t>») (далее – «Заказчик»), в лице директора филиала АО «ДРСК» «Амурские ЭС», действующего на основании доверенности от</w:t>
      </w:r>
      <w:r>
        <w:rPr>
          <w:color w:val="00000A"/>
          <w:shd w:fill="auto" w:val="clear"/>
        </w:rPr>
        <w:t xml:space="preserve"> __________</w:t>
      </w:r>
      <w:r>
        <w:rPr>
          <w:color w:val="00000A"/>
        </w:rPr>
        <w:t>, с одной стороны, и ________________________ (далее – «Подрядчик»), в лице ________________, действующего на</w:t>
      </w:r>
      <w:r>
        <w:rPr>
          <w:color w:val="00000A"/>
          <w:sz w:val="24"/>
          <w:szCs w:val="24"/>
        </w:rPr>
        <w:t xml:space="preserve"> основании _______</w:t>
      </w:r>
      <w:r>
        <w:rPr>
          <w:i w:val="false"/>
          <w:iCs w:val="false"/>
          <w:color w:val="00000A"/>
          <w:sz w:val="24"/>
          <w:szCs w:val="24"/>
        </w:rPr>
        <w:t>_______, с другой сто</w:t>
      </w:r>
      <w:r>
        <w:rPr>
          <w:i w:val="false"/>
          <w:iCs w:val="false"/>
          <w:color w:val="00000A"/>
          <w:sz w:val="24"/>
          <w:szCs w:val="24"/>
          <w:shd w:fill="auto" w:val="clear"/>
        </w:rPr>
        <w:t xml:space="preserve">роны, </w:t>
      </w:r>
    </w:p>
    <w:p>
      <w:pPr>
        <w:pStyle w:val="BodyText3"/>
        <w:ind w:firstLine="708"/>
        <w:rPr>
          <w:sz w:val="24"/>
          <w:szCs w:val="24"/>
        </w:rPr>
      </w:pPr>
      <w:r>
        <w:rPr>
          <w:i w:val="false"/>
          <w:iCs w:val="false"/>
          <w:color w:val="00000A"/>
          <w:sz w:val="24"/>
          <w:szCs w:val="24"/>
          <w:shd w:fill="auto" w:val="clear"/>
        </w:rPr>
        <w:t xml:space="preserve">совместно в дальнейшем именуемые «Стороны», а по отдельности – «Сторона», по результатам проведенной Заказчиком </w:t>
      </w:r>
      <w:r>
        <w:rPr>
          <w:b w:val="false"/>
          <w:bCs w:val="false"/>
          <w:i w:val="false"/>
          <w:iCs w:val="false"/>
          <w:color w:val="00000A"/>
          <w:sz w:val="24"/>
          <w:szCs w:val="24"/>
          <w:shd w:fill="auto" w:val="clear"/>
        </w:rPr>
        <w:t>упрощенной закупки по лоту № 49601-ТПиР БЕЗОП-2027-ДРСК-АЭС</w:t>
      </w:r>
      <w:r>
        <w:rPr>
          <w:b w:val="false"/>
          <w:bCs w:val="false"/>
          <w:i w:val="false"/>
          <w:iCs w:val="false"/>
          <w:strike w:val="false"/>
          <w:dstrike w:val="false"/>
          <w:outline w:val="false"/>
          <w:shadow w:val="false"/>
          <w:color w:val="00000A"/>
          <w:sz w:val="24"/>
          <w:szCs w:val="24"/>
          <w:u w:val="none"/>
          <w:shd w:fill="auto" w:val="clear"/>
          <w:em w:val="none"/>
        </w:rPr>
        <w:t xml:space="preserve"> </w:t>
      </w:r>
      <w:r>
        <w:rPr>
          <w:b w:val="false"/>
          <w:bCs w:val="false"/>
          <w:i w:val="false"/>
          <w:iCs w:val="false"/>
          <w:color w:val="000000"/>
          <w:sz w:val="24"/>
          <w:szCs w:val="24"/>
          <w:shd w:fill="auto" w:val="clear"/>
        </w:rPr>
        <w:t xml:space="preserve">«ОКПД2 71.12.18.000 </w:t>
      </w:r>
      <w:r>
        <w:rPr>
          <w:b w:val="false"/>
          <w:bCs w:val="false"/>
          <w:i w:val="false"/>
          <w:iCs w:val="false"/>
          <w:strike w:val="false"/>
          <w:dstrike w:val="false"/>
          <w:outline w:val="false"/>
          <w:shadow w:val="false"/>
          <w:color w:val="000000"/>
          <w:sz w:val="24"/>
          <w:szCs w:val="24"/>
          <w:u w:val="none"/>
          <w:shd w:fill="auto" w:val="clear"/>
          <w:em w:val="none"/>
        </w:rPr>
        <w:t>Выполнение проектных работ для осуществления монтажа инженерно-технических средств охраны на объектах филиала «Амурские электрические сети»</w:t>
      </w:r>
      <w:r>
        <w:rPr>
          <w:b w:val="false"/>
          <w:bCs w:val="false"/>
          <w:i w:val="false"/>
          <w:iCs w:val="false"/>
          <w:color w:val="00000A"/>
          <w:sz w:val="24"/>
          <w:szCs w:val="24"/>
          <w:shd w:fill="auto" w:val="clear"/>
        </w:rPr>
        <w:t>,</w:t>
      </w:r>
      <w:r>
        <w:rPr>
          <w:b w:val="false"/>
          <w:bCs w:val="false"/>
          <w:i w:val="false"/>
          <w:iCs w:val="false"/>
          <w:sz w:val="24"/>
          <w:szCs w:val="24"/>
          <w:shd w:fill="auto" w:val="clear"/>
        </w:rPr>
        <w:t xml:space="preserve"> </w:t>
      </w:r>
      <w:r>
        <w:rPr>
          <w:b w:val="false"/>
          <w:bCs w:val="false"/>
          <w:i w:val="false"/>
          <w:iCs w:val="false"/>
          <w:color w:val="00000A"/>
          <w:sz w:val="24"/>
          <w:szCs w:val="24"/>
          <w:shd w:fill="auto" w:val="clear"/>
          <w:lang w:val="ru-RU"/>
        </w:rPr>
        <w:t>и</w:t>
      </w:r>
      <w:r>
        <w:rPr>
          <w:b w:val="false"/>
          <w:bCs w:val="false"/>
          <w:i w:val="false"/>
          <w:iCs w:val="false"/>
          <w:sz w:val="24"/>
          <w:szCs w:val="24"/>
          <w:shd w:fill="auto" w:val="clear"/>
          <w:lang w:val="ru-RU"/>
        </w:rPr>
        <w:t xml:space="preserve"> </w:t>
      </w:r>
      <w:r>
        <w:rPr>
          <w:b w:val="false"/>
          <w:bCs w:val="false"/>
          <w:i w:val="false"/>
          <w:iCs w:val="false"/>
          <w:color w:val="00000A"/>
          <w:sz w:val="24"/>
          <w:szCs w:val="24"/>
          <w:shd w:fill="auto" w:val="clear"/>
        </w:rPr>
        <w:t>на основании аналитической записки №_______ от «___»__________ года</w:t>
      </w:r>
      <w:r>
        <w:rPr>
          <w:b w:val="false"/>
          <w:bCs w:val="false"/>
          <w:i w:val="false"/>
          <w:iCs w:val="false"/>
          <w:color w:val="00000A"/>
          <w:sz w:val="24"/>
          <w:szCs w:val="24"/>
          <w:shd w:fill="auto" w:val="clear"/>
          <w:lang w:val="ru-RU"/>
        </w:rPr>
        <w:t>,</w:t>
      </w:r>
    </w:p>
    <w:p>
      <w:pPr>
        <w:pStyle w:val="BodyText3"/>
        <w:ind w:firstLine="708"/>
        <w:rPr>
          <w:sz w:val="24"/>
          <w:szCs w:val="24"/>
        </w:rPr>
      </w:pPr>
      <w:r>
        <w:rPr>
          <w:b w:val="false"/>
          <w:bCs w:val="false"/>
          <w:i w:val="false"/>
          <w:iCs w:val="false"/>
          <w:color w:val="00000A"/>
          <w:sz w:val="24"/>
          <w:szCs w:val="24"/>
        </w:rPr>
        <w:t>заключили настоящий договор (далее – «Догово</w:t>
      </w:r>
      <w:r>
        <w:rPr>
          <w:color w:val="00000A"/>
          <w:sz w:val="24"/>
          <w:szCs w:val="24"/>
        </w:rPr>
        <w:t>р») о нижеследующем:</w:t>
      </w:r>
    </w:p>
    <w:p>
      <w:pPr>
        <w:pStyle w:val="ListParagraph"/>
        <w:shd w:val="clear" w:color="auto" w:fill="FFFFFF"/>
        <w:tabs>
          <w:tab w:val="clear" w:pos="708"/>
          <w:tab w:val="left" w:pos="284" w:leader="none"/>
        </w:tabs>
        <w:ind w:left="0" w:hanging="0"/>
        <w:jc w:val="center"/>
        <w:rPr>
          <w:b/>
          <w:b/>
          <w:bCs/>
          <w:sz w:val="24"/>
          <w:szCs w:val="24"/>
        </w:rPr>
      </w:pPr>
      <w:r>
        <w:rPr>
          <w:b/>
          <w:bCs/>
          <w:sz w:val="24"/>
          <w:szCs w:val="24"/>
        </w:rPr>
      </w:r>
    </w:p>
    <w:p>
      <w:pPr>
        <w:pStyle w:val="ListParagraph"/>
        <w:shd w:val="clear" w:color="auto" w:fill="FFFFFF"/>
        <w:tabs>
          <w:tab w:val="clear" w:pos="708"/>
          <w:tab w:val="left" w:pos="284" w:leader="none"/>
        </w:tabs>
        <w:ind w:left="0" w:hanging="0"/>
        <w:jc w:val="center"/>
        <w:rPr>
          <w:b/>
          <w:b/>
          <w:bCs/>
        </w:rPr>
      </w:pPr>
      <w:r>
        <w:rPr>
          <w:b/>
          <w:bCs/>
          <w:sz w:val="24"/>
          <w:szCs w:val="24"/>
        </w:rPr>
        <w:t>Т</w:t>
      </w:r>
      <w:r>
        <w:rPr>
          <w:b/>
          <w:bCs/>
        </w:rPr>
        <w:t>ермины и определения</w:t>
      </w:r>
    </w:p>
    <w:p>
      <w:pPr>
        <w:pStyle w:val="BodyText3"/>
        <w:ind w:firstLine="708"/>
        <w:rPr>
          <w:color w:val="00000A"/>
          <w:lang w:val="ru-RU"/>
        </w:rPr>
      </w:pPr>
      <w:r>
        <w:rPr>
          <w:color w:val="00000A"/>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8"/>
          <w:tab w:val="left" w:pos="567" w:leader="none"/>
          <w:tab w:val="left" w:pos="1134" w:leader="none"/>
        </w:tabs>
        <w:overflowPunct w:val="true"/>
        <w:ind w:left="0" w:firstLine="708"/>
        <w:jc w:val="both"/>
        <w:textAlignment w:val="baseline"/>
        <w:rPr>
          <w:highlight w:val="yellow"/>
        </w:rPr>
      </w:pPr>
      <w:r>
        <w:rPr>
          <w:b/>
          <w:shd w:fill="FFFFFF" w:val="clear"/>
          <w:lang w:eastAsia="en-US"/>
        </w:rPr>
        <w:t>«Банковская гарантия»</w:t>
      </w:r>
      <w:r>
        <w:rPr>
          <w:shd w:fill="FFFFFF" w:val="clea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clear" w:pos="708"/>
          <w:tab w:val="left" w:pos="567" w:leader="none"/>
          <w:tab w:val="left" w:pos="1134" w:leader="none"/>
        </w:tabs>
        <w:overflowPunct w:val="true"/>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8"/>
          <w:tab w:val="left" w:pos="567" w:leader="none"/>
          <w:tab w:val="left" w:pos="1134" w:leader="none"/>
        </w:tabs>
        <w:overflowPunct w:val="true"/>
        <w:ind w:left="0" w:firstLine="708"/>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8"/>
          <w:tab w:val="left" w:pos="567" w:leader="none"/>
          <w:tab w:val="left" w:pos="1134" w:leader="none"/>
        </w:tabs>
        <w:overflowPunct w:val="true"/>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(далее – «ГК РФ») в случаях, установленных Договором. </w:t>
      </w:r>
    </w:p>
    <w:p>
      <w:pPr>
        <w:pStyle w:val="3"/>
        <w:keepNext w:val="false"/>
        <w:widowControl w:val="false"/>
        <w:tabs>
          <w:tab w:val="clear" w:pos="708"/>
          <w:tab w:val="left" w:pos="567" w:leader="none"/>
        </w:tabs>
        <w:overflowPunct w:val="true"/>
        <w:spacing w:before="0" w:after="0"/>
        <w:ind w:firstLine="708"/>
        <w:jc w:val="both"/>
        <w:textAlignment w:val="baseline"/>
        <w:rPr>
          <w:b w:val="false"/>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w:t>
      </w:r>
      <w:r>
        <w:rPr>
          <w:b w:val="false"/>
          <w:sz w:val="24"/>
          <w:szCs w:val="24"/>
          <w:shd w:fill="auto" w:val="clear"/>
          <w:lang w:val="ru-RU" w:eastAsia="en-US"/>
        </w:rPr>
        <w:t>нной и противопожарной безопасности, производства работ и охраны труда персонала, относящиеся к Работам.</w:t>
      </w:r>
    </w:p>
    <w:p>
      <w:pPr>
        <w:pStyle w:val="3"/>
        <w:keepNext w:val="false"/>
        <w:widowControl w:val="false"/>
        <w:tabs>
          <w:tab w:val="clear" w:pos="708"/>
          <w:tab w:val="left" w:pos="567" w:leader="none"/>
        </w:tabs>
        <w:overflowPunct w:val="true"/>
        <w:spacing w:before="0" w:after="0"/>
        <w:ind w:firstLine="708"/>
        <w:jc w:val="both"/>
        <w:textAlignment w:val="baseline"/>
        <w:rPr>
          <w:shd w:fill="auto" w:val="clear"/>
        </w:rPr>
      </w:pPr>
      <w:r>
        <w:rPr>
          <w:sz w:val="24"/>
          <w:szCs w:val="24"/>
          <w:shd w:fill="auto" w:val="clear"/>
          <w:lang w:val="ru-RU" w:eastAsia="en-US"/>
        </w:rPr>
        <w:t>«Проектная документация»</w:t>
      </w:r>
      <w:r>
        <w:rPr>
          <w:b w:val="false"/>
          <w:sz w:val="24"/>
          <w:szCs w:val="24"/>
          <w:shd w:fill="auto" w:val="clear"/>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3"/>
        <w:keepNext w:val="false"/>
        <w:widowControl w:val="false"/>
        <w:tabs>
          <w:tab w:val="clear" w:pos="708"/>
          <w:tab w:val="left" w:pos="567" w:leader="none"/>
        </w:tabs>
        <w:overflowPunct w:val="true"/>
        <w:spacing w:before="0" w:after="0"/>
        <w:ind w:firstLine="708"/>
        <w:jc w:val="both"/>
        <w:textAlignment w:val="baseline"/>
        <w:rPr>
          <w:shd w:fill="auto" w:val="clear"/>
        </w:rPr>
      </w:pPr>
      <w:r>
        <w:rPr>
          <w:b w:val="false"/>
          <w:sz w:val="24"/>
          <w:szCs w:val="24"/>
          <w:shd w:fill="auto" w:val="clear"/>
          <w:lang w:val="ru-RU" w:eastAsia="en-US"/>
        </w:rPr>
        <w:t xml:space="preserve">Состав разделов Проектной документации определяется Применимым правом и Техническим заданием. </w:t>
      </w:r>
    </w:p>
    <w:p>
      <w:pPr>
        <w:pStyle w:val="3"/>
        <w:keepNext w:val="false"/>
        <w:widowControl w:val="false"/>
        <w:tabs>
          <w:tab w:val="clear" w:pos="708"/>
          <w:tab w:val="left" w:pos="567" w:leader="none"/>
        </w:tabs>
        <w:overflowPunct w:val="true"/>
        <w:spacing w:before="0" w:after="0"/>
        <w:ind w:firstLine="708"/>
        <w:jc w:val="both"/>
        <w:textAlignment w:val="baseline"/>
        <w:rPr>
          <w:shd w:fill="auto" w:val="clear"/>
        </w:rPr>
      </w:pPr>
      <w:r>
        <w:rPr>
          <w:b w:val="false"/>
          <w:sz w:val="24"/>
          <w:szCs w:val="24"/>
          <w:shd w:fill="auto" w:val="clear"/>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pPr>
        <w:pStyle w:val="3"/>
        <w:keepNext w:val="false"/>
        <w:widowControl w:val="false"/>
        <w:tabs>
          <w:tab w:val="clear" w:pos="708"/>
          <w:tab w:val="left" w:pos="567" w:leader="none"/>
        </w:tabs>
        <w:overflowPunct w:val="true"/>
        <w:spacing w:before="0" w:after="0"/>
        <w:ind w:firstLine="708"/>
        <w:jc w:val="both"/>
        <w:textAlignment w:val="baseline"/>
        <w:rPr>
          <w:sz w:val="24"/>
          <w:szCs w:val="24"/>
          <w:lang w:eastAsia="ru-RU"/>
        </w:rPr>
      </w:pPr>
      <w:r>
        <w:rPr>
          <w:sz w:val="24"/>
          <w:szCs w:val="24"/>
          <w:shd w:fill="auto" w:val="clear"/>
          <w:lang w:val="ru-RU" w:eastAsia="en-US"/>
        </w:rPr>
        <w:t xml:space="preserve"> </w:t>
      </w:r>
      <w:r>
        <w:rPr>
          <w:sz w:val="24"/>
          <w:szCs w:val="24"/>
          <w:shd w:fill="auto" w:val="clear"/>
          <w:lang w:val="ru-RU" w:eastAsia="en-US"/>
        </w:rPr>
        <w:t>«Работы»</w:t>
      </w:r>
      <w:r>
        <w:rPr>
          <w:b w:val="false"/>
          <w:sz w:val="24"/>
          <w:szCs w:val="24"/>
          <w:shd w:fill="auto" w:val="clear"/>
          <w:lang w:val="ru-RU" w:eastAsia="en-US"/>
        </w:rPr>
        <w:t xml:space="preserve"> – все выполняемые Подрядчиком на свой риск, с использованием своих и / или привлеченных за свой счет сил и средств (</w:t>
      </w:r>
      <w:r>
        <w:rPr>
          <w:b w:val="false"/>
          <w:sz w:val="24"/>
          <w:szCs w:val="24"/>
          <w:lang w:val="ru-RU" w:eastAsia="en-US"/>
        </w:rPr>
        <w:t>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в </w:t>
      </w:r>
      <w:r>
        <w:rPr>
          <w:b w:val="false"/>
          <w:sz w:val="24"/>
          <w:szCs w:val="24"/>
          <w:lang w:val="ru-RU" w:eastAsia="ru-RU"/>
        </w:rPr>
        <w:t>Результате</w:t>
      </w:r>
      <w:r>
        <w:rPr>
          <w:b w:val="false"/>
          <w:sz w:val="24"/>
          <w:szCs w:val="24"/>
          <w:lang w:eastAsia="ru-RU"/>
        </w:rPr>
        <w:t xml:space="preserve"> </w:t>
      </w:r>
      <w:r>
        <w:rPr>
          <w:b w:val="false"/>
          <w:sz w:val="24"/>
          <w:szCs w:val="24"/>
          <w:lang w:val="ru-RU" w:eastAsia="ru-RU"/>
        </w:rPr>
        <w:t>работ</w:t>
      </w:r>
      <w:r>
        <w:rPr>
          <w:b w:val="false"/>
          <w:sz w:val="24"/>
          <w:szCs w:val="24"/>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8"/>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8"/>
          <w:tab w:val="left" w:pos="567" w:leader="none"/>
        </w:tabs>
        <w:spacing w:lineRule="auto" w:line="240"/>
        <w:ind w:firstLine="708"/>
        <w:rPr>
          <w:shd w:fill="auto" w:val="clear"/>
        </w:rPr>
      </w:pPr>
      <w:r>
        <w:rPr>
          <w:b/>
          <w:sz w:val="24"/>
          <w:szCs w:val="24"/>
          <w:shd w:fill="auto" w:val="clear"/>
          <w:lang w:eastAsia="en-US"/>
        </w:rPr>
        <w:t xml:space="preserve">«Рабочая документация» – </w:t>
      </w:r>
      <w:r>
        <w:rPr>
          <w:sz w:val="24"/>
          <w:szCs w:val="24"/>
          <w:shd w:fill="auto" w:val="clear"/>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4"/>
        </w:numPr>
        <w:shd w:val="clear" w:color="auto" w:fill="FFFFFF"/>
        <w:tabs>
          <w:tab w:val="clear" w:pos="708"/>
          <w:tab w:val="left" w:pos="567" w:leader="none"/>
          <w:tab w:val="left" w:pos="1134" w:leader="none"/>
        </w:tabs>
        <w:overflowPunct w:val="true"/>
        <w:ind w:left="0" w:firstLine="708"/>
        <w:jc w:val="both"/>
        <w:textAlignment w:val="baseline"/>
        <w:rPr>
          <w:shd w:fill="auto" w:val="clear"/>
        </w:rPr>
      </w:pPr>
      <w:r>
        <w:rPr>
          <w:shd w:fill="auto" w:val="clear"/>
          <w:lang w:eastAsia="en-US"/>
        </w:rPr>
        <w:t>рабочие чертежи основного комплекта, спецификации оборудования и изделий;</w:t>
      </w:r>
    </w:p>
    <w:p>
      <w:pPr>
        <w:pStyle w:val="ListParagraph"/>
        <w:widowControl w:val="false"/>
        <w:numPr>
          <w:ilvl w:val="0"/>
          <w:numId w:val="4"/>
        </w:numPr>
        <w:shd w:val="clear" w:color="auto" w:fill="FFFFFF"/>
        <w:tabs>
          <w:tab w:val="clear" w:pos="708"/>
          <w:tab w:val="left" w:pos="567" w:leader="none"/>
          <w:tab w:val="left" w:pos="1134" w:leader="none"/>
        </w:tabs>
        <w:overflowPunct w:val="true"/>
        <w:ind w:left="0" w:firstLine="708"/>
        <w:jc w:val="both"/>
        <w:textAlignment w:val="baseline"/>
        <w:rPr>
          <w:shd w:fill="auto" w:val="clear"/>
        </w:rPr>
      </w:pPr>
      <w:r>
        <w:rPr>
          <w:shd w:fill="auto" w:val="clear"/>
          <w:lang w:eastAsia="en-US"/>
        </w:rPr>
        <w:t>документы, разработанные в дополнение к рабочим чертежам основного комплекта;</w:t>
      </w:r>
    </w:p>
    <w:p>
      <w:pPr>
        <w:pStyle w:val="ListParagraph"/>
        <w:widowControl w:val="false"/>
        <w:numPr>
          <w:ilvl w:val="0"/>
          <w:numId w:val="4"/>
        </w:numPr>
        <w:shd w:val="clear" w:color="auto" w:fill="FFFFFF"/>
        <w:tabs>
          <w:tab w:val="clear" w:pos="708"/>
          <w:tab w:val="left" w:pos="567" w:leader="none"/>
          <w:tab w:val="left" w:pos="1134" w:leader="none"/>
        </w:tabs>
        <w:overflowPunct w:val="true"/>
        <w:ind w:left="0" w:firstLine="708"/>
        <w:jc w:val="both"/>
        <w:textAlignment w:val="baseline"/>
        <w:rPr>
          <w:shd w:fill="auto" w:val="clear"/>
        </w:rPr>
      </w:pPr>
      <w:r>
        <w:rPr>
          <w:shd w:fill="auto" w:val="clear"/>
          <w:lang w:eastAsia="en-US"/>
        </w:rPr>
        <w:t>сметную документацию.</w:t>
      </w:r>
    </w:p>
    <w:p>
      <w:pPr>
        <w:pStyle w:val="Normal"/>
        <w:widowControl w:val="false"/>
        <w:tabs>
          <w:tab w:val="clear" w:pos="708"/>
          <w:tab w:val="left" w:pos="567" w:leader="none"/>
        </w:tabs>
        <w:spacing w:lineRule="auto" w:line="240"/>
        <w:ind w:firstLine="708"/>
        <w:rPr>
          <w:sz w:val="24"/>
          <w:szCs w:val="24"/>
        </w:rPr>
      </w:pPr>
      <w:r>
        <w:rPr>
          <w:b/>
          <w:sz w:val="24"/>
          <w:szCs w:val="24"/>
        </w:rPr>
        <w:t>«Рабочий день»</w:t>
      </w:r>
      <w:r>
        <w:rPr>
          <w:sz w:val="24"/>
          <w:szCs w:val="24"/>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clear" w:pos="708"/>
          <w:tab w:val="left" w:pos="567" w:leader="none"/>
        </w:tabs>
        <w:overflowPunct w:val="true"/>
        <w:spacing w:before="0" w:after="0"/>
        <w:ind w:firstLine="708"/>
        <w:jc w:val="both"/>
        <w:textAlignment w:val="baseline"/>
        <w:rPr>
          <w:b w:val="false"/>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выполненная Подрядчиком и принятая Заказчиком по Акту сдачи-приемки выполненных </w:t>
      </w:r>
      <w:r>
        <w:rPr>
          <w:b w:val="false"/>
          <w:sz w:val="24"/>
          <w:szCs w:val="24"/>
          <w:shd w:fill="auto" w:val="clear"/>
          <w:lang w:val="ru-RU" w:eastAsia="en-US"/>
        </w:rPr>
        <w:t>работ Рабочая документация, соответствующий требованиям, изложенным в Техническом задании (Приложение № 1 к</w:t>
      </w:r>
      <w:r>
        <w:rPr>
          <w:b w:val="false"/>
          <w:sz w:val="24"/>
          <w:szCs w:val="24"/>
          <w:lang w:val="ru-RU" w:eastAsia="en-US"/>
        </w:rPr>
        <w:t xml:space="preserve">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pPr>
        <w:pStyle w:val="Normal"/>
        <w:spacing w:lineRule="auto" w:line="240"/>
        <w:ind w:firstLine="708"/>
        <w:rPr>
          <w:sz w:val="24"/>
          <w:szCs w:val="24"/>
          <w:lang w:eastAsia="en-US"/>
        </w:rPr>
      </w:pPr>
      <w:r>
        <w:rPr>
          <w:b/>
          <w:sz w:val="24"/>
          <w:szCs w:val="24"/>
          <w:lang w:eastAsia="en-US"/>
        </w:rPr>
        <w:t>«</w:t>
      </w:r>
      <w:r>
        <w:rPr>
          <w:b/>
          <w:sz w:val="24"/>
          <w:szCs w:val="24"/>
          <w:shd w:fill="FFFFFF" w:val="clear"/>
          <w:lang w:eastAsia="en-US"/>
        </w:rPr>
        <w:t>Субъект</w:t>
      </w:r>
      <w:r>
        <w:rPr>
          <w:b/>
          <w:sz w:val="24"/>
          <w:szCs w:val="24"/>
          <w:lang w:eastAsia="en-US"/>
        </w:rPr>
        <w:t xml:space="preserve"> МСП»</w:t>
      </w:r>
      <w:r>
        <w:rPr>
          <w:sz w:val="24"/>
          <w:szCs w:val="24"/>
          <w:lang w:eastAsia="en-US"/>
        </w:rPr>
        <w:t xml:space="preserve"> – субъект малого и среднего предпринимательства.</w:t>
      </w:r>
    </w:p>
    <w:p>
      <w:pPr>
        <w:pStyle w:val="3"/>
        <w:keepNext w:val="false"/>
        <w:widowControl w:val="false"/>
        <w:tabs>
          <w:tab w:val="clear" w:pos="708"/>
          <w:tab w:val="left" w:pos="567" w:leader="none"/>
        </w:tabs>
        <w:overflowPunct w:val="true"/>
        <w:spacing w:before="0" w:after="0"/>
        <w:ind w:firstLine="708"/>
        <w:jc w:val="both"/>
        <w:textAlignment w:val="baseline"/>
        <w:rPr>
          <w:b w:val="false"/>
          <w:b w:val="false"/>
          <w:sz w:val="24"/>
          <w:szCs w:val="24"/>
          <w:lang w:val="ru-RU" w:eastAsia="en-US"/>
        </w:rPr>
      </w:pPr>
      <w:r>
        <w:rPr>
          <w:sz w:val="24"/>
          <w:szCs w:val="24"/>
          <w:lang w:val="ru-RU" w:eastAsia="en-US"/>
        </w:rPr>
        <w:t>«Смета»</w:t>
      </w:r>
      <w:r>
        <w:rPr>
          <w:b w:val="false"/>
          <w:sz w:val="24"/>
          <w:szCs w:val="24"/>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 и не подлежащий корректировке после приемки Заказчиком Результата работ по Договору.</w:t>
      </w:r>
    </w:p>
    <w:p>
      <w:pPr>
        <w:pStyle w:val="3"/>
        <w:keepNext w:val="false"/>
        <w:widowControl w:val="false"/>
        <w:tabs>
          <w:tab w:val="clear" w:pos="708"/>
          <w:tab w:val="left" w:pos="567" w:leader="none"/>
        </w:tabs>
        <w:overflowPunct w:val="true"/>
        <w:spacing w:before="0" w:after="0"/>
        <w:ind w:firstLine="708"/>
        <w:jc w:val="both"/>
        <w:textAlignment w:val="baseline"/>
        <w:rPr>
          <w:b w:val="false"/>
          <w:b w:val="false"/>
          <w:sz w:val="24"/>
          <w:szCs w:val="24"/>
          <w:lang w:val="ru-RU" w:eastAsia="en-US"/>
        </w:rPr>
      </w:pPr>
      <w:r>
        <w:rPr>
          <w:sz w:val="24"/>
          <w:szCs w:val="24"/>
          <w:lang w:val="ru-RU" w:eastAsia="en-US"/>
        </w:rPr>
        <w:t>«Сводная смета»</w:t>
      </w:r>
      <w:r>
        <w:rPr>
          <w:b w:val="false"/>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3"/>
        <w:keepNext w:val="false"/>
        <w:widowControl w:val="false"/>
        <w:tabs>
          <w:tab w:val="clear" w:pos="708"/>
          <w:tab w:val="left" w:pos="567" w:leader="none"/>
        </w:tabs>
        <w:overflowPunct w:val="true"/>
        <w:spacing w:before="0" w:after="0"/>
        <w:ind w:firstLine="708"/>
        <w:jc w:val="both"/>
        <w:textAlignment w:val="baseline"/>
        <w:rPr>
          <w:b w:val="false"/>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исходные данные, объем и состав Работ по Договору, а также требования Заказчика к выполнению Подрядчиком Работ по Дог</w:t>
      </w:r>
      <w:r>
        <w:rPr>
          <w:b w:val="false"/>
          <w:sz w:val="24"/>
          <w:szCs w:val="24"/>
          <w:shd w:fill="auto" w:val="clear"/>
          <w:lang w:val="ru-RU" w:eastAsia="en-US"/>
        </w:rPr>
        <w:t>овору в целом.</w:t>
      </w:r>
    </w:p>
    <w:p>
      <w:pPr>
        <w:pStyle w:val="3"/>
        <w:widowControl w:val="false"/>
        <w:tabs>
          <w:tab w:val="clear" w:pos="708"/>
          <w:tab w:val="left" w:pos="567" w:leader="none"/>
        </w:tabs>
        <w:overflowPunct w:val="true"/>
        <w:spacing w:before="0" w:after="0"/>
        <w:ind w:firstLine="708"/>
        <w:jc w:val="both"/>
        <w:textAlignment w:val="baseline"/>
        <w:rPr>
          <w:shd w:fill="auto" w:val="clear"/>
        </w:rPr>
      </w:pPr>
      <w:r>
        <w:rPr>
          <w:rFonts w:ascii="Liberation Serif" w:hAnsi="Liberation Serif"/>
          <w:b/>
          <w:bCs/>
          <w:sz w:val="24"/>
          <w:szCs w:val="24"/>
          <w:shd w:fill="auto" w:val="clear"/>
          <w:lang w:val="ru-RU" w:eastAsia="en-US"/>
        </w:rPr>
        <w:t xml:space="preserve">«Универсальный передаточный документ (УПД)» </w:t>
      </w:r>
      <w:r>
        <w:rPr>
          <w:rFonts w:ascii="Liberation Serif" w:hAnsi="Liberation Serif"/>
          <w:b w:val="false"/>
          <w:bCs w:val="false"/>
          <w:sz w:val="24"/>
          <w:szCs w:val="24"/>
          <w:shd w:fill="auto" w:val="clear"/>
          <w:lang w:val="ru-RU" w:eastAsia="en-US"/>
        </w:rPr>
        <w:t>– форма докуме</w:t>
      </w:r>
      <w:r>
        <w:rPr>
          <w:rFonts w:ascii="Liberation Serif" w:hAnsi="Liberation Serif"/>
          <w:b w:val="false"/>
          <w:sz w:val="24"/>
          <w:szCs w:val="24"/>
          <w:shd w:fill="auto"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3"/>
        <w:keepNext w:val="false"/>
        <w:widowControl w:val="false"/>
        <w:tabs>
          <w:tab w:val="clear" w:pos="708"/>
          <w:tab w:val="left" w:pos="567" w:leader="none"/>
        </w:tabs>
        <w:overflowPunct w:val="true"/>
        <w:spacing w:before="0" w:after="0"/>
        <w:ind w:firstLine="708"/>
        <w:jc w:val="both"/>
        <w:textAlignment w:val="baseline"/>
        <w:rPr>
          <w:b w:val="false"/>
          <w:b w:val="false"/>
          <w:sz w:val="24"/>
          <w:szCs w:val="24"/>
          <w:lang w:val="ru-RU" w:eastAsia="en-US"/>
        </w:rPr>
      </w:pPr>
      <w:r>
        <w:rPr>
          <w:sz w:val="24"/>
          <w:szCs w:val="24"/>
          <w:lang w:val="ru-RU" w:eastAsia="en-US"/>
        </w:rPr>
        <w:t xml:space="preserve"> </w:t>
      </w: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Normal"/>
        <w:spacing w:lineRule="auto" w:line="240"/>
        <w:rPr>
          <w:lang w:eastAsia="en-US"/>
        </w:rPr>
      </w:pPr>
      <w:r>
        <w:rPr>
          <w:lang w:eastAsia="en-US"/>
        </w:rPr>
      </w:r>
    </w:p>
    <w:p>
      <w:pPr>
        <w:pStyle w:val="ListParagraph"/>
        <w:numPr>
          <w:ilvl w:val="0"/>
          <w:numId w:val="1"/>
        </w:numPr>
        <w:shd w:val="clear" w:color="auto" w:fill="FFFFFF"/>
        <w:tabs>
          <w:tab w:val="clear" w:pos="708"/>
          <w:tab w:val="left" w:pos="284" w:leader="none"/>
        </w:tabs>
        <w:ind w:left="0" w:hanging="0"/>
        <w:jc w:val="center"/>
        <w:rPr>
          <w:b/>
          <w:b/>
          <w:bCs/>
        </w:rPr>
      </w:pPr>
      <w:r>
        <w:rPr>
          <w:b/>
          <w:bCs/>
        </w:rPr>
        <w:t>Предмет Договора</w:t>
      </w:r>
    </w:p>
    <w:p>
      <w:pPr>
        <w:pStyle w:val="ListParagraph"/>
        <w:numPr>
          <w:ilvl w:val="1"/>
          <w:numId w:val="1"/>
        </w:numPr>
        <w:shd w:val="clear" w:color="auto" w:fill="FFFFFF"/>
        <w:tabs>
          <w:tab w:val="clear" w:pos="708"/>
          <w:tab w:val="left" w:pos="1134" w:leader="none"/>
        </w:tabs>
        <w:ind w:left="0" w:firstLine="709"/>
        <w:jc w:val="both"/>
        <w:rPr>
          <w:bCs/>
        </w:rPr>
      </w:pPr>
      <w:bookmarkStart w:id="0" w:name="_Ref361410951"/>
      <w:r>
        <w:rPr>
          <w:bCs/>
        </w:rPr>
        <w:t>П</w:t>
      </w:r>
      <w:r>
        <w:rPr>
          <w:bCs/>
          <w:sz w:val="24"/>
          <w:szCs w:val="24"/>
        </w:rPr>
        <w:t xml:space="preserve">одрядчик обязуется по заданию Заказчика в соответствии с Техническим заданием (Приложение № 1 к Договору) выполнить проектные работы </w:t>
      </w:r>
      <w:r>
        <w:rPr>
          <w:bCs/>
          <w:sz w:val="24"/>
          <w:szCs w:val="24"/>
          <w:shd w:fill="auto" w:val="clear"/>
        </w:rPr>
        <w:t xml:space="preserve">для осуществления монтажа средств охраны на ПС на территории обслуживания филиала «Амурские электрические сети» </w:t>
      </w:r>
      <w:bookmarkEnd w:id="0"/>
      <w:r>
        <w:rPr>
          <w:bCs/>
          <w:sz w:val="24"/>
          <w:szCs w:val="24"/>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1"/>
        </w:numPr>
        <w:shd w:val="clear" w:color="auto" w:fill="FFFFFF"/>
        <w:tabs>
          <w:tab w:val="clear" w:pos="708"/>
          <w:tab w:val="left" w:pos="1134" w:leader="none"/>
        </w:tabs>
        <w:ind w:left="0" w:firstLine="709"/>
        <w:jc w:val="both"/>
        <w:rPr>
          <w:bCs/>
        </w:rPr>
      </w:pPr>
      <w:r>
        <w:rPr>
          <w:bCs/>
          <w:sz w:val="24"/>
          <w:szCs w:val="24"/>
        </w:rPr>
        <w:t>В со</w:t>
      </w:r>
      <w:r>
        <w:rPr>
          <w:bCs/>
          <w:sz w:val="24"/>
          <w:szCs w:val="24"/>
          <w:shd w:fill="auto" w:val="clear"/>
        </w:rPr>
        <w:t xml:space="preserve">став Работ по Договору </w:t>
      </w:r>
      <w:r>
        <w:rPr>
          <w:bCs/>
          <w:shd w:fill="auto" w:val="clear"/>
        </w:rPr>
        <w:t>входят:</w:t>
      </w:r>
    </w:p>
    <w:p>
      <w:pPr>
        <w:pStyle w:val="ListParagraph"/>
        <w:numPr>
          <w:ilvl w:val="2"/>
          <w:numId w:val="1"/>
        </w:numPr>
        <w:shd w:val="clear" w:color="auto" w:fill="FFFFFF"/>
        <w:tabs>
          <w:tab w:val="clear" w:pos="708"/>
          <w:tab w:val="left" w:pos="1418" w:leader="none"/>
        </w:tabs>
        <w:ind w:left="0" w:firstLine="709"/>
        <w:jc w:val="both"/>
        <w:rPr>
          <w:shd w:fill="auto" w:val="clear"/>
        </w:rPr>
      </w:pPr>
      <w:r>
        <w:rPr>
          <w:rFonts w:eastAsia="Times New Roman" w:cs="Times New Roman" w:ascii="Liberation Serif" w:hAnsi="Liberation Serif"/>
          <w:b w:val="false"/>
          <w:bCs/>
          <w:sz w:val="24"/>
          <w:szCs w:val="24"/>
          <w:u w:val="none"/>
          <w:shd w:fill="auto" w:val="clear"/>
        </w:rPr>
        <w:t>Обследование;</w:t>
      </w:r>
    </w:p>
    <w:p>
      <w:pPr>
        <w:pStyle w:val="ListParagraph"/>
        <w:numPr>
          <w:ilvl w:val="2"/>
          <w:numId w:val="1"/>
        </w:numPr>
        <w:shd w:val="clear" w:color="auto" w:fill="FFFFFF"/>
        <w:tabs>
          <w:tab w:val="clear" w:pos="708"/>
          <w:tab w:val="left" w:pos="1418" w:leader="none"/>
        </w:tabs>
        <w:ind w:left="0" w:firstLine="710"/>
        <w:jc w:val="both"/>
        <w:rPr>
          <w:shd w:fill="auto" w:val="clear"/>
        </w:rPr>
      </w:pPr>
      <w:r>
        <w:rPr>
          <w:bCs/>
          <w:shd w:fill="auto" w:val="clear"/>
        </w:rPr>
        <w:t>Разработка Рабочей документации</w:t>
      </w:r>
      <w:r>
        <w:rPr>
          <w:shd w:fill="auto" w:val="clear"/>
          <w:lang w:eastAsia="en-US"/>
        </w:rPr>
        <w:t>.</w:t>
      </w:r>
    </w:p>
    <w:p>
      <w:pPr>
        <w:pStyle w:val="ListParagraph"/>
        <w:numPr>
          <w:ilvl w:val="1"/>
          <w:numId w:val="1"/>
        </w:numPr>
        <w:shd w:val="clear" w:color="auto" w:fill="FFFFFF"/>
        <w:tabs>
          <w:tab w:val="clear" w:pos="708"/>
          <w:tab w:val="left" w:pos="1134" w:leader="none"/>
        </w:tabs>
        <w:ind w:left="0" w:firstLine="709"/>
        <w:jc w:val="both"/>
        <w:rPr>
          <w:bCs/>
        </w:rPr>
      </w:pPr>
      <w:r>
        <w:rPr>
          <w:bCs/>
          <w:shd w:fill="auto" w:val="clear"/>
        </w:rPr>
        <w:t>Объем и состав Работ по Договору определяется Техническим заданием (Приложение № 1 к Договору). Работы по Договор</w:t>
      </w:r>
      <w:r>
        <w:rPr>
          <w:bCs/>
        </w:rPr>
        <w:t>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1"/>
        </w:numPr>
        <w:shd w:val="clear" w:color="auto" w:fill="FFFFFF"/>
        <w:tabs>
          <w:tab w:val="clear" w:pos="708"/>
          <w:tab w:val="left" w:pos="1134" w:leader="none"/>
        </w:tabs>
        <w:ind w:left="0" w:firstLine="709"/>
        <w:jc w:val="both"/>
        <w:rPr>
          <w:bCs/>
        </w:rPr>
      </w:pPr>
      <w:r>
        <w:rPr>
          <w:bCs/>
        </w:rPr>
        <w:t>Работы по Договору выполняются для нужд филиала АО «ДРСК» «Амурские электрические сети».</w:t>
      </w:r>
    </w:p>
    <w:p>
      <w:pPr>
        <w:pStyle w:val="ListParagraph"/>
        <w:numPr>
          <w:ilvl w:val="1"/>
          <w:numId w:val="1"/>
        </w:numPr>
        <w:shd w:val="clear" w:color="auto" w:fill="FFFFFF"/>
        <w:tabs>
          <w:tab w:val="clear" w:pos="708"/>
          <w:tab w:val="left" w:pos="1134" w:leader="none"/>
        </w:tabs>
        <w:ind w:left="0" w:firstLine="709"/>
        <w:jc w:val="both"/>
        <w:rPr>
          <w:bCs/>
        </w:rPr>
      </w:pPr>
      <w:bookmarkStart w:id="1" w:name="_Ref361320424"/>
      <w:bookmarkEnd w:id="1"/>
      <w:r>
        <w:rPr>
          <w:bCs/>
        </w:rPr>
        <w:t>Работы выполняются Подрядчиком в следующие сроки:</w:t>
      </w:r>
    </w:p>
    <w:p>
      <w:pPr>
        <w:pStyle w:val="ListParagraph"/>
        <w:numPr>
          <w:ilvl w:val="2"/>
          <w:numId w:val="1"/>
        </w:numPr>
        <w:shd w:val="clear" w:color="auto" w:fill="FFFFFF"/>
        <w:tabs>
          <w:tab w:val="clear" w:pos="708"/>
          <w:tab w:val="left" w:pos="1418" w:leader="none"/>
        </w:tabs>
        <w:ind w:left="0" w:firstLine="709"/>
        <w:jc w:val="both"/>
        <w:rPr/>
      </w:pPr>
      <w:r>
        <w:rPr>
          <w:bCs/>
        </w:rPr>
        <w:t xml:space="preserve">начало выполнения Работ: </w:t>
      </w:r>
      <w:r>
        <w:rPr>
          <w:bCs/>
        </w:rPr>
        <w:t>1</w:t>
      </w:r>
      <w:r>
        <w:rPr>
          <w:bCs/>
        </w:rPr>
        <w:t>1.01.2027</w:t>
      </w:r>
      <w:r>
        <w:rPr/>
        <w:t>;</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shd w:fill="auto" w:val="clear"/>
        </w:rPr>
        <w:t>окончание выполнения Работ: 15.02.2027</w:t>
      </w:r>
      <w:r>
        <w:rPr>
          <w:shd w:fill="auto" w:val="clear"/>
        </w:rPr>
        <w:t>.</w:t>
      </w:r>
    </w:p>
    <w:p>
      <w:pPr>
        <w:pStyle w:val="ListParagraph"/>
        <w:widowControl w:val="false"/>
        <w:numPr>
          <w:ilvl w:val="1"/>
          <w:numId w:val="1"/>
        </w:numPr>
        <w:shd w:val="clear" w:color="auto" w:fill="FFFFFF"/>
        <w:tabs>
          <w:tab w:val="clear" w:pos="708"/>
          <w:tab w:val="left" w:pos="1134" w:leader="none"/>
        </w:tabs>
        <w:ind w:left="0" w:firstLine="709"/>
        <w:jc w:val="both"/>
        <w:rPr/>
      </w:pPr>
      <w:r>
        <w:rPr>
          <w:bCs/>
        </w:rPr>
        <w:t>Выполнение Работ осуществляется в один этап.</w:t>
      </w:r>
    </w:p>
    <w:p>
      <w:pPr>
        <w:pStyle w:val="ListParagraph"/>
        <w:widowControl w:val="false"/>
        <w:shd w:val="clear" w:color="auto" w:fill="FFFFFF"/>
        <w:tabs>
          <w:tab w:val="clear" w:pos="708"/>
          <w:tab w:val="left" w:pos="1134" w:leader="none"/>
        </w:tabs>
        <w:ind w:left="567" w:hanging="0"/>
        <w:jc w:val="both"/>
        <w:rPr/>
      </w:pPr>
      <w:r>
        <w:rPr/>
      </w:r>
    </w:p>
    <w:p>
      <w:pPr>
        <w:pStyle w:val="ListParagraph"/>
        <w:numPr>
          <w:ilvl w:val="0"/>
          <w:numId w:val="1"/>
        </w:numPr>
        <w:shd w:val="clear" w:color="auto" w:fill="FFFFFF"/>
        <w:tabs>
          <w:tab w:val="clear" w:pos="708"/>
          <w:tab w:val="left" w:pos="284" w:leader="none"/>
        </w:tabs>
        <w:ind w:left="0" w:hanging="0"/>
        <w:jc w:val="center"/>
        <w:rPr>
          <w:b/>
          <w:b/>
          <w:bCs/>
        </w:rPr>
      </w:pPr>
      <w:r>
        <w:rPr>
          <w:b/>
          <w:bCs/>
        </w:rPr>
        <w:t xml:space="preserve">Права и обязанности Сторон </w:t>
      </w:r>
    </w:p>
    <w:p>
      <w:pPr>
        <w:pStyle w:val="ListParagraph"/>
        <w:numPr>
          <w:ilvl w:val="1"/>
          <w:numId w:val="1"/>
        </w:numPr>
        <w:shd w:val="clear" w:color="auto" w:fill="FFFFFF"/>
        <w:tabs>
          <w:tab w:val="clear" w:pos="708"/>
          <w:tab w:val="left" w:pos="1134" w:leader="none"/>
        </w:tabs>
        <w:ind w:left="0" w:firstLine="709"/>
        <w:jc w:val="both"/>
        <w:rPr>
          <w:bCs/>
        </w:rPr>
      </w:pPr>
      <w:r>
        <w:rPr>
          <w:bCs/>
          <w:u w:val="single"/>
        </w:rPr>
        <w:t>Заказчик обязан</w:t>
      </w:r>
      <w:r>
        <w:rPr>
          <w:bCs/>
        </w:rPr>
        <w:t>:</w:t>
      </w:r>
    </w:p>
    <w:p>
      <w:pPr>
        <w:pStyle w:val="ListParagraph"/>
        <w:numPr>
          <w:ilvl w:val="2"/>
          <w:numId w:val="1"/>
        </w:numPr>
        <w:shd w:val="clear" w:color="auto" w:fill="FFFFFF"/>
        <w:tabs>
          <w:tab w:val="clear" w:pos="708"/>
          <w:tab w:val="left" w:pos="1418" w:leader="none"/>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1"/>
        </w:numPr>
        <w:shd w:val="clear" w:color="auto" w:fill="FFFFFF"/>
        <w:tabs>
          <w:tab w:val="clear" w:pos="708"/>
          <w:tab w:val="left" w:pos="1418" w:leader="none"/>
        </w:tabs>
        <w:ind w:left="0" w:firstLine="709"/>
        <w:jc w:val="both"/>
        <w:rPr>
          <w:bCs/>
        </w:rPr>
      </w:pPr>
      <w:bookmarkStart w:id="2" w:name="_Ref361396847"/>
      <w:bookmarkStart w:id="3" w:name="_Ref361320734"/>
      <w:bookmarkStart w:id="4" w:name="_Ref361401696"/>
      <w:r>
        <w:rPr>
          <w:bCs/>
        </w:rPr>
        <w:t>В течен</w:t>
      </w:r>
      <w:r>
        <w:rPr>
          <w:bCs/>
          <w:shd w:fill="auto" w:val="clear"/>
        </w:rPr>
        <w:t>ие 3 (трех)</w:t>
      </w:r>
      <w:bookmarkEnd w:id="2"/>
      <w:bookmarkEnd w:id="3"/>
      <w:bookmarkEnd w:id="4"/>
      <w:r>
        <w:rPr>
          <w:bCs/>
          <w:shd w:fill="auto" w:val="clear"/>
        </w:rPr>
        <w:t xml:space="preserve"> рабоч</w:t>
      </w:r>
      <w:r>
        <w:rPr>
          <w:bCs/>
        </w:rPr>
        <w:t>их дней с даты вступления Договора в силу передать (предоставить) Подрядчику 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3 к Договору).</w:t>
      </w:r>
    </w:p>
    <w:p>
      <w:pPr>
        <w:pStyle w:val="ListParagraph"/>
        <w:numPr>
          <w:ilvl w:val="2"/>
          <w:numId w:val="1"/>
        </w:numPr>
        <w:shd w:val="clear" w:color="auto" w:fill="FFFFFF"/>
        <w:tabs>
          <w:tab w:val="clear" w:pos="708"/>
          <w:tab w:val="left" w:pos="1418" w:leader="none"/>
        </w:tabs>
        <w:ind w:left="0" w:firstLine="709"/>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1"/>
        </w:numPr>
        <w:shd w:val="clear" w:color="auto" w:fill="FFFFFF"/>
        <w:tabs>
          <w:tab w:val="clear" w:pos="708"/>
          <w:tab w:val="left" w:pos="709" w:leader="none"/>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1"/>
        </w:numPr>
        <w:shd w:val="clear" w:color="auto" w:fill="FFFFFF"/>
        <w:tabs>
          <w:tab w:val="clear" w:pos="708"/>
          <w:tab w:val="left" w:pos="709" w:leader="none"/>
        </w:tabs>
        <w:ind w:left="0" w:firstLine="710"/>
        <w:jc w:val="both"/>
        <w:rPr>
          <w:bCs/>
        </w:rPr>
      </w:pPr>
      <w:r>
        <w:rPr>
          <w:bCs/>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1"/>
        </w:numPr>
        <w:shd w:val="clear" w:color="auto" w:fill="FFFFFF"/>
        <w:tabs>
          <w:tab w:val="clear" w:pos="708"/>
          <w:tab w:val="left" w:pos="709" w:leader="none"/>
        </w:tabs>
        <w:ind w:left="0" w:firstLine="709"/>
        <w:jc w:val="both"/>
        <w:rPr>
          <w:bCs/>
        </w:rPr>
      </w:pPr>
      <w:r>
        <w:rPr>
          <w:bCs/>
        </w:rPr>
        <w:t>Выполнять иные обязанности, предусмотренные Договором.</w:t>
      </w:r>
    </w:p>
    <w:p>
      <w:pPr>
        <w:pStyle w:val="Normal"/>
        <w:tabs>
          <w:tab w:val="clear" w:pos="708"/>
          <w:tab w:val="left" w:pos="709" w:leader="none"/>
        </w:tabs>
        <w:spacing w:lineRule="auto" w:line="240"/>
        <w:ind w:hanging="0"/>
        <w:rPr>
          <w:b/>
          <w:b/>
          <w:sz w:val="24"/>
          <w:szCs w:val="24"/>
        </w:rPr>
      </w:pPr>
      <w:r>
        <w:rPr>
          <w:b/>
          <w:sz w:val="24"/>
          <w:szCs w:val="24"/>
        </w:rPr>
      </w:r>
    </w:p>
    <w:p>
      <w:pPr>
        <w:pStyle w:val="ListParagraph"/>
        <w:numPr>
          <w:ilvl w:val="1"/>
          <w:numId w:val="1"/>
        </w:numPr>
        <w:shd w:val="clear" w:color="auto" w:fill="FFFFFF"/>
        <w:tabs>
          <w:tab w:val="clear" w:pos="708"/>
          <w:tab w:val="left" w:pos="1134" w:leader="none"/>
        </w:tabs>
        <w:ind w:left="0" w:firstLine="709"/>
        <w:jc w:val="both"/>
        <w:rPr>
          <w:bCs/>
        </w:rPr>
      </w:pPr>
      <w:r>
        <w:rPr>
          <w:bCs/>
          <w:u w:val="single"/>
        </w:rPr>
        <w:t>Заказчик имеет право</w:t>
      </w:r>
      <w:r>
        <w:rPr>
          <w:bCs/>
        </w:rPr>
        <w:t>:</w:t>
      </w:r>
    </w:p>
    <w:p>
      <w:pPr>
        <w:pStyle w:val="ListParagraph"/>
        <w:numPr>
          <w:ilvl w:val="2"/>
          <w:numId w:val="1"/>
        </w:numPr>
        <w:shd w:val="clear" w:color="auto" w:fill="FFFFFF"/>
        <w:tabs>
          <w:tab w:val="clear" w:pos="708"/>
          <w:tab w:val="left" w:pos="1418" w:leader="none"/>
        </w:tabs>
        <w:ind w:left="0" w:firstLine="709"/>
        <w:jc w:val="both"/>
        <w:rPr>
          <w:bCs/>
        </w:rPr>
      </w:pPr>
      <w:r>
        <w:rPr>
          <w:bCs/>
        </w:rPr>
        <w:t>Самостоятельно или с привлечением третьих лиц осуществлять контроль и надзор за ходом и качеством выполняемых Подрядчиком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1"/>
        </w:numPr>
        <w:shd w:val="clear" w:color="auto" w:fill="FFFFFF"/>
        <w:tabs>
          <w:tab w:val="clear" w:pos="708"/>
          <w:tab w:val="left" w:pos="1418" w:leader="none"/>
        </w:tabs>
        <w:ind w:left="0" w:firstLine="709"/>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(Приложение № 1 к Договору),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1"/>
        </w:numPr>
        <w:shd w:val="clear" w:color="auto" w:fill="FFFFFF"/>
        <w:tabs>
          <w:tab w:val="clear" w:pos="708"/>
          <w:tab w:val="left" w:pos="1418" w:leader="none"/>
        </w:tabs>
        <w:ind w:left="0" w:firstLine="709"/>
        <w:jc w:val="both"/>
        <w:rPr>
          <w:bCs/>
        </w:rPr>
      </w:pPr>
      <w:bookmarkStart w:id="6" w:name="_Ref361334468"/>
      <w:bookmarkEnd w:id="6"/>
      <w:r>
        <w:rPr>
          <w:bCs/>
        </w:rPr>
        <w:t>Изымать пропуска и не допускать на территорию Заказчика работников Подрядчика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1"/>
        </w:numPr>
        <w:shd w:val="clear" w:color="auto" w:fill="FFFFFF"/>
        <w:tabs>
          <w:tab w:val="clear" w:pos="708"/>
          <w:tab w:val="left" w:pos="1418" w:leader="none"/>
        </w:tabs>
        <w:ind w:left="0" w:firstLine="709"/>
        <w:jc w:val="both"/>
        <w:rPr>
          <w:bCs/>
        </w:rPr>
      </w:pPr>
      <w:bookmarkStart w:id="7" w:name="_Ref361319348"/>
      <w:r>
        <w:rPr>
          <w:bCs/>
        </w:rPr>
        <w:t>Вносить изменения в Техническое задание (Приложение № 1 к Договору)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1"/>
        </w:numPr>
        <w:shd w:val="clear" w:color="auto" w:fill="FFFFFF"/>
        <w:tabs>
          <w:tab w:val="clear" w:pos="708"/>
          <w:tab w:val="left" w:pos="1418" w:leader="none"/>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1"/>
        </w:numPr>
        <w:shd w:val="clear" w:color="auto" w:fill="FFFFFF"/>
        <w:tabs>
          <w:tab w:val="clear" w:pos="708"/>
          <w:tab w:val="left" w:pos="1418" w:leader="none"/>
        </w:tabs>
        <w:ind w:left="0" w:firstLine="710"/>
        <w:jc w:val="both"/>
        <w:rPr>
          <w:bCs/>
        </w:rPr>
      </w:pPr>
      <w:r>
        <w:rPr>
          <w:bCs/>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w:t>
      </w:r>
    </w:p>
    <w:p>
      <w:pPr>
        <w:pStyle w:val="ListParagraph"/>
        <w:numPr>
          <w:ilvl w:val="2"/>
          <w:numId w:val="1"/>
        </w:numPr>
        <w:shd w:val="clear" w:color="auto" w:fill="FFFFFF"/>
        <w:tabs>
          <w:tab w:val="clear" w:pos="708"/>
          <w:tab w:val="left" w:pos="709" w:leader="none"/>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w:t>
      </w:r>
    </w:p>
    <w:p>
      <w:pPr>
        <w:pStyle w:val="ListParagraph"/>
        <w:numPr>
          <w:ilvl w:val="2"/>
          <w:numId w:val="1"/>
        </w:numPr>
        <w:shd w:val="clear" w:color="auto" w:fill="FFFFFF"/>
        <w:tabs>
          <w:tab w:val="clear" w:pos="708"/>
          <w:tab w:val="left" w:pos="709" w:leader="none"/>
        </w:tabs>
        <w:ind w:left="0" w:firstLine="709"/>
        <w:jc w:val="both"/>
        <w:rPr>
          <w:bCs/>
        </w:rPr>
      </w:pPr>
      <w:r>
        <w:rPr>
          <w:bCs/>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numPr>
          <w:ilvl w:val="2"/>
          <w:numId w:val="1"/>
        </w:numPr>
        <w:shd w:val="clear" w:color="auto" w:fill="FFFFFF"/>
        <w:tabs>
          <w:tab w:val="clear" w:pos="708"/>
          <w:tab w:val="left" w:pos="567" w:leader="none"/>
        </w:tabs>
        <w:ind w:left="0" w:firstLine="709"/>
        <w:jc w:val="both"/>
        <w:rPr>
          <w:shd w:fill="auto" w:val="clear"/>
        </w:rPr>
      </w:pPr>
      <w:r>
        <w:rPr>
          <w:b w:val="false"/>
          <w:bCs w:val="false"/>
          <w:i w:val="false"/>
          <w:iCs w:val="false"/>
          <w:sz w:val="24"/>
          <w:szCs w:val="24"/>
          <w:shd w:fill="auto" w:val="clear"/>
        </w:rPr>
        <w:t>В любое время т</w:t>
      </w:r>
      <w:r>
        <w:rPr>
          <w:b w:val="false"/>
          <w:bCs/>
          <w:i w:val="false"/>
          <w:iCs w:val="false"/>
          <w:sz w:val="24"/>
          <w:szCs w:val="24"/>
          <w:shd w:fill="auto" w:val="clear"/>
        </w:rPr>
        <w:t xml:space="preserve">ребовать от Подрядчика представления информации о наличии </w:t>
      </w:r>
      <w:r>
        <w:rPr>
          <w:b w:val="false"/>
          <w:bCs w:val="false"/>
          <w:i w:val="false"/>
          <w:iCs w:val="false"/>
          <w:sz w:val="24"/>
          <w:szCs w:val="24"/>
          <w:shd w:fill="auto"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auto" w:val="clear"/>
        </w:rPr>
        <w:t>.</w:t>
      </w:r>
    </w:p>
    <w:p>
      <w:pPr>
        <w:pStyle w:val="ListParagraph"/>
        <w:shd w:val="clear" w:color="auto" w:fill="FFFFFF"/>
        <w:tabs>
          <w:tab w:val="clear" w:pos="708"/>
          <w:tab w:val="left" w:pos="567" w:leader="none"/>
        </w:tabs>
        <w:ind w:left="0" w:firstLine="567"/>
        <w:jc w:val="both"/>
        <w:rPr>
          <w:bCs/>
          <w:color w:val="FF0000"/>
          <w:shd w:fill="auto" w:val="clear"/>
        </w:rPr>
      </w:pPr>
      <w:r>
        <w:rPr>
          <w:bCs/>
          <w:color w:val="FF0000"/>
          <w:shd w:fill="auto" w:val="clear"/>
        </w:rPr>
      </w:r>
    </w:p>
    <w:p>
      <w:pPr>
        <w:pStyle w:val="ListParagraph"/>
        <w:numPr>
          <w:ilvl w:val="1"/>
          <w:numId w:val="1"/>
        </w:numPr>
        <w:shd w:val="clear" w:color="auto" w:fill="FFFFFF"/>
        <w:tabs>
          <w:tab w:val="clear" w:pos="708"/>
          <w:tab w:val="left" w:pos="1134" w:leader="none"/>
        </w:tabs>
        <w:ind w:left="0" w:firstLine="709"/>
        <w:jc w:val="both"/>
        <w:rPr>
          <w:shd w:fill="auto" w:val="clear"/>
        </w:rPr>
      </w:pPr>
      <w:r>
        <w:rPr>
          <w:bCs/>
          <w:u w:val="single"/>
          <w:shd w:fill="auto" w:val="clear"/>
        </w:rPr>
        <w:t>Подрядчик обязан</w:t>
      </w:r>
      <w:r>
        <w:rPr>
          <w:bCs/>
          <w:shd w:fill="auto" w:val="clear"/>
        </w:rPr>
        <w:t>:</w:t>
      </w:r>
    </w:p>
    <w:p>
      <w:pPr>
        <w:pStyle w:val="ListParagraph"/>
        <w:numPr>
          <w:ilvl w:val="2"/>
          <w:numId w:val="1"/>
        </w:numPr>
        <w:shd w:val="clear" w:color="auto" w:fill="FFFFFF"/>
        <w:tabs>
          <w:tab w:val="clear" w:pos="708"/>
          <w:tab w:val="left" w:pos="1418" w:leader="none"/>
        </w:tabs>
        <w:ind w:left="0" w:firstLine="709"/>
        <w:jc w:val="both"/>
        <w:rPr>
          <w:bCs/>
        </w:rPr>
      </w:pPr>
      <w:r>
        <w:rPr>
          <w:bCs/>
          <w:shd w:fill="auto" w:val="clear"/>
        </w:rPr>
        <w:t>Выполни</w:t>
      </w:r>
      <w:r>
        <w:rPr>
          <w:bCs/>
        </w:rPr>
        <w:t>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1"/>
        </w:numPr>
        <w:shd w:val="clear" w:color="auto" w:fill="FFFFFF"/>
        <w:tabs>
          <w:tab w:val="clear" w:pos="708"/>
          <w:tab w:val="left" w:pos="1418" w:leader="none"/>
        </w:tabs>
        <w:ind w:left="0" w:firstLine="709"/>
        <w:jc w:val="both"/>
        <w:rPr>
          <w:bCs/>
        </w:rPr>
      </w:pPr>
      <w:r>
        <w:rPr>
          <w:bCs/>
        </w:rPr>
        <w:t>Принять от Заказчика на время выполнения Работ по Договору 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3 к Договору).</w:t>
      </w:r>
    </w:p>
    <w:p>
      <w:pPr>
        <w:pStyle w:val="ListParagraph"/>
        <w:numPr>
          <w:ilvl w:val="2"/>
          <w:numId w:val="1"/>
        </w:numPr>
        <w:shd w:val="clear" w:color="auto" w:fill="FFFFFF"/>
        <w:tabs>
          <w:tab w:val="clear" w:pos="708"/>
          <w:tab w:val="left" w:pos="1418" w:leader="none"/>
        </w:tabs>
        <w:ind w:left="0" w:firstLine="709"/>
        <w:jc w:val="both"/>
        <w:rPr>
          <w:bCs/>
        </w:rPr>
      </w:pPr>
      <w:r>
        <w:rPr>
          <w:bCs/>
        </w:rPr>
        <w:t>Выдать замечания в отношении технической и иной документации, предоставленной Заказчиком, в течен</w:t>
      </w:r>
      <w:r>
        <w:rPr>
          <w:bCs/>
          <w:shd w:fill="auto" w:val="clear"/>
        </w:rPr>
        <w:t>ие 10 (десяти) рабоч</w:t>
      </w:r>
      <w:r>
        <w:rPr>
          <w:bCs/>
        </w:rPr>
        <w:t>их дней с даты принятия ее по Акту сдачи-приемки технической и иной документации (Приложение № 3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1"/>
        </w:numPr>
        <w:tabs>
          <w:tab w:val="clear" w:pos="708"/>
          <w:tab w:val="left" w:pos="709" w:leader="none"/>
          <w:tab w:val="left" w:pos="1430" w:leader="none"/>
        </w:tabs>
        <w:spacing w:lineRule="auto" w:line="240"/>
        <w:ind w:left="0" w:firstLine="709"/>
        <w:rPr>
          <w:sz w:val="24"/>
          <w:szCs w:val="24"/>
        </w:rPr>
      </w:pPr>
      <w:r>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с Техническим заданием (Приложение № 1 к Договору) должен предоставить Заказчик.</w:t>
      </w:r>
    </w:p>
    <w:p>
      <w:pPr>
        <w:pStyle w:val="Normal"/>
        <w:widowControl w:val="false"/>
        <w:numPr>
          <w:ilvl w:val="2"/>
          <w:numId w:val="1"/>
        </w:numPr>
        <w:tabs>
          <w:tab w:val="clear" w:pos="708"/>
          <w:tab w:val="left" w:pos="709" w:leader="none"/>
          <w:tab w:val="left" w:pos="1430" w:leader="none"/>
        </w:tabs>
        <w:spacing w:lineRule="auto" w:line="240"/>
        <w:ind w:left="0" w:firstLine="709"/>
        <w:rPr>
          <w:bCs/>
          <w:sz w:val="24"/>
          <w:szCs w:val="24"/>
        </w:rPr>
      </w:pPr>
      <w:r>
        <w:rPr>
          <w:bCs/>
          <w:sz w:val="24"/>
          <w:szCs w:val="24"/>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2"/>
          <w:numId w:val="1"/>
        </w:numPr>
        <w:shd w:val="clear" w:color="auto" w:fill="FFFFFF"/>
        <w:tabs>
          <w:tab w:val="clear" w:pos="708"/>
          <w:tab w:val="left" w:pos="1418" w:leader="none"/>
        </w:tabs>
        <w:ind w:left="0" w:firstLine="709"/>
        <w:jc w:val="both"/>
        <w:rPr>
          <w:bCs/>
        </w:rPr>
      </w:pPr>
      <w:r>
        <w:rPr>
          <w:bCs/>
        </w:rPr>
        <w:t xml:space="preserve">Обеспечить сохранность переданной Заказчиком по Актам сдачи-приемки технической и иной документации, а также возврат ее Заказчику не позднее даты окончания выполнения Работ, указанной в пункте 1.5.2 Договора, либо в случаях прекращения (расторжения) Договора, указанных в пункте 2.2.2 и разделе 14 Договора, – не позднее 3 (трех) рабочих дней с даты получения соответствующего требования Заказчика. </w:t>
      </w:r>
    </w:p>
    <w:p>
      <w:pPr>
        <w:pStyle w:val="ListParagraph"/>
        <w:numPr>
          <w:ilvl w:val="2"/>
          <w:numId w:val="1"/>
        </w:numPr>
        <w:shd w:val="clear" w:color="auto" w:fill="FFFFFF"/>
        <w:tabs>
          <w:tab w:val="clear" w:pos="708"/>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8"/>
          <w:tab w:val="left" w:pos="1418" w:leader="none"/>
        </w:tabs>
        <w:ind w:left="0" w:firstLine="709"/>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8"/>
          <w:tab w:val="left" w:pos="1418" w:leader="none"/>
        </w:tabs>
        <w:ind w:left="0" w:firstLine="709"/>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8"/>
          <w:tab w:val="left" w:pos="1418" w:leader="none"/>
        </w:tabs>
        <w:ind w:left="0" w:firstLine="709"/>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w:t>
      </w:r>
      <w:r>
        <w:rPr>
          <w:shd w:fill="auto" w:val="clear"/>
        </w:rPr>
        <w:t>имости Работ, если Сторонами письменно не согласовано иное.</w:t>
      </w:r>
    </w:p>
    <w:p>
      <w:pPr>
        <w:pStyle w:val="ListParagraph"/>
        <w:numPr>
          <w:ilvl w:val="2"/>
          <w:numId w:val="1"/>
        </w:numPr>
        <w:shd w:val="clear" w:color="auto" w:fill="FFFFFF"/>
        <w:tabs>
          <w:tab w:val="clear" w:pos="708"/>
          <w:tab w:val="left" w:pos="1418" w:leader="none"/>
        </w:tabs>
        <w:ind w:left="0" w:firstLine="709"/>
        <w:jc w:val="both"/>
        <w:rPr>
          <w:shd w:fill="auto" w:val="clear"/>
        </w:rPr>
      </w:pPr>
      <w:r>
        <w:rPr>
          <w:shd w:fill="auto" w:val="clear"/>
        </w:rPr>
        <w:t xml:space="preserve">Обеспечить </w:t>
      </w:r>
      <w:r>
        <w:rPr>
          <w:bCs/>
          <w:shd w:fill="auto" w:val="clear"/>
        </w:rPr>
        <w:t xml:space="preserve">участие в саморегулируемой организации, основанной на членстве лиц, </w:t>
      </w:r>
      <w:r>
        <w:rPr>
          <w:shd w:fill="auto" w:val="clear"/>
        </w:rPr>
        <w:t>выполняющих подготовку проектной документации</w:t>
      </w:r>
      <w:r>
        <w:rPr>
          <w:bCs/>
          <w:shd w:fill="auto" w:val="clear"/>
        </w:rPr>
        <w:t xml:space="preserve"> (с учетом исключений, предусмотренных законодательством Российской Федерации).</w:t>
      </w:r>
    </w:p>
    <w:p>
      <w:pPr>
        <w:pStyle w:val="ListParagraph"/>
        <w:numPr>
          <w:ilvl w:val="2"/>
          <w:numId w:val="1"/>
        </w:numPr>
        <w:shd w:val="clear" w:color="auto" w:fill="FFFFFF"/>
        <w:tabs>
          <w:tab w:val="clear" w:pos="708"/>
          <w:tab w:val="left" w:pos="1418" w:leader="none"/>
        </w:tabs>
        <w:ind w:left="0" w:firstLine="709"/>
        <w:jc w:val="both"/>
        <w:rPr>
          <w:bCs/>
        </w:rPr>
      </w:pPr>
      <w:r>
        <w:rPr>
          <w:shd w:fill="auto" w:val="clear"/>
        </w:rPr>
        <w:t>Выполнять</w:t>
      </w:r>
      <w:r>
        <w:rPr>
          <w:bCs/>
          <w:shd w:fill="auto" w:val="clear"/>
        </w:rPr>
        <w:t xml:space="preserve"> Работы силами квалифицированных сп</w:t>
      </w:r>
      <w:r>
        <w:rPr>
          <w:bCs/>
        </w:rPr>
        <w:t xml:space="preserve">ециалистов (в том числе, с учетом требований пункта 2.3.7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1"/>
        </w:numPr>
        <w:shd w:val="clear" w:color="auto" w:fill="FFFFFF"/>
        <w:tabs>
          <w:tab w:val="clear" w:pos="708"/>
          <w:tab w:val="left" w:pos="1418" w:leader="none"/>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1"/>
        </w:numPr>
        <w:shd w:val="clear" w:color="auto" w:fill="FFFFFF"/>
        <w:tabs>
          <w:tab w:val="clear" w:pos="708"/>
          <w:tab w:val="left" w:pos="1418" w:leader="none"/>
        </w:tabs>
        <w:ind w:left="0" w:firstLine="709"/>
        <w:jc w:val="both"/>
        <w:rPr>
          <w:bCs/>
        </w:rPr>
      </w:pPr>
      <w:r>
        <w:rPr>
          <w:bCs/>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1"/>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
        </w:numPr>
        <w:shd w:val="clear" w:color="auto" w:fill="FFFFFF"/>
        <w:tabs>
          <w:tab w:val="clear" w:pos="708"/>
          <w:tab w:val="left" w:pos="1418" w:leader="none"/>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
        </w:numPr>
        <w:shd w:val="clear" w:color="auto" w:fill="FFFFFF"/>
        <w:tabs>
          <w:tab w:val="clear" w:pos="708"/>
          <w:tab w:val="left" w:pos="1418" w:leader="none"/>
        </w:tabs>
        <w:ind w:left="0" w:firstLine="709"/>
        <w:jc w:val="both"/>
        <w:rPr>
          <w:bCs/>
        </w:rPr>
      </w:pPr>
      <w:r>
        <w:rPr>
          <w:bCs/>
        </w:rPr>
        <w:t xml:space="preserve">Передать Заказчику Результат работ, соответствующий требованиям Договора. </w:t>
      </w:r>
    </w:p>
    <w:p>
      <w:pPr>
        <w:pStyle w:val="ListParagraph"/>
        <w:numPr>
          <w:ilvl w:val="2"/>
          <w:numId w:val="1"/>
        </w:numPr>
        <w:shd w:val="clear" w:color="auto" w:fill="FFFFFF"/>
        <w:tabs>
          <w:tab w:val="clear" w:pos="708"/>
          <w:tab w:val="left" w:pos="1418" w:leader="none"/>
        </w:tabs>
        <w:ind w:left="0" w:firstLine="709"/>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8"/>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8"/>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2.3.16.1 Договора. </w:t>
      </w:r>
    </w:p>
    <w:p>
      <w:pPr>
        <w:pStyle w:val="ListParagraph"/>
        <w:shd w:val="clear" w:color="auto" w:fill="FFFFFF"/>
        <w:tabs>
          <w:tab w:val="clear" w:pos="708"/>
          <w:tab w:val="left" w:pos="1418" w:leader="none"/>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2.3.16.1 Договора. </w:t>
      </w:r>
    </w:p>
    <w:p>
      <w:pPr>
        <w:pStyle w:val="ListParagraph"/>
        <w:numPr>
          <w:ilvl w:val="2"/>
          <w:numId w:val="1"/>
        </w:numPr>
        <w:shd w:val="clear" w:color="auto" w:fill="FFFFFF"/>
        <w:tabs>
          <w:tab w:val="clear" w:pos="708"/>
          <w:tab w:val="left" w:pos="1418" w:leader="none"/>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1"/>
        </w:numPr>
        <w:shd w:val="clear" w:color="auto" w:fill="FFFFFF"/>
        <w:tabs>
          <w:tab w:val="clear" w:pos="708"/>
          <w:tab w:val="left" w:pos="1701" w:leader="none"/>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1"/>
        </w:numPr>
        <w:shd w:val="clear" w:color="auto" w:fill="FFFFFF"/>
        <w:tabs>
          <w:tab w:val="clear" w:pos="708"/>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1"/>
        </w:numPr>
        <w:shd w:val="clear" w:color="auto" w:fill="FFFFFF"/>
        <w:tabs>
          <w:tab w:val="clear" w:pos="708"/>
          <w:tab w:val="left" w:pos="1701" w:leader="none"/>
        </w:tabs>
        <w:ind w:left="0" w:firstLine="709"/>
        <w:jc w:val="both"/>
        <w:rPr>
          <w:bCs/>
        </w:rPr>
      </w:pPr>
      <w:r>
        <w:rPr>
          <w:bCs/>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8"/>
          <w:tab w:val="left" w:pos="567" w:leader="none"/>
        </w:tabs>
        <w:ind w:left="0" w:firstLine="709"/>
        <w:jc w:val="both"/>
        <w:rPr>
          <w:bCs/>
        </w:rPr>
      </w:pPr>
      <w:r>
        <w:rPr>
          <w:bCs/>
        </w:rPr>
        <w:t>Невыполнение 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
        </w:numPr>
        <w:shd w:val="clear" w:color="auto" w:fill="FFFFFF"/>
        <w:tabs>
          <w:tab w:val="clear" w:pos="708"/>
          <w:tab w:val="left" w:pos="1418" w:leader="none"/>
        </w:tabs>
        <w:ind w:left="0" w:firstLine="709"/>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0"/>
        </w:numPr>
        <w:tabs>
          <w:tab w:val="clear" w:pos="708"/>
          <w:tab w:val="left" w:pos="1134" w:leader="none"/>
        </w:tabs>
        <w:ind w:left="0" w:right="23" w:firstLine="709"/>
        <w:jc w:val="both"/>
        <w:rPr/>
      </w:pPr>
      <w:r>
        <w:rPr/>
        <w:t>аварии – в течение 2 (двух) часов;</w:t>
      </w:r>
    </w:p>
    <w:p>
      <w:pPr>
        <w:pStyle w:val="ListParagraph"/>
        <w:numPr>
          <w:ilvl w:val="0"/>
          <w:numId w:val="10"/>
        </w:numPr>
        <w:tabs>
          <w:tab w:val="clear" w:pos="708"/>
          <w:tab w:val="left" w:pos="1134" w:leader="none"/>
        </w:tabs>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0"/>
        </w:numPr>
        <w:tabs>
          <w:tab w:val="clear" w:pos="708"/>
          <w:tab w:val="left" w:pos="1134" w:leader="none"/>
        </w:tabs>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10"/>
        </w:numPr>
        <w:tabs>
          <w:tab w:val="clear" w:pos="708"/>
          <w:tab w:val="left" w:pos="1134" w:leader="none"/>
        </w:tabs>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0"/>
        </w:numPr>
        <w:tabs>
          <w:tab w:val="clear" w:pos="708"/>
          <w:tab w:val="left" w:pos="1134" w:leader="none"/>
        </w:tabs>
        <w:ind w:left="0" w:right="23"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0"/>
        </w:numPr>
        <w:tabs>
          <w:tab w:val="clear" w:pos="708"/>
          <w:tab w:val="left" w:pos="1134" w:leader="none"/>
        </w:tabs>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
        </w:numPr>
        <w:shd w:val="clear" w:color="auto" w:fill="FFFFFF"/>
        <w:tabs>
          <w:tab w:val="clear" w:pos="708"/>
          <w:tab w:val="left" w:pos="1418" w:leader="none"/>
        </w:tabs>
        <w:ind w:left="0" w:firstLine="709"/>
        <w:jc w:val="both"/>
        <w:rPr>
          <w:bCs/>
        </w:rPr>
      </w:pPr>
      <w: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rPr>
        <w:t>требований Договора.</w:t>
      </w:r>
    </w:p>
    <w:p>
      <w:pPr>
        <w:pStyle w:val="ListParagraph"/>
        <w:numPr>
          <w:ilvl w:val="2"/>
          <w:numId w:val="1"/>
        </w:numPr>
        <w:shd w:val="clear" w:color="auto" w:fill="FFFFFF"/>
        <w:tabs>
          <w:tab w:val="clear" w:pos="708"/>
          <w:tab w:val="left" w:pos="1418" w:leader="none"/>
        </w:tabs>
        <w:ind w:left="0" w:firstLine="709"/>
        <w:jc w:val="both"/>
        <w:rPr>
          <w:bCs/>
        </w:rPr>
      </w:pPr>
      <w:r>
        <w:rPr>
          <w:bCs/>
        </w:rPr>
        <w:t>Незамедлительно приступить к устранению недостатков Результата работ, о которых ему стало известно.</w:t>
      </w:r>
    </w:p>
    <w:p>
      <w:pPr>
        <w:pStyle w:val="ListParagraph"/>
        <w:shd w:val="clear" w:color="auto" w:fill="FFFFFF"/>
        <w:tabs>
          <w:tab w:val="clear" w:pos="708"/>
          <w:tab w:val="left" w:pos="1418" w:leader="none"/>
        </w:tabs>
        <w:ind w:left="0" w:firstLine="709"/>
        <w:jc w:val="both"/>
        <w:rPr>
          <w:bCs/>
        </w:rPr>
      </w:pPr>
      <w:r>
        <w:rPr>
          <w:bCs/>
        </w:rPr>
        <w:t xml:space="preserve">Подрядчик несет ответственность за несоответствие Результата работ Техническому заданию (Приложение № 1 к Договору),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Pr>
          <w:shd w:fill="auto" w:val="clear"/>
          <w:lang w:eastAsia="en-US"/>
        </w:rPr>
        <w:t>Рабочей документации</w:t>
      </w:r>
      <w:r>
        <w:rPr>
          <w:bCs/>
          <w:shd w:fill="auto" w:val="clear"/>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shd w:fill="auto" w:val="clear"/>
          <w:lang w:eastAsia="en-US"/>
        </w:rPr>
        <w:t>Рабочей документации</w:t>
      </w:r>
      <w:r>
        <w:rPr>
          <w:bCs/>
          <w:shd w:fill="auto" w:val="clear"/>
        </w:rPr>
        <w:t>.</w:t>
      </w:r>
    </w:p>
    <w:p>
      <w:pPr>
        <w:pStyle w:val="ListParagraph"/>
        <w:numPr>
          <w:ilvl w:val="2"/>
          <w:numId w:val="1"/>
        </w:numPr>
        <w:shd w:val="clear" w:color="auto" w:fill="FFFFFF"/>
        <w:tabs>
          <w:tab w:val="clear" w:pos="708"/>
          <w:tab w:val="left" w:pos="1418" w:leader="none"/>
        </w:tabs>
        <w:ind w:left="0" w:firstLine="709"/>
        <w:jc w:val="both"/>
        <w:rPr>
          <w:bCs/>
        </w:rPr>
      </w:pPr>
      <w:r>
        <w:rPr>
          <w:bCs/>
        </w:rPr>
        <w:t>В случае предъявления налоговыми органами претензий и требований к Заказчику, связанных с предоставлением Подрядчиком недостоверных документов или информации, компе</w:t>
      </w:r>
      <w:r>
        <w:rPr>
          <w:bCs/>
          <w:shd w:fill="auto" w:val="clear"/>
        </w:rPr>
        <w:t xml:space="preserve">нсировать все убытки Заказчика, вызванные такими претензиями и требованиями.  </w:t>
      </w:r>
    </w:p>
    <w:p>
      <w:pPr>
        <w:pStyle w:val="ListParagraph"/>
        <w:numPr>
          <w:ilvl w:val="2"/>
          <w:numId w:val="1"/>
        </w:numPr>
        <w:ind w:left="0" w:firstLine="709"/>
        <w:jc w:val="both"/>
        <w:rPr>
          <w:shd w:fill="auto" w:val="clear"/>
        </w:rPr>
      </w:pPr>
      <w:r>
        <w:rPr>
          <w:color w:val="000000"/>
          <w:shd w:fill="auto" w:val="clear"/>
        </w:rPr>
        <w:t>Предоставить Заказчику банковские гарантии в соответствии с разделом 6 Договора.</w:t>
      </w:r>
    </w:p>
    <w:p>
      <w:pPr>
        <w:pStyle w:val="ListParagraph"/>
        <w:numPr>
          <w:ilvl w:val="2"/>
          <w:numId w:val="1"/>
        </w:numPr>
        <w:shd w:val="clear" w:color="auto" w:fill="FFFFFF"/>
        <w:tabs>
          <w:tab w:val="clear" w:pos="708"/>
          <w:tab w:val="left" w:pos="1418" w:leader="none"/>
        </w:tabs>
        <w:ind w:left="0" w:firstLine="710"/>
        <w:jc w:val="both"/>
        <w:rPr/>
      </w:pPr>
      <w:r>
        <w:rPr>
          <w:shd w:fill="auto" w:val="clear"/>
        </w:rPr>
        <w:t>Не передавать Ре</w:t>
      </w:r>
      <w:r>
        <w:rPr/>
        <w:t>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w:t>
      </w:r>
      <w:r>
        <w:rPr>
          <w:shd w:fill="auto" w:val="clear"/>
        </w:rPr>
        <w:t>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1"/>
        </w:numPr>
        <w:shd w:val="clear" w:color="auto" w:fill="FFFFFF"/>
        <w:tabs>
          <w:tab w:val="clear" w:pos="708"/>
          <w:tab w:val="left" w:pos="1418" w:leader="none"/>
        </w:tabs>
        <w:ind w:left="0" w:firstLine="710"/>
        <w:jc w:val="both"/>
        <w:rPr>
          <w:shd w:fill="auto" w:val="clear"/>
        </w:rPr>
      </w:pPr>
      <w:bookmarkStart w:id="8" w:name="_GoBack1"/>
      <w:bookmarkEnd w:id="8"/>
      <w:r>
        <w:rPr>
          <w:shd w:fill="auto"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
        </w:numPr>
        <w:shd w:val="clear" w:color="auto" w:fill="FFFFFF"/>
        <w:tabs>
          <w:tab w:val="clear" w:pos="708"/>
          <w:tab w:val="left" w:pos="1418" w:leader="none"/>
        </w:tabs>
        <w:ind w:left="0" w:firstLine="710"/>
        <w:jc w:val="both"/>
        <w:rPr>
          <w:shd w:fill="auto" w:val="clear"/>
        </w:rPr>
      </w:pPr>
      <w:r>
        <w:rPr>
          <w:b w:val="false"/>
          <w:bCs w:val="false"/>
          <w:i w:val="false"/>
          <w:iCs w:val="false"/>
          <w:sz w:val="24"/>
          <w:szCs w:val="24"/>
          <w:shd w:fill="auto"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auto" w:val="clear"/>
        </w:rPr>
        <w:t xml:space="preserve">наличии </w:t>
      </w:r>
      <w:r>
        <w:rPr>
          <w:b w:val="false"/>
          <w:bCs w:val="false"/>
          <w:i w:val="false"/>
          <w:iCs w:val="false"/>
          <w:sz w:val="24"/>
          <w:szCs w:val="24"/>
          <w:shd w:fill="auto" w:val="clear"/>
        </w:rPr>
        <w:t>необходимых для выполнения работ кадровых ресурсов (персонала), техники и материально-технических ресурсов.</w:t>
      </w:r>
    </w:p>
    <w:p>
      <w:pPr>
        <w:pStyle w:val="ListParagraph"/>
        <w:numPr>
          <w:ilvl w:val="2"/>
          <w:numId w:val="1"/>
        </w:numPr>
        <w:shd w:val="clear" w:color="auto" w:fill="FFFFFF"/>
        <w:tabs>
          <w:tab w:val="clear" w:pos="708"/>
          <w:tab w:val="left" w:pos="1418" w:leader="none"/>
        </w:tabs>
        <w:ind w:left="0" w:firstLine="710"/>
        <w:jc w:val="both"/>
        <w:rPr>
          <w:shd w:fill="auto" w:val="clear"/>
        </w:rPr>
      </w:pPr>
      <w:r>
        <w:rPr>
          <w:b w:val="false"/>
          <w:bCs w:val="false"/>
          <w:i w:val="false"/>
          <w:iCs w:val="false"/>
          <w:caps w:val="false"/>
          <w:smallCaps w:val="false"/>
          <w:sz w:val="24"/>
          <w:szCs w:val="24"/>
          <w:shd w:fill="auto" w:val="clear"/>
        </w:rPr>
        <w:t xml:space="preserve">В течение 5 (пяти) рабочих дней с момента заключения договора, а также в случае получения требования Заказчика, указанного в п.2.2.10 Договора, предоставить Заказчику полную информацию о </w:t>
      </w:r>
      <w:r>
        <w:rPr>
          <w:b w:val="false"/>
          <w:bCs/>
          <w:i w:val="false"/>
          <w:iCs w:val="false"/>
          <w:caps w:val="false"/>
          <w:smallCaps w:val="false"/>
          <w:sz w:val="24"/>
          <w:szCs w:val="24"/>
          <w:shd w:fill="auto" w:val="clear"/>
        </w:rPr>
        <w:t xml:space="preserve">наличии </w:t>
      </w:r>
      <w:r>
        <w:rPr>
          <w:b w:val="false"/>
          <w:bCs w:val="false"/>
          <w:i w:val="false"/>
          <w:iCs w:val="false"/>
          <w:caps w:val="false"/>
          <w:smallCaps w:val="false"/>
          <w:sz w:val="24"/>
          <w:szCs w:val="24"/>
          <w:shd w:fill="auto"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p>
    <w:p>
      <w:pPr>
        <w:pStyle w:val="ListParagraph"/>
        <w:numPr>
          <w:ilvl w:val="2"/>
          <w:numId w:val="1"/>
        </w:numPr>
        <w:shd w:val="clear" w:color="auto" w:fill="FFFFFF"/>
        <w:tabs>
          <w:tab w:val="clear" w:pos="708"/>
          <w:tab w:val="left" w:pos="1418" w:leader="none"/>
        </w:tabs>
        <w:ind w:left="0" w:firstLine="709"/>
        <w:jc w:val="both"/>
        <w:rPr>
          <w:shd w:fill="auto" w:val="clear"/>
        </w:rPr>
      </w:pPr>
      <w:r>
        <w:rPr>
          <w:shd w:fill="auto" w:val="clear"/>
        </w:rPr>
        <w:t xml:space="preserve">Исполнять иные обязанности, предусмотренные Договором и </w:t>
      </w:r>
      <w:r>
        <w:rPr>
          <w:bCs/>
          <w:shd w:fill="auto" w:val="clear"/>
        </w:rPr>
        <w:t>законодательством Российской Федерации.</w:t>
      </w:r>
      <w:r>
        <w:rPr>
          <w:shd w:fill="auto" w:val="clear"/>
        </w:rPr>
        <w:t xml:space="preserve"> </w:t>
      </w:r>
    </w:p>
    <w:p>
      <w:pPr>
        <w:pStyle w:val="ListParagraph"/>
        <w:numPr>
          <w:ilvl w:val="0"/>
          <w:numId w:val="0"/>
        </w:numPr>
        <w:shd w:val="clear" w:color="auto" w:fill="FFFFFF"/>
        <w:tabs>
          <w:tab w:val="clear" w:pos="708"/>
          <w:tab w:val="left" w:pos="1418" w:leader="none"/>
        </w:tabs>
        <w:ind w:left="1214" w:hanging="0"/>
        <w:jc w:val="both"/>
        <w:rPr>
          <w:shd w:fill="auto" w:val="clear"/>
        </w:rPr>
      </w:pPr>
      <w:r>
        <w:rPr>
          <w:shd w:fill="auto" w:val="clear"/>
        </w:rPr>
      </w:r>
    </w:p>
    <w:p>
      <w:pPr>
        <w:pStyle w:val="ListParagraph"/>
        <w:numPr>
          <w:ilvl w:val="0"/>
          <w:numId w:val="1"/>
        </w:numPr>
        <w:shd w:val="clear" w:color="auto" w:fill="FFFFFF"/>
        <w:tabs>
          <w:tab w:val="clear" w:pos="708"/>
          <w:tab w:val="left" w:pos="284" w:leader="none"/>
        </w:tabs>
        <w:ind w:left="0" w:hanging="0"/>
        <w:jc w:val="center"/>
        <w:rPr/>
      </w:pPr>
      <w:r>
        <w:rPr>
          <w:b/>
          <w:bCs/>
        </w:rPr>
        <w:t>Цена Договора и порядок расчетов</w:t>
      </w:r>
    </w:p>
    <w:p>
      <w:pPr>
        <w:pStyle w:val="ListParagraph"/>
        <w:numPr>
          <w:ilvl w:val="1"/>
          <w:numId w:val="1"/>
        </w:numPr>
        <w:shd w:val="clear" w:color="auto" w:fill="FFFFFF"/>
        <w:tabs>
          <w:tab w:val="clear" w:pos="708"/>
          <w:tab w:val="left" w:pos="1134" w:leader="none"/>
        </w:tabs>
        <w:ind w:left="0" w:firstLine="709"/>
        <w:jc w:val="both"/>
        <w:rPr>
          <w:bCs/>
        </w:rPr>
      </w:pPr>
      <w:r>
        <w:rPr>
          <w:bCs/>
        </w:rPr>
        <w:t xml:space="preserve">Цена </w:t>
      </w:r>
      <w:r>
        <w:rPr/>
        <w:t xml:space="preserve">Договора </w:t>
      </w:r>
      <w:r>
        <w:rPr>
          <w:bCs/>
        </w:rPr>
        <w:t>в соответствии со Сводной сметой с приложениями (Приложение № 2 к Договору) являе</w:t>
      </w:r>
      <w:r>
        <w:rPr>
          <w:bCs/>
          <w:shd w:fill="auto" w:val="clear"/>
        </w:rPr>
        <w:t xml:space="preserve">тся твердой и </w:t>
      </w:r>
      <w:r>
        <w:rPr>
          <w:bCs/>
        </w:rPr>
        <w:t xml:space="preserve">составляет </w:t>
      </w:r>
      <w:r>
        <w:rPr>
          <w:highlight w:val="lightGray"/>
        </w:rPr>
        <w:t>_______</w:t>
      </w:r>
      <w:r>
        <w:rPr>
          <w:bCs/>
        </w:rPr>
        <w:t xml:space="preserve"> (</w:t>
      </w:r>
      <w:r>
        <w:rPr>
          <w:highlight w:val="lightGray"/>
        </w:rPr>
        <w:t>__________________</w:t>
      </w:r>
      <w:r>
        <w:rPr>
          <w:bCs/>
          <w:highlight w:val="lightGray"/>
        </w:rPr>
        <w:t>)</w:t>
      </w:r>
      <w:r>
        <w:rPr>
          <w:bCs/>
        </w:rPr>
        <w:t xml:space="preserve"> рублей </w:t>
      </w:r>
      <w:r>
        <w:rPr>
          <w:highlight w:val="lightGray"/>
        </w:rPr>
        <w:t>___</w:t>
      </w:r>
      <w:r>
        <w:rPr>
          <w:bCs/>
        </w:rPr>
        <w:t xml:space="preserve"> копеек без учета НДС, при этом НДС исчисляется дополнительно по ставке, установленной статьей 164 Налогового кодекса РФ (далее </w:t>
      </w:r>
      <w:r>
        <w:rPr>
          <w:lang w:eastAsia="en-US"/>
        </w:rPr>
        <w:t>– «НК РФ»)</w:t>
      </w:r>
      <w:r>
        <w:rPr>
          <w:bCs/>
        </w:rPr>
        <w:t xml:space="preserve">.  </w:t>
      </w:r>
    </w:p>
    <w:p>
      <w:pPr>
        <w:pStyle w:val="ListParagraph"/>
        <w:numPr>
          <w:ilvl w:val="2"/>
          <w:numId w:val="1"/>
        </w:numPr>
        <w:shd w:val="clear" w:color="auto" w:fill="FFFFFF"/>
        <w:tabs>
          <w:tab w:val="clear" w:pos="708"/>
          <w:tab w:val="left" w:pos="1418" w:leader="none"/>
        </w:tabs>
        <w:ind w:left="0" w:firstLine="709"/>
        <w:jc w:val="both"/>
        <w:rPr>
          <w:bCs/>
        </w:rPr>
      </w:pPr>
      <w:r>
        <w:rPr>
          <w:bCs/>
          <w:shd w:fill="auto" w:val="clear"/>
        </w:rPr>
        <w:t>Твердая цена</w:t>
      </w:r>
      <w:r>
        <w:rPr>
          <w:bCs/>
        </w:rPr>
        <w:t xml:space="preserve"> Работ составляет </w:t>
      </w:r>
      <w:r>
        <w:rPr>
          <w:highlight w:val="lightGray"/>
        </w:rPr>
        <w:t>_______</w:t>
      </w:r>
      <w:r>
        <w:rPr/>
        <w:t xml:space="preserve"> </w:t>
      </w:r>
      <w:r>
        <w:rPr>
          <w:bCs/>
        </w:rPr>
        <w:t>(</w:t>
      </w:r>
      <w:r>
        <w:rPr>
          <w:highlight w:val="lightGray"/>
        </w:rPr>
        <w:t>_______________</w:t>
      </w:r>
      <w:r>
        <w:rPr>
          <w:bCs/>
        </w:rPr>
        <w:t xml:space="preserve">) рублей </w:t>
      </w:r>
      <w:r>
        <w:rPr>
          <w:highlight w:val="lightGray"/>
        </w:rPr>
        <w:t>___</w:t>
      </w:r>
      <w:r>
        <w:rPr>
          <w:bCs/>
        </w:rPr>
        <w:t xml:space="preserve"> копеек без учета НДС, при этом НДС исчисляется дополнительно по ставке, установленной статьей 164 НК РФ.</w:t>
      </w:r>
    </w:p>
    <w:p>
      <w:pPr>
        <w:pStyle w:val="ListParagraph"/>
        <w:widowControl/>
        <w:numPr>
          <w:ilvl w:val="1"/>
          <w:numId w:val="1"/>
        </w:numPr>
        <w:shd w:val="clear" w:color="auto" w:fill="FFFFFF"/>
        <w:tabs>
          <w:tab w:val="clear" w:pos="708"/>
          <w:tab w:val="left" w:pos="1134" w:leader="none"/>
        </w:tabs>
        <w:suppressAutoHyphens w:val="true"/>
        <w:bidi w:val="0"/>
        <w:spacing w:lineRule="auto" w:line="240" w:before="0" w:after="0"/>
        <w:ind w:left="0" w:right="0" w:firstLine="737"/>
        <w:contextualSpacing/>
        <w:jc w:val="both"/>
        <w:rPr>
          <w:shd w:fill="auto" w:val="clear"/>
        </w:rPr>
      </w:pPr>
      <w:r>
        <w:rPr>
          <w:shd w:fill="auto" w:val="clear"/>
        </w:rPr>
        <w:t xml:space="preserve"> </w:t>
      </w:r>
      <w:r>
        <w:rPr>
          <w:shd w:fill="auto" w:val="clear"/>
        </w:rPr>
        <w:t>Сметы являются неотъемлемой частью Сводной сметы с приложениями (Приложение № 2 к Договору)</w:t>
      </w:r>
      <w:bookmarkStart w:id="9" w:name="_Ref361335465"/>
      <w:bookmarkEnd w:id="9"/>
      <w:r>
        <w:rPr>
          <w:bCs/>
          <w:shd w:fill="auto" w:val="clear"/>
        </w:rPr>
        <w:t>.</w:t>
      </w:r>
    </w:p>
    <w:p>
      <w:pPr>
        <w:pStyle w:val="ListParagraph"/>
        <w:numPr>
          <w:ilvl w:val="1"/>
          <w:numId w:val="1"/>
        </w:numPr>
        <w:shd w:val="clear" w:color="auto" w:fill="FFFFFF"/>
        <w:tabs>
          <w:tab w:val="clear" w:pos="708"/>
          <w:tab w:val="left" w:pos="1134" w:leader="none"/>
        </w:tabs>
        <w:ind w:left="0" w:firstLine="709"/>
        <w:jc w:val="both"/>
        <w:rPr/>
      </w:pPr>
      <w:r>
        <w:rPr>
          <w:bCs/>
          <w:shd w:fill="auto" w:val="clear"/>
        </w:rPr>
        <w:t>Цена Договора включа</w:t>
      </w:r>
      <w:r>
        <w:rPr>
          <w:bCs/>
        </w:rPr>
        <w:t>ет в себя прибыль Подрядчика, а также все расходы и затраты Подрядчика на:</w:t>
      </w:r>
    </w:p>
    <w:p>
      <w:pPr>
        <w:pStyle w:val="ListParagraph"/>
        <w:numPr>
          <w:ilvl w:val="2"/>
          <w:numId w:val="1"/>
        </w:numPr>
        <w:shd w:val="clear" w:color="auto" w:fill="FFFFFF"/>
        <w:tabs>
          <w:tab w:val="clear" w:pos="708"/>
          <w:tab w:val="left" w:pos="1418" w:leader="none"/>
        </w:tabs>
        <w:ind w:left="0" w:firstLine="709"/>
        <w:jc w:val="both"/>
        <w:rPr/>
      </w:pPr>
      <w:r>
        <w:rPr/>
        <w:t xml:space="preserve">Приобретение Материально-технических ресурсов </w:t>
      </w:r>
      <w:r>
        <w:rPr>
          <w:bCs/>
        </w:rPr>
        <w:t>и оборудования</w:t>
      </w:r>
      <w: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1"/>
        </w:numPr>
        <w:shd w:val="clear" w:color="auto" w:fill="FFFFFF"/>
        <w:tabs>
          <w:tab w:val="clear" w:pos="708"/>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1"/>
        </w:numPr>
        <w:shd w:val="clear" w:color="auto" w:fill="FFFFFF"/>
        <w:tabs>
          <w:tab w:val="clear" w:pos="708"/>
          <w:tab w:val="left" w:pos="1418" w:leader="none"/>
        </w:tabs>
        <w:ind w:left="0" w:firstLine="709"/>
        <w:jc w:val="both"/>
        <w:rPr/>
      </w:pPr>
      <w:r>
        <w:rPr/>
        <w:t>Подлежащие уплате налоги (в том числе НДС), сборы и пошлины (в том числе по таможенному оформлению Материально-технических ресурсов</w:t>
      </w:r>
      <w:r>
        <w:rPr>
          <w:bCs/>
        </w:rPr>
        <w:t xml:space="preserve"> и оборудования</w:t>
      </w:r>
      <w:r>
        <w:rPr/>
        <w:t xml:space="preserve">, если применимо); </w:t>
      </w:r>
    </w:p>
    <w:p>
      <w:pPr>
        <w:pStyle w:val="ListParagraph"/>
        <w:numPr>
          <w:ilvl w:val="2"/>
          <w:numId w:val="1"/>
        </w:numPr>
        <w:shd w:val="clear" w:color="auto" w:fill="FFFFFF"/>
        <w:tabs>
          <w:tab w:val="clear" w:pos="708"/>
          <w:tab w:val="left" w:pos="1418" w:leader="none"/>
        </w:tabs>
        <w:ind w:left="0" w:firstLine="709"/>
        <w:jc w:val="both"/>
        <w:rPr/>
      </w:pPr>
      <w: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1"/>
        </w:numPr>
        <w:shd w:val="clear" w:color="auto" w:fill="FFFFFF"/>
        <w:tabs>
          <w:tab w:val="clear" w:pos="708"/>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
        </w:numPr>
        <w:shd w:val="clear" w:color="auto" w:fill="FFFFFF"/>
        <w:tabs>
          <w:tab w:val="clear" w:pos="708"/>
          <w:tab w:val="left" w:pos="1134" w:leader="none"/>
        </w:tabs>
        <w:ind w:left="0" w:firstLine="709"/>
        <w:jc w:val="both"/>
        <w:rPr/>
      </w:pPr>
      <w:bookmarkStart w:id="10" w:name="_Ref361858588"/>
      <w:bookmarkStart w:id="11" w:name="_Ref361834675"/>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1"/>
        </w:numPr>
        <w:shd w:val="clear" w:color="auto" w:fill="FFFFFF"/>
        <w:tabs>
          <w:tab w:val="clear" w:pos="708"/>
          <w:tab w:val="left" w:pos="1418" w:leader="none"/>
        </w:tabs>
        <w:ind w:left="0" w:firstLine="709"/>
        <w:jc w:val="both"/>
        <w:rPr/>
      </w:pPr>
      <w:r>
        <w:rPr/>
        <w:t xml:space="preserve"> </w:t>
      </w:r>
      <w:r>
        <w:rPr>
          <w:shd w:fill="auto" w:val="clear"/>
        </w:rPr>
        <w:t xml:space="preserve"> </w:t>
      </w:r>
      <w:r>
        <w:rPr>
          <w:shd w:fill="auto" w:val="clear"/>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 и предварительно согласованную с Заказчиком.</w:t>
      </w:r>
    </w:p>
    <w:p>
      <w:pPr>
        <w:pStyle w:val="ListParagraph"/>
        <w:numPr>
          <w:ilvl w:val="2"/>
          <w:numId w:val="1"/>
        </w:numPr>
        <w:shd w:val="clear" w:color="auto" w:fill="FFFFFF"/>
        <w:tabs>
          <w:tab w:val="clear" w:pos="708"/>
          <w:tab w:val="left" w:pos="1418" w:leader="none"/>
        </w:tabs>
        <w:ind w:left="0" w:firstLine="709"/>
        <w:jc w:val="both"/>
        <w:rPr>
          <w:shd w:fill="auto" w:val="clear"/>
        </w:rPr>
      </w:pPr>
      <w:bookmarkStart w:id="12" w:name="_Ref373242755"/>
      <w:bookmarkStart w:id="13" w:name="_Ref361335057"/>
      <w:r>
        <w:rPr>
          <w:shd w:fill="auto" w:val="clear"/>
        </w:rPr>
        <w:t xml:space="preserve"> </w:t>
      </w:r>
      <w:bookmarkStart w:id="14" w:name="_Ref361335023"/>
      <w:bookmarkStart w:id="15" w:name="_Ref361834178"/>
      <w:bookmarkEnd w:id="12"/>
      <w:bookmarkEnd w:id="13"/>
      <w:r>
        <w:rPr>
          <w:shd w:fill="auto" w:val="clear"/>
        </w:rPr>
        <w:t>Авансовый платеж в счет стоимости Работ рассчитывается в размере 30  (тридцати) процентов от стоимости Работ, без учета НДС, кроме того НДС по ставке, установленной статьей 164 НК РФ на дату выплаты авансового платежа</w:t>
      </w:r>
      <w:r>
        <w:rPr>
          <w:bCs/>
          <w:shd w:fill="auto" w:val="clear"/>
        </w:rPr>
        <w:t>, и</w:t>
      </w:r>
      <w:r>
        <w:rPr>
          <w:shd w:fill="auto" w:val="clear"/>
        </w:rPr>
        <w:t xml:space="preserve"> выплачивается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начала Работ, определенной в пункте 1.5.1 Договора, и с учетом пунктов 3.5.1, 3.5.4 Дог</w:t>
      </w:r>
      <w:bookmarkStart w:id="16" w:name="_Ref373242766"/>
      <w:bookmarkEnd w:id="16"/>
      <w:r>
        <w:rPr>
          <w:shd w:fill="auto" w:val="clear"/>
        </w:rPr>
        <w:t xml:space="preserve">овора. </w:t>
      </w:r>
    </w:p>
    <w:p>
      <w:pPr>
        <w:pStyle w:val="ListParagraph"/>
        <w:numPr>
          <w:ilvl w:val="2"/>
          <w:numId w:val="1"/>
        </w:numPr>
        <w:shd w:val="clear" w:color="auto" w:fill="FFFFFF"/>
        <w:tabs>
          <w:tab w:val="clear" w:pos="708"/>
          <w:tab w:val="left" w:pos="1418" w:leader="none"/>
        </w:tabs>
        <w:ind w:left="0" w:firstLine="709"/>
        <w:jc w:val="both"/>
        <w:rPr>
          <w:shd w:fill="auto" w:val="clear"/>
        </w:rPr>
      </w:pPr>
      <w:r>
        <w:rPr>
          <w:shd w:fill="auto" w:val="clear"/>
        </w:rPr>
        <w:t>Последующий платеж в размере разницы между стоимостью Работ, определенной с учетом НДС</w:t>
      </w:r>
      <w:r>
        <w:rPr>
          <w:bCs/>
          <w:shd w:fill="auto" w:val="clear"/>
        </w:rPr>
        <w:t xml:space="preserve"> по ставке, установленной статьей 164 НК РФ на дату подписания Сторонами документов, указанных в пункте 4.1 Договора,</w:t>
      </w:r>
      <w:r>
        <w:rPr>
          <w:shd w:fill="auto" w:val="clear"/>
        </w:rPr>
        <w:t xml:space="preserve"> и </w:t>
      </w:r>
      <w:r>
        <w:rPr>
          <w:bCs/>
          <w:shd w:fill="auto" w:val="clear"/>
        </w:rPr>
        <w:t>суммой</w:t>
      </w:r>
      <w:r>
        <w:rPr>
          <w:shd w:fill="auto" w:val="clear"/>
        </w:rPr>
        <w:t xml:space="preserve"> </w:t>
      </w:r>
      <w:r>
        <w:rPr>
          <w:bCs/>
          <w:shd w:fill="auto" w:val="clear"/>
        </w:rPr>
        <w:t>авансового платежа, ранее уплаченного</w:t>
      </w:r>
      <w:r>
        <w:rPr>
          <w:shd w:fill="auto" w:val="clear"/>
        </w:rPr>
        <w:t xml:space="preserve"> в соответствии с пунктом 3.5.2 Договора,</w:t>
      </w:r>
      <w:r>
        <w:rPr>
          <w:bCs/>
          <w:shd w:fill="auto" w:val="clear"/>
        </w:rPr>
        <w:t xml:space="preserve"> </w:t>
      </w:r>
      <w:r>
        <w:rPr>
          <w:shd w:fill="auto" w:val="clear"/>
        </w:rPr>
        <w:t>выплачивается в течение 45 (сорока пяти) календарных дней</w:t>
      </w:r>
      <w:r>
        <w:rPr>
          <w:rStyle w:val="Style12"/>
          <w:shd w:fill="auto" w:val="clear"/>
        </w:rPr>
        <w:footnoteReference w:id="2"/>
      </w:r>
      <w:r>
        <w:rPr>
          <w:shd w:fill="auto" w:val="clear"/>
        </w:rPr>
        <w:t xml:space="preserve"> / 7 (семи) рабочих дней</w:t>
      </w:r>
      <w:r>
        <w:rPr>
          <w:rStyle w:val="Style12"/>
          <w:shd w:fill="auto" w:val="clear"/>
        </w:rPr>
        <w:footnoteReference w:id="3"/>
      </w:r>
      <w:r>
        <w:rPr>
          <w:shd w:fill="auto" w:val="clear"/>
        </w:rPr>
        <w:t xml:space="preserve"> с даты подписания Сторонами документов, указанных в пункте 4.1 Договора, на основании счета, выставленного Подрядчиком, и с учетом пункта  3.5.4 Договора. </w:t>
      </w:r>
    </w:p>
    <w:p>
      <w:pPr>
        <w:pStyle w:val="ListParagraph"/>
        <w:shd w:val="clear" w:color="auto" w:fill="FFFFFF"/>
        <w:tabs>
          <w:tab w:val="clear" w:pos="708"/>
          <w:tab w:val="left" w:pos="1418" w:leader="none"/>
        </w:tabs>
        <w:ind w:left="0" w:firstLine="709"/>
        <w:jc w:val="both"/>
        <w:rPr>
          <w:shd w:fill="auto" w:val="clear"/>
        </w:rPr>
      </w:pPr>
      <w:r>
        <w:rPr>
          <w:shd w:fill="auto" w:val="clear"/>
        </w:rPr>
        <w:t>3.5.4. 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shd w:val="clear" w:color="auto" w:fill="FFFFFF"/>
        <w:tabs>
          <w:tab w:val="clear" w:pos="708"/>
          <w:tab w:val="left" w:pos="1418" w:leader="none"/>
        </w:tabs>
        <w:ind w:left="0" w:firstLine="709"/>
        <w:jc w:val="both"/>
        <w:rPr>
          <w:shd w:fill="auto" w:val="clear"/>
        </w:rPr>
      </w:pPr>
      <w:bookmarkStart w:id="17" w:name="_Ref373242894"/>
      <w:bookmarkEnd w:id="15"/>
      <w:r>
        <w:rPr>
          <w:shd w:fill="auto" w:val="clear"/>
        </w:rPr>
        <w:t>3.5.5. 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предоставил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17"/>
      <w:r>
        <w:rPr>
          <w:shd w:fill="auto" w:val="clear"/>
        </w:rPr>
        <w:t xml:space="preserve"> </w:t>
      </w:r>
    </w:p>
    <w:p>
      <w:pPr>
        <w:pStyle w:val="ListParagraph"/>
        <w:numPr>
          <w:ilvl w:val="1"/>
          <w:numId w:val="1"/>
        </w:numPr>
        <w:shd w:val="clear" w:color="auto" w:fill="FFFFFF"/>
        <w:tabs>
          <w:tab w:val="clear" w:pos="708"/>
          <w:tab w:val="left" w:pos="1418" w:leader="none"/>
        </w:tabs>
        <w:ind w:left="0" w:firstLine="709"/>
        <w:jc w:val="both"/>
        <w:rPr/>
      </w:pPr>
      <w:r>
        <w:rPr>
          <w:shd w:fill="auto"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w:t>
      </w:r>
      <w:r>
        <w:rPr/>
        <w:t xml:space="preserve">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w:t>
      </w:r>
      <w:bookmarkStart w:id="18" w:name="_Ref361336647"/>
      <w:r>
        <w:rPr>
          <w:shd w:fill="FFFFFF" w:val="clear"/>
        </w:rPr>
        <w:t>счета Заказчика.</w:t>
      </w:r>
    </w:p>
    <w:p>
      <w:pPr>
        <w:pStyle w:val="ListParagraph"/>
        <w:numPr>
          <w:ilvl w:val="1"/>
          <w:numId w:val="1"/>
        </w:numPr>
        <w:shd w:val="clear" w:color="auto" w:fill="FFFFFF"/>
        <w:tabs>
          <w:tab w:val="clear" w:pos="708"/>
          <w:tab w:val="left" w:pos="1418" w:leader="none"/>
        </w:tabs>
        <w:ind w:left="0" w:firstLine="709"/>
        <w:jc w:val="both"/>
        <w:rPr>
          <w:bCs/>
        </w:rPr>
      </w:pPr>
      <w:bookmarkStart w:id="19" w:name="_Ref361834206"/>
      <w:bookmarkEnd w:id="18"/>
      <w:bookmarkEnd w:id="19"/>
      <w:r>
        <w:rPr>
          <w:bCs/>
        </w:rPr>
        <w:t xml:space="preserve">За исключением случая, указанного в пункте 2.3.15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bookmarkStart w:id="20" w:name="_Ref361834251"/>
      <w:bookmarkEnd w:id="14"/>
      <w:bookmarkEnd w:id="20"/>
    </w:p>
    <w:p>
      <w:pPr>
        <w:pStyle w:val="ListParagraph"/>
        <w:numPr>
          <w:ilvl w:val="1"/>
          <w:numId w:val="1"/>
        </w:numPr>
        <w:shd w:val="clear" w:color="auto" w:fill="FFFFFF"/>
        <w:tabs>
          <w:tab w:val="clear" w:pos="708"/>
          <w:tab w:val="left" w:pos="1418" w:leader="none"/>
        </w:tabs>
        <w:ind w:left="0" w:firstLine="709"/>
        <w:jc w:val="both"/>
        <w:rPr>
          <w:bCs/>
        </w:rPr>
      </w:pPr>
      <w:r>
        <w:rPr>
          <w:bCs/>
          <w:sz w:val="24"/>
          <w:szCs w:val="24"/>
        </w:rPr>
        <w:t>И</w:t>
      </w:r>
      <w:r>
        <w:rPr>
          <w:bCs/>
        </w:rPr>
        <w:t>ндексация Цены Договора не допускается.</w:t>
      </w:r>
    </w:p>
    <w:p>
      <w:pPr>
        <w:pStyle w:val="ListParagraph"/>
        <w:numPr>
          <w:ilvl w:val="1"/>
          <w:numId w:val="1"/>
        </w:numPr>
        <w:shd w:val="clear" w:color="auto" w:fill="FFFFFF"/>
        <w:tabs>
          <w:tab w:val="clear" w:pos="708"/>
          <w:tab w:val="left" w:pos="1418" w:leader="none"/>
        </w:tabs>
        <w:ind w:left="0" w:firstLine="709"/>
        <w:jc w:val="both"/>
        <w:rPr>
          <w:bCs/>
        </w:rPr>
      </w:pPr>
      <w:r>
        <w:rPr>
          <w:bCs/>
        </w:rPr>
        <w:t xml:space="preserve">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w:t>
      </w:r>
      <w:r>
        <w:rPr>
          <w:bCs/>
          <w:shd w:fill="FFFFFF" w:val="clear"/>
        </w:rPr>
        <w:t>недостатков выполненных Подрядчиком работ.</w:t>
      </w:r>
    </w:p>
    <w:p>
      <w:pPr>
        <w:pStyle w:val="ListParagraph"/>
        <w:shd w:val="clear" w:color="auto" w:fill="FFFFFF"/>
        <w:tabs>
          <w:tab w:val="clear" w:pos="708"/>
          <w:tab w:val="left" w:pos="1134" w:leader="none"/>
          <w:tab w:val="left" w:pos="1418" w:leader="none"/>
        </w:tabs>
        <w:ind w:left="0" w:firstLine="709"/>
        <w:jc w:val="both"/>
        <w:rPr>
          <w:highlight w:val="yellow"/>
        </w:rPr>
      </w:pPr>
      <w:r>
        <w:rPr>
          <w:bCs/>
          <w:shd w:fill="FFFFFF"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left="0" w:firstLine="567"/>
        <w:jc w:val="both"/>
        <w:rPr>
          <w:bCs/>
        </w:rPr>
      </w:pPr>
      <w:r>
        <w:rPr>
          <w:bCs/>
        </w:rPr>
      </w:r>
    </w:p>
    <w:p>
      <w:pPr>
        <w:pStyle w:val="ListParagraph"/>
        <w:numPr>
          <w:ilvl w:val="0"/>
          <w:numId w:val="1"/>
        </w:numPr>
        <w:shd w:val="clear" w:color="auto" w:fill="FFFFFF"/>
        <w:tabs>
          <w:tab w:val="clear" w:pos="708"/>
          <w:tab w:val="left" w:pos="284" w:leader="none"/>
        </w:tabs>
        <w:ind w:left="0" w:hanging="0"/>
        <w:jc w:val="center"/>
        <w:rPr>
          <w:b/>
          <w:b/>
          <w:bCs/>
        </w:rPr>
      </w:pPr>
      <w:r>
        <w:rPr>
          <w:b/>
          <w:bCs/>
        </w:rPr>
        <w:t>Порядок сдачи-приемки Работ</w:t>
      </w:r>
    </w:p>
    <w:p>
      <w:pPr>
        <w:pStyle w:val="ListParagraph"/>
        <w:numPr>
          <w:ilvl w:val="1"/>
          <w:numId w:val="1"/>
        </w:numPr>
        <w:shd w:val="clear" w:color="auto" w:fill="FFFFFF"/>
        <w:tabs>
          <w:tab w:val="clear" w:pos="708"/>
          <w:tab w:val="left" w:pos="1134" w:leader="none"/>
        </w:tabs>
        <w:ind w:left="0" w:firstLine="709"/>
        <w:jc w:val="both"/>
        <w:rPr>
          <w:bCs/>
        </w:rPr>
      </w:pPr>
      <w:bookmarkStart w:id="21" w:name="_Ref361335138"/>
      <w:bookmarkStart w:id="22" w:name="_Ref373242517"/>
      <w:bookmarkStart w:id="23" w:name="_Ref361336754"/>
      <w:r>
        <w:rPr>
          <w:bCs/>
        </w:rPr>
        <w:t>По завершении выполнения Работ Подрядчик представляет Заказчику подписанный со своей стороны в 2 (двух) экземплярах Акт сдачи-приемки выполненных Работ по форме Приложения № 6 к Договору с приложением Результата работ</w:t>
      </w:r>
      <w:r>
        <w:rPr/>
        <w:t>.</w:t>
      </w:r>
      <w:bookmarkEnd w:id="21"/>
      <w:bookmarkEnd w:id="22"/>
      <w:bookmarkEnd w:id="23"/>
      <w:r>
        <w:rPr/>
        <w:t xml:space="preserve"> </w:t>
      </w:r>
    </w:p>
    <w:p>
      <w:pPr>
        <w:pStyle w:val="ListParagraph"/>
        <w:shd w:val="clear" w:color="auto" w:fill="FFFFFF"/>
        <w:tabs>
          <w:tab w:val="clear" w:pos="708"/>
          <w:tab w:val="left" w:pos="1134" w:leader="none"/>
        </w:tabs>
        <w:ind w:left="0" w:firstLine="709"/>
        <w:jc w:val="both"/>
        <w:rPr>
          <w:bCs/>
        </w:rPr>
      </w:pPr>
      <w:r>
        <w:rPr>
          <w:bCs/>
        </w:rPr>
        <w:t>Требования к отчетным документам (состав, количество, формат, носитель и т.д.), подлежащим передаче Подрядчиком Заказчику в составе Результата Работ, устанавливаются Техни</w:t>
      </w:r>
      <w:r>
        <w:rPr>
          <w:bCs/>
          <w:shd w:fill="auto" w:val="clear"/>
        </w:rPr>
        <w:t>ческим заданием (Приложение № 1 к Договору).</w:t>
      </w:r>
    </w:p>
    <w:p>
      <w:pPr>
        <w:pStyle w:val="ListParagraph"/>
        <w:shd w:val="clear" w:color="auto" w:fill="FFFFFF"/>
        <w:tabs>
          <w:tab w:val="clear" w:pos="708"/>
          <w:tab w:val="left" w:pos="1134" w:leader="none"/>
        </w:tabs>
        <w:ind w:left="0" w:firstLine="709"/>
        <w:jc w:val="both"/>
        <w:rPr>
          <w:shd w:fill="auto" w:val="clear"/>
        </w:rPr>
      </w:pPr>
      <w:r>
        <w:rPr>
          <w:rFonts w:ascii="Liberation Serif" w:hAnsi="Liberation Serif"/>
          <w:b w:val="false"/>
          <w:bCs w:val="false"/>
          <w:caps w:val="false"/>
          <w:smallCaps w:val="false"/>
          <w:sz w:val="24"/>
          <w:szCs w:val="24"/>
          <w:shd w:fill="auto" w:val="clear"/>
          <w:lang w:eastAsia="en-US"/>
        </w:rPr>
        <w:t xml:space="preserve">При использовании Сторонами электронного документооборота, Стороны по договору вместо </w:t>
      </w:r>
      <w:r>
        <w:rPr>
          <w:rFonts w:ascii="Liberation Serif" w:hAnsi="Liberation Serif"/>
          <w:b w:val="false"/>
          <w:bCs/>
          <w:caps w:val="false"/>
          <w:smallCaps w:val="false"/>
          <w:sz w:val="24"/>
          <w:szCs w:val="24"/>
          <w:shd w:fill="auto" w:val="clear"/>
          <w:lang w:eastAsia="en-US"/>
        </w:rPr>
        <w:t>Акта сдачи-приемки выполненных работ по форме Приложения № 6</w:t>
      </w:r>
      <w:r>
        <w:rPr>
          <w:rFonts w:ascii="Liberation Serif" w:hAnsi="Liberation Serif"/>
          <w:b w:val="false"/>
          <w:bCs w:val="false"/>
          <w:caps w:val="false"/>
          <w:smallCaps w:val="false"/>
          <w:sz w:val="24"/>
          <w:szCs w:val="24"/>
          <w:shd w:fill="auto" w:val="clear"/>
          <w:lang w:eastAsia="en-US"/>
        </w:rPr>
        <w:t xml:space="preserve">  оформляют УПД</w:t>
      </w:r>
      <w:r>
        <w:rPr>
          <w:rStyle w:val="Style12"/>
          <w:rFonts w:ascii="Liberation Serif" w:hAnsi="Liberation Serif"/>
          <w:b w:val="false"/>
          <w:bCs w:val="false"/>
          <w:caps w:val="false"/>
          <w:smallCaps w:val="false"/>
          <w:sz w:val="24"/>
          <w:szCs w:val="24"/>
          <w:shd w:fill="auto" w:val="clear"/>
          <w:lang w:eastAsia="en-US"/>
        </w:rPr>
        <w:footnoteReference w:id="4"/>
      </w:r>
      <w:r>
        <w:rPr>
          <w:rFonts w:ascii="Liberation Serif" w:hAnsi="Liberation Serif"/>
          <w:b w:val="false"/>
          <w:bCs w:val="false"/>
          <w:caps w:val="false"/>
          <w:smallCaps w:val="false"/>
          <w:sz w:val="24"/>
          <w:szCs w:val="24"/>
          <w:shd w:fill="auto" w:val="clear"/>
          <w:lang w:eastAsia="en-US"/>
        </w:rPr>
        <w:t xml:space="preserve">. В этом случае условия Договора в отношении </w:t>
      </w:r>
      <w:r>
        <w:rPr>
          <w:rFonts w:ascii="Liberation Serif" w:hAnsi="Liberation Serif"/>
          <w:b w:val="false"/>
          <w:bCs/>
          <w:caps w:val="false"/>
          <w:smallCaps w:val="false"/>
          <w:sz w:val="24"/>
          <w:szCs w:val="24"/>
          <w:shd w:fill="auto" w:val="clear"/>
          <w:lang w:eastAsia="en-US"/>
        </w:rPr>
        <w:t>Акта сдачи-приемки выполненных работ</w:t>
      </w:r>
      <w:r>
        <w:rPr>
          <w:rFonts w:ascii="Liberation Serif" w:hAnsi="Liberation Serif"/>
          <w:b w:val="false"/>
          <w:bCs w:val="false"/>
          <w:caps w:val="false"/>
          <w:smallCaps w:val="false"/>
          <w:sz w:val="24"/>
          <w:szCs w:val="24"/>
          <w:shd w:fill="auto" w:val="clear"/>
          <w:lang w:eastAsia="en-US"/>
        </w:rPr>
        <w:t xml:space="preserve"> применяются в равной степени к УПД.</w:t>
      </w:r>
    </w:p>
    <w:p>
      <w:pPr>
        <w:pStyle w:val="ListParagraph"/>
        <w:numPr>
          <w:ilvl w:val="1"/>
          <w:numId w:val="1"/>
        </w:numPr>
        <w:shd w:val="clear" w:color="auto" w:fill="FFFFFF"/>
        <w:tabs>
          <w:tab w:val="clear" w:pos="708"/>
          <w:tab w:val="left" w:pos="568" w:leader="none"/>
          <w:tab w:val="left" w:pos="1134" w:leader="none"/>
        </w:tabs>
        <w:ind w:left="0" w:firstLine="709"/>
        <w:jc w:val="both"/>
        <w:rPr>
          <w:bCs/>
        </w:rPr>
      </w:pPr>
      <w:r>
        <w:rPr>
          <w:bCs/>
        </w:rPr>
        <w:t>В течени</w:t>
      </w:r>
      <w:r>
        <w:rPr>
          <w:bCs/>
          <w:shd w:fill="auto" w:val="clear"/>
        </w:rPr>
        <w:t>е 15 (пятнадцати) рабочих дней с даты получения полного комплекта документов, указанных в пункте 4.1 Договора, З</w:t>
      </w:r>
      <w:r>
        <w:rPr>
          <w:bCs/>
        </w:rPr>
        <w:t>аказчик подписывает и передает Подрядчику 1 (один) экземпляр Акта сдачи-приемки выполненных Работ либо направляет Подрядчику письменный мотивированный отказ от приемки Работ (далее – «Ведомость замечаний»), в котором отражает недостатки и / или несоответствия Результата Работ, а также срок на их устранение.</w:t>
      </w:r>
      <w:r>
        <w:rPr/>
        <w:t xml:space="preserve"> </w:t>
      </w:r>
    </w:p>
    <w:p>
      <w:pPr>
        <w:pStyle w:val="ListParagraph"/>
        <w:numPr>
          <w:ilvl w:val="1"/>
          <w:numId w:val="1"/>
        </w:numPr>
        <w:shd w:val="clear" w:color="auto" w:fill="FFFFFF"/>
        <w:tabs>
          <w:tab w:val="clear" w:pos="708"/>
          <w:tab w:val="left" w:pos="568" w:leader="none"/>
          <w:tab w:val="left" w:pos="1134" w:leader="none"/>
        </w:tabs>
        <w:ind w:left="0" w:firstLine="709"/>
        <w:jc w:val="both"/>
        <w:rPr>
          <w:bCs/>
        </w:rPr>
      </w:pPr>
      <w:r>
        <w:rPr>
          <w:bCs/>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1"/>
        </w:numPr>
        <w:shd w:val="clear" w:color="auto" w:fill="FFFFFF"/>
        <w:tabs>
          <w:tab w:val="clear" w:pos="708"/>
          <w:tab w:val="left" w:pos="1134" w:leader="none"/>
        </w:tabs>
        <w:ind w:left="0" w:firstLine="709"/>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1"/>
        </w:numPr>
        <w:shd w:val="clear" w:color="auto" w:fill="FFFFFF"/>
        <w:tabs>
          <w:tab w:val="clear" w:pos="708"/>
          <w:tab w:val="left" w:pos="1134" w:leader="none"/>
        </w:tabs>
        <w:ind w:left="0" w:firstLine="709"/>
        <w:jc w:val="both"/>
        <w:rPr>
          <w:bCs/>
        </w:rPr>
      </w:pPr>
      <w:r>
        <w:rPr>
          <w:bCs/>
        </w:rPr>
        <w:t xml:space="preserve">Если Подрядчик не устранит недостатки, несоответствия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1"/>
        </w:numPr>
        <w:shd w:val="clear" w:color="auto" w:fill="FFFFFF"/>
        <w:tabs>
          <w:tab w:val="clear" w:pos="708"/>
          <w:tab w:val="left" w:pos="1134" w:leader="none"/>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1"/>
        </w:numPr>
        <w:shd w:val="clear" w:color="auto" w:fill="FFFFFF"/>
        <w:tabs>
          <w:tab w:val="clear" w:pos="708"/>
          <w:tab w:val="left" w:pos="1134" w:leader="none"/>
        </w:tabs>
        <w:ind w:left="0" w:firstLine="709"/>
        <w:jc w:val="both"/>
        <w:rPr>
          <w:bCs/>
        </w:rPr>
      </w:pPr>
      <w:bookmarkStart w:id="24" w:name="_Ref361337635"/>
      <w:bookmarkEnd w:id="24"/>
      <w:r>
        <w:rPr>
          <w:bCs/>
        </w:rPr>
        <w:t>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shd w:val="clear" w:color="auto" w:fill="FFFFFF"/>
        <w:tabs>
          <w:tab w:val="clear" w:pos="708"/>
          <w:tab w:val="left" w:pos="1134" w:leader="none"/>
        </w:tabs>
        <w:ind w:left="567" w:hanging="0"/>
        <w:jc w:val="both"/>
        <w:rPr>
          <w:bCs/>
        </w:rPr>
      </w:pPr>
      <w:r>
        <w:rPr>
          <w:bCs/>
        </w:rPr>
      </w:r>
    </w:p>
    <w:p>
      <w:pPr>
        <w:pStyle w:val="ListParagraph"/>
        <w:numPr>
          <w:ilvl w:val="0"/>
          <w:numId w:val="1"/>
        </w:numPr>
        <w:shd w:val="clear" w:color="auto" w:fill="FFFFFF"/>
        <w:tabs>
          <w:tab w:val="clear" w:pos="708"/>
          <w:tab w:val="left" w:pos="284" w:leader="none"/>
        </w:tabs>
        <w:ind w:left="0" w:hanging="0"/>
        <w:jc w:val="center"/>
        <w:rPr>
          <w:b/>
          <w:b/>
          <w:bCs/>
        </w:rPr>
      </w:pPr>
      <w:r>
        <w:rPr>
          <w:b/>
          <w:bCs/>
        </w:rPr>
        <w:t>Право собственности и переход рисков</w:t>
      </w:r>
    </w:p>
    <w:p>
      <w:pPr>
        <w:pStyle w:val="ListParagraph"/>
        <w:numPr>
          <w:ilvl w:val="1"/>
          <w:numId w:val="1"/>
        </w:numPr>
        <w:shd w:val="clear" w:color="auto" w:fill="FFFFFF"/>
        <w:tabs>
          <w:tab w:val="clear" w:pos="708"/>
          <w:tab w:val="left" w:pos="1134" w:leader="none"/>
        </w:tabs>
        <w:ind w:left="0" w:firstLine="709"/>
        <w:jc w:val="both"/>
        <w:rPr>
          <w:bCs/>
        </w:rPr>
      </w:pPr>
      <w:bookmarkStart w:id="25" w:name="_Ref361405028"/>
      <w:bookmarkEnd w:id="25"/>
      <w:r>
        <w:rPr>
          <w:bCs/>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6 к Договору.</w:t>
      </w:r>
    </w:p>
    <w:p>
      <w:pPr>
        <w:pStyle w:val="ListParagraph"/>
        <w:shd w:val="clear" w:color="auto" w:fill="FFFFFF"/>
        <w:tabs>
          <w:tab w:val="clear" w:pos="708"/>
          <w:tab w:val="left" w:pos="0" w:leader="none"/>
          <w:tab w:val="left" w:pos="1134" w:leader="none"/>
        </w:tabs>
        <w:ind w:left="0" w:firstLine="709"/>
        <w:jc w:val="both"/>
        <w:rPr>
          <w:bCs/>
        </w:rPr>
      </w:pPr>
      <w:r>
        <w:rPr>
          <w:bCs/>
        </w:rPr>
      </w:r>
    </w:p>
    <w:p>
      <w:pPr>
        <w:pStyle w:val="ListParagraph"/>
        <w:numPr>
          <w:ilvl w:val="0"/>
          <w:numId w:val="1"/>
        </w:numPr>
        <w:shd w:val="clear" w:color="auto" w:fill="FFFFFF"/>
        <w:tabs>
          <w:tab w:val="clear" w:pos="708"/>
          <w:tab w:val="left" w:pos="284" w:leader="none"/>
        </w:tabs>
        <w:ind w:left="0" w:hanging="0"/>
        <w:jc w:val="center"/>
        <w:rPr>
          <w:shd w:fill="auto" w:val="clear"/>
        </w:rPr>
      </w:pPr>
      <w:r>
        <w:rPr>
          <w:b/>
          <w:bCs/>
          <w:color w:val="000000"/>
          <w:shd w:fill="auto" w:val="clear"/>
        </w:rPr>
        <w:t>Банковские гарантии</w:t>
      </w:r>
    </w:p>
    <w:p>
      <w:pPr>
        <w:pStyle w:val="ListParagraph"/>
        <w:numPr>
          <w:ilvl w:val="1"/>
          <w:numId w:val="1"/>
        </w:numPr>
        <w:shd w:val="clear" w:color="auto" w:fill="FFFFFF"/>
        <w:tabs>
          <w:tab w:val="clear" w:pos="708"/>
          <w:tab w:val="left" w:pos="1134" w:leader="none"/>
        </w:tabs>
        <w:ind w:left="0" w:firstLine="709"/>
        <w:jc w:val="both"/>
        <w:rPr>
          <w:shd w:fill="auto" w:val="clear"/>
        </w:rPr>
      </w:pPr>
      <w:r>
        <w:rPr>
          <w:bCs/>
          <w:color w:val="000000"/>
          <w:shd w:fill="auto" w:val="clear"/>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Банковская гарантия должна быть безотзывной и безусловной (гарантия по первому требованию);</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Бенефициар по Банковской гарантии – Заказчик, принципал – Подрядчик;</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Сумма Банковской гарантии должна быть выражена в валюте расчетов по Договору;</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color w:val="000000"/>
          <w:shd w:fill="auto" w:val="clear"/>
        </w:rPr>
        <w:t xml:space="preserve"> </w:t>
      </w:r>
      <w:r>
        <w:rPr>
          <w:bCs/>
          <w:color w:val="000000"/>
          <w:shd w:fill="auto" w:val="clear"/>
        </w:rPr>
        <w:t>как полностью, так и частично, с указанием на существо допущенных Подрядчиком нарушений, в том числе в случаях:</w:t>
      </w:r>
    </w:p>
    <w:p>
      <w:pPr>
        <w:pStyle w:val="Normal"/>
        <w:numPr>
          <w:ilvl w:val="0"/>
          <w:numId w:val="2"/>
        </w:numPr>
        <w:tabs>
          <w:tab w:val="clear" w:pos="708"/>
          <w:tab w:val="left" w:pos="1418" w:leader="none"/>
        </w:tabs>
        <w:spacing w:lineRule="auto" w:line="240"/>
        <w:ind w:left="0" w:firstLine="709"/>
        <w:rPr>
          <w:shd w:fill="auto" w:val="clear"/>
        </w:rPr>
      </w:pPr>
      <w:r>
        <w:rPr>
          <w:bCs/>
          <w:color w:val="000000"/>
          <w:sz w:val="24"/>
          <w:szCs w:val="24"/>
          <w:shd w:fill="auto" w:val="clear"/>
        </w:rPr>
        <w:t>отказа Подрядчика от исполнения обязательств по Договору, в том числе одностороннего отказа от Договора;</w:t>
      </w:r>
    </w:p>
    <w:p>
      <w:pPr>
        <w:pStyle w:val="Normal"/>
        <w:numPr>
          <w:ilvl w:val="0"/>
          <w:numId w:val="2"/>
        </w:numPr>
        <w:tabs>
          <w:tab w:val="clear" w:pos="708"/>
          <w:tab w:val="left" w:pos="1418" w:leader="none"/>
        </w:tabs>
        <w:spacing w:lineRule="auto" w:line="240"/>
        <w:ind w:left="0" w:firstLine="709"/>
        <w:rPr>
          <w:shd w:fill="auto" w:val="clear"/>
        </w:rPr>
      </w:pPr>
      <w:r>
        <w:rPr>
          <w:bCs/>
          <w:color w:val="000000"/>
          <w:sz w:val="24"/>
          <w:szCs w:val="24"/>
          <w:shd w:fill="auto" w:val="clear"/>
        </w:rPr>
        <w:t>отказа Подрядчика от возврата неотработанного аванса при досрочном прекращении Договора / признании Договора недействительным;</w:t>
      </w:r>
    </w:p>
    <w:p>
      <w:pPr>
        <w:pStyle w:val="Normal"/>
        <w:numPr>
          <w:ilvl w:val="0"/>
          <w:numId w:val="2"/>
        </w:numPr>
        <w:tabs>
          <w:tab w:val="clear" w:pos="708"/>
          <w:tab w:val="left" w:pos="1418" w:leader="none"/>
        </w:tabs>
        <w:spacing w:lineRule="auto" w:line="240"/>
        <w:ind w:left="0" w:firstLine="709"/>
        <w:rPr>
          <w:shd w:fill="auto" w:val="clear"/>
        </w:rPr>
      </w:pPr>
      <w:r>
        <w:rPr>
          <w:bCs/>
          <w:color w:val="000000"/>
          <w:sz w:val="24"/>
          <w:szCs w:val="24"/>
          <w:shd w:fill="auto" w:val="clear"/>
        </w:rPr>
        <w:t>нарушения Подрядчиком сроков</w:t>
      </w:r>
      <w:r>
        <w:rPr>
          <w:color w:val="000000"/>
          <w:shd w:fill="auto" w:val="clear"/>
        </w:rPr>
        <w:t xml:space="preserve"> </w:t>
      </w:r>
      <w:r>
        <w:rPr>
          <w:bCs/>
          <w:color w:val="000000"/>
          <w:sz w:val="24"/>
          <w:szCs w:val="24"/>
          <w:shd w:fill="auto" w:val="clear"/>
        </w:rPr>
        <w:t>выполнения Работ более, чем на 60 (шестьдесят) календарных дней;</w:t>
      </w:r>
    </w:p>
    <w:p>
      <w:pPr>
        <w:pStyle w:val="Normal"/>
        <w:numPr>
          <w:ilvl w:val="0"/>
          <w:numId w:val="2"/>
        </w:numPr>
        <w:tabs>
          <w:tab w:val="clear" w:pos="708"/>
          <w:tab w:val="left" w:pos="1418" w:leader="none"/>
        </w:tabs>
        <w:spacing w:lineRule="auto" w:line="240"/>
        <w:ind w:left="0" w:firstLine="709"/>
        <w:rPr>
          <w:shd w:fill="auto" w:val="clear"/>
        </w:rPr>
      </w:pPr>
      <w:r>
        <w:rPr>
          <w:bCs/>
          <w:color w:val="000000"/>
          <w:sz w:val="24"/>
          <w:szCs w:val="24"/>
          <w:shd w:fill="auto" w:val="clear"/>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2"/>
        </w:numPr>
        <w:tabs>
          <w:tab w:val="clear" w:pos="708"/>
          <w:tab w:val="left" w:pos="1418" w:leader="none"/>
        </w:tabs>
        <w:spacing w:lineRule="auto" w:line="240"/>
        <w:ind w:left="0" w:firstLine="709"/>
        <w:rPr>
          <w:shd w:fill="auto" w:val="clear"/>
        </w:rPr>
      </w:pPr>
      <w:r>
        <w:rPr>
          <w:bCs/>
          <w:color w:val="000000"/>
          <w:sz w:val="24"/>
          <w:szCs w:val="24"/>
          <w:shd w:fill="auto" w:val="clear"/>
        </w:rPr>
        <w:t>прекращения членства в СРО, основанной на членстве лиц, осуществляющих подготовку проектной документации;</w:t>
      </w:r>
    </w:p>
    <w:p>
      <w:pPr>
        <w:pStyle w:val="Normal"/>
        <w:numPr>
          <w:ilvl w:val="0"/>
          <w:numId w:val="2"/>
        </w:numPr>
        <w:tabs>
          <w:tab w:val="clear" w:pos="708"/>
          <w:tab w:val="left" w:pos="1418" w:leader="none"/>
        </w:tabs>
        <w:spacing w:lineRule="auto" w:line="240"/>
        <w:ind w:left="0" w:firstLine="709"/>
        <w:rPr>
          <w:shd w:fill="auto" w:val="clear"/>
        </w:rPr>
      </w:pPr>
      <w:r>
        <w:rPr>
          <w:bCs/>
          <w:color w:val="000000"/>
          <w:sz w:val="24"/>
          <w:szCs w:val="24"/>
          <w:shd w:fill="auto" w:val="clear"/>
        </w:rPr>
        <w:t>введения арбитражным судом процедуры несостоятельности (банкротства)</w:t>
      </w:r>
      <w:r>
        <w:rPr>
          <w:color w:val="000000"/>
          <w:shd w:fill="auto" w:val="clear"/>
        </w:rPr>
        <w:t xml:space="preserve"> </w:t>
      </w:r>
      <w:r>
        <w:rPr>
          <w:bCs/>
          <w:color w:val="000000"/>
          <w:sz w:val="24"/>
          <w:szCs w:val="24"/>
          <w:shd w:fill="auto" w:val="clear"/>
        </w:rPr>
        <w:t>в отношении Подрядчика;</w:t>
      </w:r>
    </w:p>
    <w:p>
      <w:pPr>
        <w:pStyle w:val="Normal"/>
        <w:numPr>
          <w:ilvl w:val="0"/>
          <w:numId w:val="2"/>
        </w:numPr>
        <w:tabs>
          <w:tab w:val="clear" w:pos="708"/>
          <w:tab w:val="left" w:pos="1418" w:leader="none"/>
        </w:tabs>
        <w:spacing w:lineRule="auto" w:line="240"/>
        <w:ind w:left="0" w:firstLine="709"/>
        <w:rPr>
          <w:shd w:fill="auto" w:val="clear"/>
        </w:rPr>
      </w:pPr>
      <w:r>
        <w:rPr>
          <w:bCs/>
          <w:color w:val="000000"/>
          <w:sz w:val="24"/>
          <w:szCs w:val="24"/>
          <w:shd w:fill="auto" w:val="clear"/>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2"/>
        </w:numPr>
        <w:tabs>
          <w:tab w:val="clear" w:pos="708"/>
          <w:tab w:val="left" w:pos="1418" w:leader="none"/>
        </w:tabs>
        <w:spacing w:lineRule="auto" w:line="240"/>
        <w:ind w:left="0" w:firstLine="709"/>
        <w:rPr>
          <w:shd w:fill="auto" w:val="clear"/>
        </w:rPr>
      </w:pPr>
      <w:r>
        <w:rPr>
          <w:color w:val="000000"/>
          <w:sz w:val="24"/>
          <w:szCs w:val="24"/>
          <w:shd w:fill="auto" w:val="clear"/>
        </w:rPr>
        <w:t>признания Договора недействительным по причинам отсутствия необходимых корпоративных одобрений у Подрядчика;</w:t>
      </w:r>
    </w:p>
    <w:p>
      <w:pPr>
        <w:pStyle w:val="Normal"/>
        <w:numPr>
          <w:ilvl w:val="0"/>
          <w:numId w:val="2"/>
        </w:numPr>
        <w:tabs>
          <w:tab w:val="clear" w:pos="708"/>
          <w:tab w:val="left" w:pos="1418" w:leader="none"/>
        </w:tabs>
        <w:spacing w:lineRule="auto" w:line="240"/>
        <w:ind w:left="0" w:firstLine="709"/>
        <w:rPr>
          <w:shd w:fill="auto" w:val="clear"/>
        </w:rPr>
      </w:pPr>
      <w:r>
        <w:rPr>
          <w:bCs/>
          <w:color w:val="000000"/>
          <w:sz w:val="24"/>
          <w:szCs w:val="24"/>
          <w:shd w:fill="auto" w:val="clear"/>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ListParagraph"/>
        <w:ind w:left="0" w:firstLine="709"/>
        <w:jc w:val="both"/>
        <w:rPr>
          <w:shd w:fill="auto" w:val="clear"/>
        </w:rPr>
      </w:pPr>
      <w:r>
        <w:rPr>
          <w:bCs/>
          <w:color w:val="000000"/>
          <w:shd w:fill="auto" w:val="clear"/>
        </w:rPr>
        <w:t>Вместе с требованием о предъявлении суммы обеспечения к оплате Заказчик направляет Банку-Гаранту копию Банковской гарантии</w:t>
      </w:r>
      <w:r>
        <w:rPr>
          <w:rStyle w:val="Style12"/>
          <w:bCs/>
          <w:color w:val="000000"/>
          <w:shd w:fill="auto" w:val="clear"/>
        </w:rPr>
        <w:footnoteReference w:id="5"/>
      </w:r>
      <w:r>
        <w:rPr>
          <w:bCs/>
          <w:color w:val="000000"/>
          <w:shd w:fill="auto" w:val="clear"/>
        </w:rPr>
        <w:t>.</w:t>
      </w:r>
    </w:p>
    <w:p>
      <w:pPr>
        <w:pStyle w:val="ListParagraph"/>
        <w:shd w:val="clear" w:color="auto" w:fill="FFFFFF"/>
        <w:tabs>
          <w:tab w:val="clear" w:pos="708"/>
          <w:tab w:val="left" w:pos="1418" w:leader="none"/>
        </w:tabs>
        <w:ind w:left="0" w:firstLine="709"/>
        <w:jc w:val="both"/>
        <w:rPr>
          <w:shd w:fill="auto" w:val="clear"/>
        </w:rPr>
      </w:pPr>
      <w:r>
        <w:rPr>
          <w:bCs/>
          <w:color w:val="000000"/>
          <w:shd w:fill="auto" w:val="clear"/>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Платеж по Банковской гарантии – осуществляется Банком-Гарантом в течение 10 (десяти) рабочих дней после обращения Заказчика;</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Срок окончания Банковской гарантии – не ранее 70 (семидесяти) календарных дней после наступления даты завершения Работ, установленной Договором;</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pPr>
        <w:pStyle w:val="ListParagraph"/>
        <w:numPr>
          <w:ilvl w:val="2"/>
          <w:numId w:val="1"/>
        </w:numPr>
        <w:shd w:val="clear" w:color="auto" w:fill="FFFFFF"/>
        <w:tabs>
          <w:tab w:val="clear" w:pos="708"/>
          <w:tab w:val="left" w:pos="1418" w:leader="none"/>
        </w:tabs>
        <w:ind w:left="0" w:firstLine="709"/>
        <w:jc w:val="both"/>
        <w:rPr>
          <w:shd w:fill="auto" w:val="clear"/>
        </w:rPr>
      </w:pPr>
      <w:r>
        <w:rPr>
          <w:bCs/>
          <w:color w:val="000000"/>
          <w:shd w:fill="auto" w:val="clear"/>
        </w:rPr>
        <w:t>Банковская гарантия не должна содержать условий или требований, противоречащих требованиям, указанным в пунктах 6.1.1-6.1.9 Договора, или делающих такие требования неисполнимыми.</w:t>
      </w:r>
    </w:p>
    <w:p>
      <w:pPr>
        <w:pStyle w:val="Normal"/>
        <w:numPr>
          <w:ilvl w:val="1"/>
          <w:numId w:val="1"/>
        </w:numPr>
        <w:tabs>
          <w:tab w:val="clear" w:pos="708"/>
          <w:tab w:val="left" w:pos="1134" w:leader="none"/>
        </w:tabs>
        <w:spacing w:lineRule="auto" w:line="240"/>
        <w:ind w:left="0" w:firstLine="709"/>
        <w:rPr>
          <w:shd w:fill="auto" w:val="clear"/>
        </w:rPr>
      </w:pPr>
      <w:r>
        <w:rPr>
          <w:bCs/>
          <w:color w:val="000000"/>
          <w:sz w:val="24"/>
          <w:szCs w:val="24"/>
          <w:shd w:fill="auto" w:val="clear"/>
        </w:rPr>
        <w:t>Банк, выдавший Банковскую гарантию, должен соответствовать критериям, указанным в Приложении № 8 к Договору.</w:t>
      </w:r>
    </w:p>
    <w:p>
      <w:pPr>
        <w:pStyle w:val="ListParagraph"/>
        <w:numPr>
          <w:ilvl w:val="1"/>
          <w:numId w:val="1"/>
        </w:numPr>
        <w:shd w:val="clear" w:color="auto" w:fill="FFFFFF"/>
        <w:tabs>
          <w:tab w:val="clear" w:pos="708"/>
          <w:tab w:val="left" w:pos="1134" w:leader="none"/>
        </w:tabs>
        <w:ind w:left="0" w:firstLine="709"/>
        <w:jc w:val="both"/>
        <w:rPr>
          <w:shd w:fill="auto" w:val="clear"/>
        </w:rPr>
      </w:pPr>
      <w:r>
        <w:rPr>
          <w:bCs/>
          <w:color w:val="000000"/>
          <w:shd w:fill="auto" w:val="clear"/>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1"/>
        </w:numPr>
        <w:shd w:val="clear" w:color="auto" w:fill="FFFFFF"/>
        <w:tabs>
          <w:tab w:val="clear" w:pos="708"/>
          <w:tab w:val="left" w:pos="1134" w:leader="none"/>
        </w:tabs>
        <w:ind w:left="0" w:firstLine="709"/>
        <w:jc w:val="both"/>
        <w:rPr>
          <w:shd w:fill="auto" w:val="clear"/>
        </w:rPr>
      </w:pPr>
      <w:r>
        <w:rPr>
          <w:bCs/>
          <w:color w:val="000000"/>
          <w:shd w:fill="auto" w:val="clear"/>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1"/>
        </w:numPr>
        <w:shd w:val="clear" w:color="auto" w:fill="FFFFFF"/>
        <w:tabs>
          <w:tab w:val="clear" w:pos="708"/>
          <w:tab w:val="left" w:pos="1134" w:leader="none"/>
        </w:tabs>
        <w:ind w:left="0" w:firstLine="709"/>
        <w:jc w:val="both"/>
        <w:rPr>
          <w:shd w:fill="auto" w:val="clear"/>
        </w:rPr>
      </w:pPr>
      <w:r>
        <w:rPr>
          <w:bCs/>
          <w:color w:val="000000"/>
          <w:shd w:fill="auto" w:val="clear"/>
        </w:rPr>
        <w:t>В случаях</w:t>
      </w:r>
      <w:r>
        <w:rPr>
          <w:bCs/>
          <w:color w:val="000000"/>
          <w:shd w:fill="auto" w:val="clear"/>
          <w:lang w:val="en-US"/>
        </w:rPr>
        <w:t>:</w:t>
      </w:r>
      <w:r>
        <w:rPr>
          <w:bCs/>
          <w:color w:val="000000"/>
          <w:shd w:fill="auto" w:val="clear"/>
        </w:rPr>
        <w:t xml:space="preserve"> </w:t>
      </w:r>
    </w:p>
    <w:p>
      <w:pPr>
        <w:pStyle w:val="ListParagraph"/>
        <w:numPr>
          <w:ilvl w:val="1"/>
          <w:numId w:val="9"/>
        </w:numPr>
        <w:shd w:val="clear" w:color="auto" w:fill="FFFFFF"/>
        <w:tabs>
          <w:tab w:val="clear" w:pos="708"/>
          <w:tab w:val="left" w:pos="1134" w:leader="none"/>
        </w:tabs>
        <w:ind w:left="0" w:firstLine="709"/>
        <w:jc w:val="both"/>
        <w:rPr>
          <w:shd w:fill="auto" w:val="clear"/>
        </w:rPr>
      </w:pPr>
      <w:r>
        <w:rPr>
          <w:bCs/>
          <w:color w:val="000000"/>
          <w:shd w:fill="auto" w:val="clear"/>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9"/>
        </w:numPr>
        <w:shd w:val="clear" w:color="auto" w:fill="FFFFFF"/>
        <w:tabs>
          <w:tab w:val="clear" w:pos="708"/>
          <w:tab w:val="left" w:pos="1134" w:leader="none"/>
        </w:tabs>
        <w:ind w:left="0" w:firstLine="709"/>
        <w:jc w:val="both"/>
        <w:rPr>
          <w:shd w:fill="auto" w:val="clear"/>
        </w:rPr>
      </w:pPr>
      <w:r>
        <w:rPr>
          <w:bCs/>
          <w:color w:val="000000"/>
          <w:shd w:fill="auto" w:val="clear"/>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8"/>
          <w:tab w:val="left" w:pos="1134" w:leader="none"/>
        </w:tabs>
        <w:ind w:left="0" w:firstLine="709"/>
        <w:jc w:val="both"/>
        <w:rPr>
          <w:shd w:fill="auto" w:val="clear"/>
        </w:rPr>
      </w:pPr>
      <w:r>
        <w:rPr>
          <w:bCs/>
          <w:color w:val="000000"/>
          <w:shd w:fill="auto" w:val="clear"/>
        </w:rPr>
        <w:t>Подрядчик обязан предоставить Заказчику новую Банковскую гарантию</w:t>
      </w:r>
      <w:r>
        <w:rPr>
          <w:color w:val="000000"/>
          <w:shd w:fill="auto" w:val="clear"/>
        </w:rPr>
        <w:t xml:space="preserve"> </w:t>
      </w:r>
      <w:r>
        <w:rPr>
          <w:bCs/>
          <w:color w:val="000000"/>
          <w:shd w:fill="auto" w:val="clear"/>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shd w:fill="auto" w:val="clear"/>
        </w:rPr>
      </w:pPr>
      <w:r>
        <w:rPr>
          <w:bCs/>
          <w:color w:val="000000"/>
          <w:shd w:fill="auto" w:val="clear"/>
        </w:rPr>
        <w:t>В случае непредставления Подрядчиком в установленный срок новой Банковской гарантии Заказчик вправе удерживать сумму неотработанного аванса</w:t>
      </w:r>
      <w:r>
        <w:rPr>
          <w:rStyle w:val="Style12"/>
          <w:bCs/>
          <w:color w:val="000000"/>
          <w:shd w:fill="auto" w:val="clear"/>
        </w:rPr>
        <w:footnoteReference w:id="6"/>
      </w:r>
      <w:r>
        <w:rPr>
          <w:bCs/>
          <w:color w:val="000000"/>
          <w:shd w:fill="auto" w:val="clear"/>
        </w:rPr>
        <w:t xml:space="preserve"> при выплате каждого платежа, причитающегося Подрядчику, до полного зачета неотработанного аванса</w:t>
      </w:r>
      <w:r>
        <w:rPr>
          <w:color w:val="000000"/>
          <w:shd w:fill="auto" w:val="clear"/>
        </w:rPr>
        <w:t>.</w:t>
      </w:r>
    </w:p>
    <w:p>
      <w:pPr>
        <w:pStyle w:val="ListParagraph"/>
        <w:numPr>
          <w:ilvl w:val="1"/>
          <w:numId w:val="1"/>
        </w:numPr>
        <w:shd w:val="clear" w:color="auto" w:fill="FFFFFF"/>
        <w:tabs>
          <w:tab w:val="clear" w:pos="708"/>
          <w:tab w:val="left" w:pos="1134" w:leader="none"/>
        </w:tabs>
        <w:ind w:left="0" w:firstLine="709"/>
        <w:jc w:val="both"/>
        <w:rPr>
          <w:shd w:fill="auto" w:val="clear"/>
        </w:rPr>
      </w:pPr>
      <w:r>
        <w:rPr>
          <w:bCs/>
          <w:color w:val="000000"/>
          <w:shd w:fill="auto" w:val="clear"/>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1"/>
        </w:numPr>
        <w:shd w:val="clear" w:color="auto" w:fill="FFFFFF"/>
        <w:tabs>
          <w:tab w:val="clear" w:pos="708"/>
          <w:tab w:val="left" w:pos="1134" w:leader="none"/>
        </w:tabs>
        <w:ind w:left="0" w:firstLine="709"/>
        <w:jc w:val="both"/>
        <w:rPr>
          <w:shd w:fill="auto" w:val="clear"/>
        </w:rPr>
      </w:pPr>
      <w:r>
        <w:rPr>
          <w:bCs/>
          <w:color w:val="000000"/>
          <w:shd w:fill="auto" w:val="clea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numPr>
          <w:ilvl w:val="1"/>
          <w:numId w:val="1"/>
        </w:numPr>
        <w:shd w:val="clear" w:color="auto" w:fill="FFFFFF"/>
        <w:tabs>
          <w:tab w:val="clear" w:pos="708"/>
          <w:tab w:val="left" w:pos="1134" w:leader="none"/>
        </w:tabs>
        <w:ind w:left="0" w:firstLine="709"/>
        <w:jc w:val="both"/>
        <w:rPr>
          <w:shd w:fill="auto" w:val="clear"/>
        </w:rPr>
      </w:pPr>
      <w:r>
        <w:rPr>
          <w:color w:val="000000"/>
          <w:sz w:val="24"/>
          <w:szCs w:val="24"/>
          <w:shd w:fill="auto" w:val="clear"/>
        </w:rPr>
        <w:t xml:space="preserve">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r>
        <w:rPr>
          <w:bCs/>
          <w:color w:val="000000"/>
          <w:sz w:val="24"/>
          <w:szCs w:val="24"/>
          <w:shd w:fill="auto" w:val="clear"/>
          <w:lang w:val="ru-RU"/>
        </w:rPr>
        <w:t>Выбор формы направления такого требования осуществляется Бенефициаром самостоятельно.</w:t>
      </w:r>
    </w:p>
    <w:p>
      <w:pPr>
        <w:pStyle w:val="ListParagraph"/>
        <w:numPr>
          <w:ilvl w:val="1"/>
          <w:numId w:val="1"/>
        </w:numPr>
        <w:shd w:val="clear" w:color="auto" w:fill="FFFFFF"/>
        <w:tabs>
          <w:tab w:val="clear" w:pos="708"/>
          <w:tab w:val="left" w:pos="1134" w:leader="none"/>
        </w:tabs>
        <w:ind w:left="0" w:firstLine="709"/>
        <w:jc w:val="both"/>
        <w:rPr>
          <w:shd w:fill="auto" w:val="clear"/>
        </w:rPr>
      </w:pPr>
      <w:r>
        <w:rPr>
          <w:rFonts w:eastAsia="Times New Roman" w:cs="Times New Roman"/>
          <w:color w:val="000000"/>
          <w:kern w:val="0"/>
          <w:sz w:val="24"/>
          <w:szCs w:val="24"/>
          <w:shd w:fill="auto" w:val="clear"/>
          <w:lang w:val="ru-RU" w:eastAsia="ru-RU" w:bidi="ar-SA"/>
        </w:rPr>
        <w:t>Банковская гарантия предоставляется:</w:t>
      </w:r>
    </w:p>
    <w:p>
      <w:pPr>
        <w:pStyle w:val="ListParagraph"/>
        <w:numPr>
          <w:ilvl w:val="0"/>
          <w:numId w:val="0"/>
        </w:numPr>
        <w:shd w:val="clear" w:color="auto" w:fill="FFFFFF"/>
        <w:tabs>
          <w:tab w:val="clear" w:pos="708"/>
          <w:tab w:val="left" w:pos="1134" w:leader="none"/>
        </w:tabs>
        <w:ind w:left="0" w:hanging="0"/>
        <w:jc w:val="both"/>
        <w:rPr>
          <w:shd w:fill="auto" w:val="clear"/>
        </w:rPr>
      </w:pPr>
      <w:r>
        <w:rPr>
          <w:rFonts w:eastAsia="Times New Roman" w:cs="Times New Roman"/>
          <w:color w:val="000000"/>
          <w:kern w:val="0"/>
          <w:sz w:val="24"/>
          <w:szCs w:val="24"/>
          <w:shd w:fill="auto" w:val="clear"/>
          <w:lang w:val="ru-RU" w:eastAsia="ru-RU" w:bidi="ar-SA"/>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ListParagraph"/>
        <w:numPr>
          <w:ilvl w:val="0"/>
          <w:numId w:val="0"/>
        </w:numPr>
        <w:shd w:val="clear" w:color="auto" w:fill="FFFFFF"/>
        <w:tabs>
          <w:tab w:val="clear" w:pos="708"/>
          <w:tab w:val="left" w:pos="1134" w:leader="none"/>
        </w:tabs>
        <w:ind w:left="0" w:hanging="0"/>
        <w:jc w:val="both"/>
        <w:rPr>
          <w:shd w:fill="auto" w:val="clear"/>
        </w:rPr>
      </w:pPr>
      <w:r>
        <w:rPr>
          <w:rFonts w:eastAsia="Times New Roman" w:cs="Times New Roman"/>
          <w:color w:val="000000"/>
          <w:kern w:val="0"/>
          <w:sz w:val="24"/>
          <w:szCs w:val="24"/>
          <w:shd w:fill="auto" w:val="clear"/>
          <w:lang w:val="ru-RU" w:eastAsia="ru-RU" w:bidi="ar-SA"/>
        </w:rPr>
        <w:t>либо</w:t>
      </w:r>
    </w:p>
    <w:p>
      <w:pPr>
        <w:pStyle w:val="ListParagraph"/>
        <w:numPr>
          <w:ilvl w:val="0"/>
          <w:numId w:val="0"/>
        </w:numPr>
        <w:shd w:val="clear" w:color="auto" w:fill="FFFFFF"/>
        <w:tabs>
          <w:tab w:val="clear" w:pos="708"/>
          <w:tab w:val="left" w:pos="1134" w:leader="none"/>
        </w:tabs>
        <w:ind w:left="0" w:hanging="0"/>
        <w:jc w:val="both"/>
        <w:rPr>
          <w:shd w:fill="auto" w:val="clear"/>
        </w:rPr>
      </w:pPr>
      <w:r>
        <w:rPr>
          <w:rFonts w:eastAsia="Times New Roman" w:cs="Times New Roman"/>
          <w:bCs/>
          <w:color w:val="000000"/>
          <w:kern w:val="0"/>
          <w:sz w:val="24"/>
          <w:szCs w:val="24"/>
          <w:shd w:fill="auto" w:val="clear"/>
          <w:lang w:val="ru-RU" w:eastAsia="ru-RU" w:bidi="ar-SA"/>
        </w:rPr>
        <w:t>- в оригинале на бумажном носителе.</w:t>
      </w:r>
    </w:p>
    <w:p>
      <w:pPr>
        <w:pStyle w:val="ListParagraph"/>
        <w:shd w:val="clear" w:color="auto" w:fill="FFFFFF"/>
        <w:tabs>
          <w:tab w:val="clear" w:pos="708"/>
          <w:tab w:val="left" w:pos="1134" w:leader="none"/>
        </w:tabs>
        <w:ind w:left="709" w:hanging="0"/>
        <w:jc w:val="both"/>
        <w:rPr>
          <w:bCs/>
        </w:rPr>
      </w:pPr>
      <w:r>
        <w:rPr>
          <w:bCs/>
        </w:rPr>
      </w:r>
    </w:p>
    <w:p>
      <w:pPr>
        <w:pStyle w:val="ListParagraph"/>
        <w:numPr>
          <w:ilvl w:val="0"/>
          <w:numId w:val="1"/>
        </w:numPr>
        <w:shd w:val="clear" w:color="auto" w:fill="FFFFFF"/>
        <w:tabs>
          <w:tab w:val="clear" w:pos="708"/>
          <w:tab w:val="left" w:pos="284" w:leader="none"/>
        </w:tabs>
        <w:ind w:left="0" w:hanging="0"/>
        <w:jc w:val="center"/>
        <w:rPr>
          <w:b/>
          <w:b/>
          <w:bCs/>
        </w:rPr>
      </w:pPr>
      <w:r>
        <w:rPr>
          <w:b/>
          <w:bCs/>
        </w:rPr>
        <w:t>Ответственность Сторон</w:t>
      </w:r>
    </w:p>
    <w:p>
      <w:pPr>
        <w:pStyle w:val="ListParagraph"/>
        <w:numPr>
          <w:ilvl w:val="1"/>
          <w:numId w:val="1"/>
        </w:numPr>
        <w:shd w:val="clear" w:color="auto" w:fill="FFFFFF"/>
        <w:tabs>
          <w:tab w:val="clear" w:pos="708"/>
          <w:tab w:val="left" w:pos="1134" w:leader="none"/>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w:t>
      </w:r>
      <w:r>
        <w:rPr>
          <w:bCs/>
          <w:shd w:fill="auto" w:val="clear"/>
        </w:rPr>
        <w:t xml:space="preserve">смотрено иное. </w:t>
      </w:r>
    </w:p>
    <w:p>
      <w:pPr>
        <w:pStyle w:val="Normal"/>
        <w:numPr>
          <w:ilvl w:val="1"/>
          <w:numId w:val="1"/>
        </w:numPr>
        <w:tabs>
          <w:tab w:val="clear" w:pos="708"/>
          <w:tab w:val="left" w:pos="1134" w:leader="none"/>
        </w:tabs>
        <w:spacing w:lineRule="auto" w:line="240"/>
        <w:ind w:left="0" w:firstLine="709"/>
        <w:rPr>
          <w:shd w:fill="auto" w:val="clear"/>
        </w:rPr>
      </w:pPr>
      <w:r>
        <w:rPr>
          <w:bCs/>
          <w:sz w:val="24"/>
          <w:szCs w:val="24"/>
          <w:shd w:fill="auto" w:val="clea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1"/>
        </w:numPr>
        <w:tabs>
          <w:tab w:val="clear" w:pos="708"/>
          <w:tab w:val="left" w:pos="1134" w:leader="none"/>
        </w:tabs>
        <w:spacing w:lineRule="auto" w:line="240"/>
        <w:ind w:left="0" w:firstLine="709"/>
        <w:rPr>
          <w:shd w:fill="auto" w:val="clear"/>
        </w:rPr>
      </w:pPr>
      <w:r>
        <w:rPr>
          <w:bCs/>
          <w:color w:val="000000"/>
          <w:sz w:val="24"/>
          <w:szCs w:val="24"/>
          <w:shd w:fill="auto" w:val="clear"/>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color w:val="000000"/>
          <w:sz w:val="24"/>
          <w:szCs w:val="24"/>
          <w:shd w:fill="auto" w:val="clear"/>
        </w:rPr>
        <w:t xml:space="preserve">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w:t>
      </w:r>
      <w:r>
        <w:rPr>
          <w:rFonts w:eastAsia="Times New Roman" w:ascii="Liberation Serif" w:hAnsi="Liberation Serif"/>
          <w:color w:val="000000"/>
          <w:sz w:val="24"/>
          <w:szCs w:val="24"/>
          <w:shd w:fill="auto" w:val="clear"/>
        </w:rPr>
        <w:t>но не более 5 % от Цены Договора</w:t>
      </w:r>
      <w:r>
        <w:rPr>
          <w:color w:val="000000"/>
          <w:sz w:val="24"/>
          <w:szCs w:val="24"/>
          <w:shd w:fill="auto" w:val="clear"/>
        </w:rPr>
        <w:t>.</w:t>
      </w:r>
      <w:r>
        <w:rPr>
          <w:bCs/>
          <w:color w:val="000000"/>
          <w:sz w:val="24"/>
          <w:szCs w:val="24"/>
          <w:shd w:fill="auto" w:val="clear"/>
        </w:rPr>
        <w:t xml:space="preserve"> </w:t>
      </w:r>
    </w:p>
    <w:p>
      <w:pPr>
        <w:pStyle w:val="Normal"/>
        <w:numPr>
          <w:ilvl w:val="1"/>
          <w:numId w:val="1"/>
        </w:numPr>
        <w:tabs>
          <w:tab w:val="clear" w:pos="708"/>
          <w:tab w:val="left" w:pos="1134" w:leader="none"/>
        </w:tabs>
        <w:spacing w:lineRule="auto" w:line="240"/>
        <w:ind w:left="0" w:firstLine="709"/>
        <w:rPr>
          <w:bCs/>
          <w:sz w:val="24"/>
          <w:szCs w:val="24"/>
        </w:rPr>
      </w:pPr>
      <w:r>
        <w:rPr>
          <w:bCs/>
          <w:sz w:val="24"/>
          <w:szCs w:val="24"/>
          <w:shd w:fill="auto" w:val="clear"/>
        </w:rPr>
        <w:t>В случае нарушения Подрядчик</w:t>
      </w:r>
      <w:r>
        <w:rPr>
          <w:bCs/>
          <w:sz w:val="24"/>
          <w:szCs w:val="24"/>
        </w:rPr>
        <w:t>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потребовать уплаты Подрядчиком неустойки в размере 0,1 (ноль целых и одна десятая) процента от Цены Договора за каждый день просрочки.</w:t>
      </w:r>
    </w:p>
    <w:p>
      <w:pPr>
        <w:pStyle w:val="Normal"/>
        <w:widowControl w:val="false"/>
        <w:numPr>
          <w:ilvl w:val="1"/>
          <w:numId w:val="1"/>
        </w:numPr>
        <w:shd w:val="clear" w:color="auto" w:fill="FFFFFF"/>
        <w:tabs>
          <w:tab w:val="clear" w:pos="708"/>
          <w:tab w:val="left" w:pos="1134" w:leader="none"/>
        </w:tabs>
        <w:spacing w:lineRule="auto" w:line="240"/>
        <w:ind w:left="0" w:firstLine="709"/>
        <w:rPr>
          <w:shd w:fill="auto" w:val="clear"/>
        </w:rPr>
      </w:pPr>
      <w:r>
        <w:rPr>
          <w:sz w:val="24"/>
          <w:szCs w:val="24"/>
          <w:shd w:fill="auto" w:val="clear"/>
        </w:rPr>
        <w:t xml:space="preserve">В случае несвоевременного возврата аванса </w:t>
      </w:r>
      <w:r>
        <w:rPr>
          <w:bCs/>
          <w:sz w:val="24"/>
          <w:szCs w:val="24"/>
          <w:shd w:fill="auto" w:val="clear"/>
        </w:rPr>
        <w:t xml:space="preserve">Заказчик вправе требовать уплаты Подрядчиком неустойки в размере </w:t>
      </w:r>
      <w:r>
        <w:rPr>
          <w:sz w:val="24"/>
          <w:szCs w:val="24"/>
          <w:shd w:fill="auto" w:val="clear"/>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11"/>
        </w:numPr>
        <w:shd w:val="clear" w:color="auto" w:fill="FFFFFF"/>
        <w:tabs>
          <w:tab w:val="clear" w:pos="708"/>
          <w:tab w:val="left" w:pos="1134" w:leader="none"/>
        </w:tabs>
        <w:ind w:left="0" w:firstLine="709"/>
        <w:jc w:val="both"/>
        <w:rPr>
          <w:bCs/>
        </w:rPr>
      </w:pPr>
      <w:r>
        <w:rPr>
          <w:bCs/>
        </w:rPr>
        <w:t xml:space="preserve">В случае нарушения Подрядчиком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5 к Договору. </w:t>
      </w:r>
    </w:p>
    <w:p>
      <w:pPr>
        <w:pStyle w:val="ListParagraph"/>
        <w:numPr>
          <w:ilvl w:val="1"/>
          <w:numId w:val="11"/>
        </w:numPr>
        <w:shd w:val="clear" w:color="auto" w:fill="FFFFFF"/>
        <w:tabs>
          <w:tab w:val="clear" w:pos="708"/>
          <w:tab w:val="left" w:pos="1134" w:leader="none"/>
        </w:tabs>
        <w:ind w:left="0" w:firstLine="709"/>
        <w:jc w:val="both"/>
        <w:rPr>
          <w:bCs/>
        </w:rPr>
      </w:pPr>
      <w:r>
        <w:rPr>
          <w:bCs/>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(УПД), установленных пунктом 4.7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11"/>
        </w:numPr>
        <w:shd w:val="clear" w:color="auto" w:fill="FFFFFF"/>
        <w:tabs>
          <w:tab w:val="clear" w:pos="708"/>
          <w:tab w:val="left" w:pos="1134" w:leader="none"/>
        </w:tabs>
        <w:ind w:left="0" w:firstLine="709"/>
        <w:jc w:val="both"/>
        <w:rPr>
          <w:shd w:fill="auto" w:val="clear"/>
        </w:rPr>
      </w:pPr>
      <w:r>
        <w:rPr>
          <w:bCs/>
          <w:shd w:fill="auto" w:val="clear"/>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целях и три сотых) процента от Цены Договора за каждый день просрочки.</w:t>
      </w:r>
    </w:p>
    <w:p>
      <w:pPr>
        <w:pStyle w:val="ListParagraph"/>
        <w:numPr>
          <w:ilvl w:val="1"/>
          <w:numId w:val="11"/>
        </w:numPr>
        <w:shd w:val="clear" w:color="auto" w:fill="FFFFFF"/>
        <w:tabs>
          <w:tab w:val="clear" w:pos="708"/>
          <w:tab w:val="left" w:pos="1134" w:leader="none"/>
        </w:tabs>
        <w:ind w:left="0" w:firstLine="709"/>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w:t>
      </w:r>
      <w:r>
        <w:rPr>
          <w:bCs/>
          <w:shd w:fill="auto" w:val="clear"/>
        </w:rPr>
        <w:t>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11"/>
        </w:numPr>
        <w:shd w:val="clear" w:color="auto" w:fill="FFFFFF"/>
        <w:tabs>
          <w:tab w:val="clear" w:pos="708"/>
          <w:tab w:val="left" w:pos="1134"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1"/>
        </w:numPr>
        <w:shd w:val="clear" w:color="auto" w:fill="FFFFFF"/>
        <w:tabs>
          <w:tab w:val="clear" w:pos="708"/>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1"/>
        </w:numPr>
        <w:shd w:val="clear" w:color="auto" w:fill="FFFFFF"/>
        <w:tabs>
          <w:tab w:val="clear" w:pos="708"/>
          <w:tab w:val="left" w:pos="1134" w:leader="none"/>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widowControl w:val="false"/>
        <w:numPr>
          <w:ilvl w:val="1"/>
          <w:numId w:val="11"/>
        </w:numPr>
        <w:shd w:val="clear" w:color="auto" w:fill="FFFFFF"/>
        <w:tabs>
          <w:tab w:val="clear" w:pos="708"/>
          <w:tab w:val="left" w:pos="0" w:leader="none"/>
          <w:tab w:val="left" w:pos="1134" w:leader="none"/>
        </w:tabs>
        <w:ind w:left="0" w:firstLine="567"/>
        <w:jc w:val="both"/>
        <w:rPr/>
      </w:pPr>
      <w: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p>
    <w:p>
      <w:pPr>
        <w:pStyle w:val="ListParagraph"/>
        <w:numPr>
          <w:ilvl w:val="1"/>
          <w:numId w:val="11"/>
        </w:numPr>
        <w:shd w:val="clear" w:color="auto" w:fill="FFFFFF"/>
        <w:tabs>
          <w:tab w:val="clear" w:pos="708"/>
          <w:tab w:val="left" w:pos="1134" w:leader="none"/>
        </w:tabs>
        <w:ind w:left="0" w:firstLine="567"/>
        <w:jc w:val="both"/>
        <w:rPr>
          <w:shd w:fill="auto" w:val="clear"/>
        </w:rPr>
      </w:pPr>
      <w:r>
        <w:rPr>
          <w:rFonts w:eastAsia="Times New Roman"/>
          <w:b w:val="false"/>
          <w:bCs w:val="false"/>
          <w:i w:val="false"/>
          <w:iCs w:val="false"/>
          <w:caps w:val="false"/>
          <w:smallCaps w:val="false"/>
          <w:color w:val="000000"/>
          <w:sz w:val="24"/>
          <w:szCs w:val="24"/>
          <w:shd w:fill="auto"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11"/>
        </w:numPr>
        <w:shd w:val="clear" w:color="auto" w:fill="FFFFFF"/>
        <w:tabs>
          <w:tab w:val="clear" w:pos="708"/>
          <w:tab w:val="left" w:pos="1134" w:leader="none"/>
        </w:tabs>
        <w:ind w:left="0" w:firstLine="567"/>
        <w:jc w:val="both"/>
        <w:rPr>
          <w:shd w:fill="auto" w:val="clear"/>
        </w:rPr>
      </w:pPr>
      <w:r>
        <w:rPr>
          <w:rFonts w:eastAsia="Times New Roman"/>
          <w:sz w:val="24"/>
          <w:szCs w:val="24"/>
          <w:shd w:fill="auto"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11"/>
        </w:numPr>
        <w:shd w:val="clear" w:color="auto" w:fill="FFFFFF"/>
        <w:tabs>
          <w:tab w:val="clear" w:pos="708"/>
          <w:tab w:val="left" w:pos="1134" w:leader="none"/>
        </w:tabs>
        <w:ind w:left="0" w:firstLine="567"/>
        <w:jc w:val="both"/>
        <w:rPr>
          <w:shd w:fill="auto" w:val="clear"/>
        </w:rPr>
      </w:pPr>
      <w:r>
        <w:rPr>
          <w:rFonts w:eastAsia="Times New Roman"/>
          <w:bCs/>
          <w:iCs w:val="false"/>
          <w:caps w:val="false"/>
          <w:smallCaps w:val="false"/>
          <w:sz w:val="24"/>
          <w:szCs w:val="24"/>
          <w:shd w:fill="auto"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ListParagraph"/>
        <w:numPr>
          <w:ilvl w:val="0"/>
          <w:numId w:val="0"/>
        </w:numPr>
        <w:shd w:val="clear" w:color="auto" w:fill="FFFFFF"/>
        <w:tabs>
          <w:tab w:val="clear" w:pos="708"/>
          <w:tab w:val="left" w:pos="1134" w:leader="none"/>
        </w:tabs>
        <w:ind w:left="0" w:hanging="0"/>
        <w:jc w:val="both"/>
        <w:rPr>
          <w:rFonts w:ascii="Times New Roman" w:hAnsi="Times New Roman" w:eastAsia="Times New Roman"/>
          <w:b w:val="false"/>
          <w:b w:val="false"/>
          <w:bCs/>
          <w:i w:val="false"/>
          <w:i w:val="false"/>
          <w:iCs w:val="false"/>
          <w:caps w:val="false"/>
          <w:smallCaps w:val="false"/>
          <w:sz w:val="24"/>
          <w:szCs w:val="24"/>
        </w:rPr>
      </w:pPr>
      <w:r>
        <w:rPr>
          <w:rFonts w:eastAsia="Times New Roman"/>
          <w:b w:val="false"/>
          <w:bCs/>
          <w:i w:val="false"/>
          <w:iCs w:val="false"/>
          <w:caps w:val="false"/>
          <w:smallCaps w:val="false"/>
          <w:sz w:val="24"/>
          <w:szCs w:val="24"/>
        </w:rPr>
      </w:r>
    </w:p>
    <w:p>
      <w:pPr>
        <w:pStyle w:val="ListParagraph"/>
        <w:numPr>
          <w:ilvl w:val="0"/>
          <w:numId w:val="11"/>
        </w:numPr>
        <w:shd w:val="clear" w:color="auto" w:fill="FFFFFF"/>
        <w:tabs>
          <w:tab w:val="clear" w:pos="708"/>
          <w:tab w:val="left" w:pos="426" w:leader="none"/>
        </w:tabs>
        <w:ind w:left="0" w:hanging="0"/>
        <w:jc w:val="center"/>
        <w:rPr>
          <w:b/>
          <w:b/>
          <w:bCs/>
        </w:rPr>
      </w:pPr>
      <w:r>
        <w:rPr>
          <w:b/>
          <w:bCs/>
        </w:rPr>
        <w:t>Исключительные права и патенты</w:t>
      </w:r>
    </w:p>
    <w:p>
      <w:pPr>
        <w:pStyle w:val="ListParagraph"/>
        <w:numPr>
          <w:ilvl w:val="1"/>
          <w:numId w:val="12"/>
        </w:numPr>
        <w:shd w:val="clear" w:color="auto" w:fill="FFFFFF"/>
        <w:tabs>
          <w:tab w:val="clear" w:pos="708"/>
          <w:tab w:val="left" w:pos="1134" w:leader="none"/>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В состав Результата работ считаются включенными все разрешения (лицензии), необходимые для использования Заказчиком Результата работ. </w:t>
      </w:r>
    </w:p>
    <w:p>
      <w:pPr>
        <w:pStyle w:val="ListParagraph"/>
        <w:numPr>
          <w:ilvl w:val="1"/>
          <w:numId w:val="12"/>
        </w:numPr>
        <w:shd w:val="clear" w:color="auto" w:fill="FFFFFF"/>
        <w:tabs>
          <w:tab w:val="clear" w:pos="708"/>
          <w:tab w:val="left" w:pos="1134" w:leader="none"/>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8"/>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12"/>
        </w:numPr>
        <w:shd w:val="clear" w:color="auto" w:fill="FFFFFF"/>
        <w:tabs>
          <w:tab w:val="clear" w:pos="708"/>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8"/>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pPr>
        <w:pStyle w:val="ListParagraph"/>
        <w:shd w:val="clear" w:color="auto" w:fill="FFFFFF"/>
        <w:tabs>
          <w:tab w:val="clear" w:pos="708"/>
          <w:tab w:val="left" w:pos="1134" w:leader="none"/>
        </w:tabs>
        <w:ind w:left="709" w:hanging="0"/>
        <w:jc w:val="both"/>
        <w:rPr>
          <w:bCs/>
        </w:rPr>
      </w:pPr>
      <w:r>
        <w:rPr>
          <w:bCs/>
        </w:rPr>
      </w:r>
    </w:p>
    <w:p>
      <w:pPr>
        <w:pStyle w:val="ListParagraph"/>
        <w:numPr>
          <w:ilvl w:val="0"/>
          <w:numId w:val="12"/>
        </w:numPr>
        <w:shd w:val="clear" w:color="auto" w:fill="FFFFFF"/>
        <w:tabs>
          <w:tab w:val="clear" w:pos="708"/>
          <w:tab w:val="left" w:pos="426" w:leader="none"/>
        </w:tabs>
        <w:ind w:left="0" w:hanging="0"/>
        <w:jc w:val="center"/>
        <w:rPr>
          <w:b/>
          <w:b/>
          <w:bCs/>
        </w:rPr>
      </w:pPr>
      <w:r>
        <w:rPr>
          <w:b/>
          <w:bCs/>
        </w:rPr>
        <w:t>Конфиденциальность</w:t>
      </w:r>
    </w:p>
    <w:p>
      <w:pPr>
        <w:pStyle w:val="ListParagraph"/>
        <w:numPr>
          <w:ilvl w:val="1"/>
          <w:numId w:val="12"/>
        </w:numPr>
        <w:shd w:val="clear" w:color="auto" w:fill="FFFFFF"/>
        <w:tabs>
          <w:tab w:val="clear" w:pos="708"/>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3"/>
        </w:numPr>
        <w:tabs>
          <w:tab w:val="clear" w:pos="708"/>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2"/>
        </w:numPr>
        <w:shd w:val="clear" w:color="auto" w:fill="FFFFFF"/>
        <w:tabs>
          <w:tab w:val="clear" w:pos="708"/>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2"/>
        </w:numPr>
        <w:shd w:val="clear" w:color="auto" w:fill="FFFFFF"/>
        <w:tabs>
          <w:tab w:val="clear" w:pos="708"/>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2"/>
        </w:numPr>
        <w:shd w:val="clear" w:color="auto" w:fill="FFFFFF"/>
        <w:tabs>
          <w:tab w:val="clear" w:pos="708"/>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бизнес-планы;</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8"/>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2"/>
        </w:numPr>
        <w:shd w:val="clear" w:color="auto" w:fill="FFFFFF"/>
        <w:tabs>
          <w:tab w:val="clear" w:pos="708"/>
          <w:tab w:val="left" w:pos="1134" w:leader="none"/>
        </w:tabs>
        <w:ind w:left="0" w:firstLine="709"/>
        <w:jc w:val="both"/>
        <w:rPr>
          <w:bCs/>
        </w:rPr>
      </w:pPr>
      <w:bookmarkStart w:id="26"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6"/>
      <w:r>
        <w:rPr>
          <w:bCs/>
        </w:rPr>
        <w:t xml:space="preserve"> </w:t>
      </w:r>
    </w:p>
    <w:p>
      <w:pPr>
        <w:pStyle w:val="ListParagraph"/>
        <w:numPr>
          <w:ilvl w:val="2"/>
          <w:numId w:val="12"/>
        </w:numPr>
        <w:shd w:val="clear" w:color="auto" w:fill="FFFFFF"/>
        <w:tabs>
          <w:tab w:val="clear" w:pos="708"/>
          <w:tab w:val="left" w:pos="1418"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12"/>
        </w:numPr>
        <w:shd w:val="clear" w:color="auto" w:fill="FFFFFF"/>
        <w:tabs>
          <w:tab w:val="clear" w:pos="708"/>
          <w:tab w:val="left" w:pos="1418"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12"/>
        </w:numPr>
        <w:shd w:val="clear" w:color="auto" w:fill="FFFFFF"/>
        <w:tabs>
          <w:tab w:val="clear" w:pos="708"/>
          <w:tab w:val="left" w:pos="1418"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2"/>
        </w:numPr>
        <w:shd w:val="clear" w:color="auto" w:fill="FFFFFF"/>
        <w:tabs>
          <w:tab w:val="clear" w:pos="708"/>
          <w:tab w:val="left" w:pos="1418"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2"/>
        </w:numPr>
        <w:shd w:val="clear" w:color="auto" w:fill="FFFFFF"/>
        <w:tabs>
          <w:tab w:val="clear" w:pos="708"/>
          <w:tab w:val="left" w:pos="1418"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2"/>
        </w:numPr>
        <w:shd w:val="clear" w:color="auto" w:fill="FFFFFF"/>
        <w:tabs>
          <w:tab w:val="clear" w:pos="708"/>
          <w:tab w:val="left" w:pos="1418"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2"/>
        </w:numPr>
        <w:shd w:val="clear" w:color="auto" w:fill="FFFFFF"/>
        <w:tabs>
          <w:tab w:val="clear" w:pos="708"/>
          <w:tab w:val="left" w:pos="1418" w:leader="none"/>
        </w:tabs>
        <w:ind w:left="0" w:firstLine="709"/>
        <w:jc w:val="both"/>
        <w:rPr>
          <w:bCs/>
        </w:rPr>
      </w:pPr>
      <w:bookmarkStart w:id="27" w:name="_Ref361337832"/>
      <w:bookmarkEnd w:id="27"/>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12"/>
        </w:numPr>
        <w:shd w:val="clear" w:color="auto" w:fill="FFFFFF"/>
        <w:tabs>
          <w:tab w:val="clear" w:pos="708"/>
          <w:tab w:val="left" w:pos="1418"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2"/>
        </w:numPr>
        <w:shd w:val="clear" w:color="auto" w:fill="FFFFFF"/>
        <w:tabs>
          <w:tab w:val="clear" w:pos="708"/>
          <w:tab w:val="left" w:pos="1134" w:leader="none"/>
        </w:tabs>
        <w:ind w:left="0" w:firstLine="709"/>
        <w:jc w:val="both"/>
        <w:rPr>
          <w:bCs/>
        </w:rPr>
      </w:pPr>
      <w:bookmarkStart w:id="28" w:name="_Ref361337863"/>
      <w:bookmarkEnd w:id="28"/>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left="0" w:hanging="0"/>
        <w:rPr>
          <w:b/>
          <w:b/>
          <w:bCs/>
        </w:rPr>
      </w:pPr>
      <w:r>
        <w:rPr>
          <w:b/>
          <w:bCs/>
        </w:rPr>
      </w:r>
    </w:p>
    <w:p>
      <w:pPr>
        <w:pStyle w:val="ListParagraph"/>
        <w:numPr>
          <w:ilvl w:val="0"/>
          <w:numId w:val="12"/>
        </w:numPr>
        <w:shd w:val="clear" w:color="auto" w:fill="FFFFFF"/>
        <w:tabs>
          <w:tab w:val="clear" w:pos="708"/>
          <w:tab w:val="left" w:pos="426" w:leader="none"/>
        </w:tabs>
        <w:jc w:val="center"/>
        <w:rPr>
          <w:b/>
          <w:b/>
          <w:bCs/>
        </w:rPr>
      </w:pPr>
      <w:r>
        <w:rPr>
          <w:b/>
          <w:bCs/>
        </w:rPr>
        <w:t>Антикоррупционная оговорка</w:t>
      </w:r>
    </w:p>
    <w:p>
      <w:pPr>
        <w:pStyle w:val="ListParagraph"/>
        <w:numPr>
          <w:ilvl w:val="1"/>
          <w:numId w:val="12"/>
        </w:numPr>
        <w:shd w:val="clear" w:color="auto" w:fill="FFFFFF"/>
        <w:tabs>
          <w:tab w:val="clear" w:pos="708"/>
          <w:tab w:val="left" w:pos="1418"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2"/>
        </w:numPr>
        <w:shd w:val="clear" w:color="auto" w:fill="FFFFFF"/>
        <w:tabs>
          <w:tab w:val="clear" w:pos="708"/>
          <w:tab w:val="left" w:pos="1418" w:leader="none"/>
        </w:tabs>
        <w:ind w:left="0" w:firstLine="709"/>
        <w:jc w:val="both"/>
        <w:rPr>
          <w:bCs/>
          <w:color w:val="000000"/>
        </w:rPr>
      </w:pPr>
      <w:r>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Pr>
          <w:bCs/>
          <w:color w:val="000000"/>
          <w:shd w:fill="FFFFFF" w:val="clear"/>
        </w:rPr>
        <w:t>Применимым правом</w:t>
      </w:r>
      <w:r>
        <w:rPr>
          <w:bCs/>
          <w:color w:val="000000"/>
        </w:rPr>
        <w:t xml:space="preserve">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2"/>
        </w:numPr>
        <w:shd w:val="clear" w:color="auto" w:fill="FFFFFF"/>
        <w:tabs>
          <w:tab w:val="clear" w:pos="708"/>
          <w:tab w:val="left" w:pos="1418"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2"/>
        </w:numPr>
        <w:shd w:val="clear" w:color="auto" w:fill="FFFFFF"/>
        <w:tabs>
          <w:tab w:val="clear" w:pos="708"/>
          <w:tab w:val="left" w:pos="1418"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2"/>
        </w:numPr>
        <w:shd w:val="clear" w:color="auto" w:fill="FFFFFF"/>
        <w:tabs>
          <w:tab w:val="clear" w:pos="708"/>
          <w:tab w:val="left" w:pos="1418"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2"/>
        </w:numPr>
        <w:shd w:val="clear" w:color="auto" w:fill="FFFFFF"/>
        <w:tabs>
          <w:tab w:val="clear" w:pos="708"/>
          <w:tab w:val="left" w:pos="1418"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2"/>
        </w:numPr>
        <w:shd w:val="clear" w:color="auto" w:fill="FFFFFF"/>
        <w:tabs>
          <w:tab w:val="clear" w:pos="708"/>
          <w:tab w:val="left" w:pos="567" w:leader="none"/>
          <w:tab w:val="left" w:pos="1418" w:leader="none"/>
        </w:tabs>
        <w:ind w:left="0" w:firstLine="709"/>
        <w:jc w:val="both"/>
        <w:rPr>
          <w:color w:val="000000"/>
        </w:rPr>
      </w:pPr>
      <w:r>
        <w:rPr>
          <w:color w:val="000000"/>
        </w:rPr>
        <w:t xml:space="preserve">Каналы связи Линия доверия Группы РусГидро: </w:t>
      </w:r>
    </w:p>
    <w:p>
      <w:pPr>
        <w:pStyle w:val="ListParagraph"/>
        <w:widowControl w:val="false"/>
        <w:numPr>
          <w:ilvl w:val="2"/>
          <w:numId w:val="12"/>
        </w:numPr>
        <w:shd w:val="clear" w:color="auto" w:fill="FFFFFF"/>
        <w:tabs>
          <w:tab w:val="clear" w:pos="708"/>
          <w:tab w:val="left" w:pos="567" w:leader="none"/>
          <w:tab w:val="left" w:pos="1418" w:leader="none"/>
        </w:tabs>
        <w:ind w:left="0" w:firstLine="709"/>
        <w:jc w:val="both"/>
        <w:rPr>
          <w:szCs w:val="28"/>
        </w:rPr>
      </w:pPr>
      <w:r>
        <w:rPr>
          <w:szCs w:val="28"/>
        </w:rPr>
        <w:t>Электронная почта: ld@rushydro.ru.</w:t>
      </w:r>
    </w:p>
    <w:p>
      <w:pPr>
        <w:pStyle w:val="ListParagraph"/>
        <w:widowControl w:val="false"/>
        <w:numPr>
          <w:ilvl w:val="2"/>
          <w:numId w:val="12"/>
        </w:numPr>
        <w:shd w:val="clear" w:color="auto" w:fill="FFFFFF"/>
        <w:tabs>
          <w:tab w:val="clear" w:pos="708"/>
          <w:tab w:val="left" w:pos="567" w:leader="none"/>
          <w:tab w:val="left" w:pos="1418" w:leader="none"/>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2"/>
        </w:numPr>
        <w:tabs>
          <w:tab w:val="clear" w:pos="708"/>
          <w:tab w:val="left" w:pos="1418" w:leader="none"/>
        </w:tabs>
        <w:spacing w:lineRule="auto" w:line="259" w:before="0" w:after="160"/>
        <w:ind w:left="0" w:firstLine="709"/>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spacing w:lineRule="auto" w:line="240"/>
        <w:ind w:hanging="0"/>
        <w:rPr>
          <w:b/>
          <w:b/>
          <w:sz w:val="24"/>
          <w:szCs w:val="24"/>
        </w:rPr>
      </w:pPr>
      <w:r>
        <w:rPr>
          <w:b/>
          <w:sz w:val="24"/>
          <w:szCs w:val="24"/>
        </w:rPr>
      </w:r>
    </w:p>
    <w:p>
      <w:pPr>
        <w:pStyle w:val="ListParagraph"/>
        <w:numPr>
          <w:ilvl w:val="0"/>
          <w:numId w:val="12"/>
        </w:numPr>
        <w:shd w:val="clear" w:color="auto" w:fill="FFFFFF"/>
        <w:tabs>
          <w:tab w:val="clear" w:pos="708"/>
          <w:tab w:val="left" w:pos="426" w:leader="none"/>
        </w:tabs>
        <w:ind w:left="0" w:hanging="0"/>
        <w:jc w:val="center"/>
        <w:rPr>
          <w:b/>
          <w:b/>
          <w:bCs/>
        </w:rPr>
      </w:pPr>
      <w:r>
        <w:rPr>
          <w:b/>
          <w:bCs/>
        </w:rPr>
        <w:t>Обстоятельства непреодолимой силы (форс-мажор)</w:t>
      </w:r>
    </w:p>
    <w:p>
      <w:pPr>
        <w:pStyle w:val="ListParagraph"/>
        <w:numPr>
          <w:ilvl w:val="1"/>
          <w:numId w:val="12"/>
        </w:numPr>
        <w:shd w:val="clear" w:color="auto" w:fill="FFFFFF"/>
        <w:tabs>
          <w:tab w:val="clear" w:pos="708"/>
          <w:tab w:val="left" w:pos="1134"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2"/>
        </w:numPr>
        <w:shd w:val="clear" w:color="auto" w:fill="FFFFFF"/>
        <w:tabs>
          <w:tab w:val="clear" w:pos="708"/>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2"/>
        </w:numPr>
        <w:shd w:val="clear" w:color="auto" w:fill="FFFFFF"/>
        <w:tabs>
          <w:tab w:val="clear" w:pos="708"/>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2"/>
        </w:numPr>
        <w:shd w:val="clear" w:color="auto" w:fill="FFFFFF"/>
        <w:tabs>
          <w:tab w:val="clear" w:pos="708"/>
          <w:tab w:val="left" w:pos="1134" w:leader="none"/>
        </w:tabs>
        <w:ind w:left="0" w:firstLine="709"/>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bCs/>
        </w:rPr>
        <w:t>.</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2"/>
        </w:numPr>
        <w:shd w:val="clear" w:color="auto" w:fill="FFFFFF"/>
        <w:tabs>
          <w:tab w:val="clear" w:pos="708"/>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12"/>
        </w:numPr>
        <w:shd w:val="clear" w:color="auto" w:fill="FFFFFF"/>
        <w:tabs>
          <w:tab w:val="clear" w:pos="708"/>
          <w:tab w:val="left" w:pos="426" w:leader="none"/>
        </w:tabs>
        <w:ind w:left="0" w:hanging="0"/>
        <w:jc w:val="center"/>
        <w:rPr>
          <w:b/>
          <w:b/>
        </w:rPr>
      </w:pPr>
      <w:r>
        <w:rPr>
          <w:b/>
          <w:bCs/>
        </w:rPr>
        <w:t>Заверения</w:t>
      </w:r>
      <w:r>
        <w:rPr>
          <w:b/>
        </w:rPr>
        <w:t xml:space="preserve"> Сторон</w:t>
      </w:r>
    </w:p>
    <w:p>
      <w:pPr>
        <w:pStyle w:val="ListParagraph"/>
        <w:numPr>
          <w:ilvl w:val="1"/>
          <w:numId w:val="12"/>
        </w:numPr>
        <w:shd w:val="clear" w:color="auto" w:fill="FFFFFF"/>
        <w:tabs>
          <w:tab w:val="clear" w:pos="708"/>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6"/>
        </w:numPr>
        <w:shd w:val="clear" w:color="auto" w:fill="FFFFFF"/>
        <w:tabs>
          <w:tab w:val="clear" w:pos="708"/>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2"/>
        </w:numPr>
        <w:shd w:val="clear" w:color="auto" w:fill="FFFFFF"/>
        <w:tabs>
          <w:tab w:val="clear" w:pos="708"/>
          <w:tab w:val="left" w:pos="1134" w:leader="none"/>
          <w:tab w:val="left" w:pos="1418" w:leader="none"/>
        </w:tabs>
        <w:ind w:left="0" w:firstLine="709"/>
        <w:jc w:val="both"/>
        <w:rPr/>
      </w:pPr>
      <w:r>
        <w:rPr/>
        <w:t>Подрядчик заявляет и заверяет Заказчика в том, что на момент заключения Договора:</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руководителем Подрядчика является лицо, не являющееся массовым руководителем;</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val="clear" w:color="auto" w:fill="FFFFFF"/>
        <w:tabs>
          <w:tab w:val="clear" w:pos="708"/>
          <w:tab w:val="left" w:pos="567" w:leader="none"/>
          <w:tab w:val="left" w:pos="1418" w:leader="none"/>
        </w:tabs>
        <w:ind w:left="0" w:firstLine="709"/>
        <w:jc w:val="both"/>
        <w:rPr/>
      </w:pPr>
      <w:r>
        <w:rPr/>
        <w:t xml:space="preserve">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w:t>
      </w:r>
      <w:r>
        <w:rPr>
          <w:shd w:fill="auto" w:val="clear"/>
        </w:rPr>
        <w:t>обязательства, возникающие из Договору или в связи с ним;</w:t>
      </w:r>
    </w:p>
    <w:p>
      <w:pPr>
        <w:pStyle w:val="ListParagraph"/>
        <w:numPr>
          <w:ilvl w:val="0"/>
          <w:numId w:val="7"/>
        </w:numPr>
        <w:shd w:val="clear" w:color="auto" w:fill="FFFFFF"/>
        <w:tabs>
          <w:tab w:val="clear" w:pos="708"/>
          <w:tab w:val="left" w:pos="567" w:leader="none"/>
          <w:tab w:val="left" w:pos="1418" w:leader="none"/>
        </w:tabs>
        <w:ind w:left="0" w:firstLine="709"/>
        <w:jc w:val="both"/>
        <w:rPr>
          <w:shd w:fill="auto" w:val="clear"/>
        </w:rPr>
      </w:pPr>
      <w:r>
        <w:rPr>
          <w:shd w:fill="auto" w:val="clear"/>
        </w:rPr>
        <w:t>Подрядчик состоит в СРО, основанной на членстве лиц, выполняющих подготовку проектной документации;</w:t>
      </w:r>
    </w:p>
    <w:p>
      <w:pPr>
        <w:pStyle w:val="ListParagraph"/>
        <w:numPr>
          <w:ilvl w:val="0"/>
          <w:numId w:val="7"/>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clear" w:pos="708"/>
          <w:tab w:val="left" w:pos="567" w:leader="none"/>
          <w:tab w:val="left" w:pos="1418" w:leader="none"/>
        </w:tabs>
        <w:ind w:left="0" w:firstLine="709"/>
        <w:jc w:val="both"/>
        <w:rPr/>
      </w:pPr>
      <w: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7"/>
        </w:numPr>
        <w:shd w:val="clear" w:color="auto" w:fill="FFFFFF"/>
        <w:tabs>
          <w:tab w:val="clear" w:pos="708"/>
          <w:tab w:val="left" w:pos="567" w:leader="none"/>
          <w:tab w:val="left" w:pos="1418" w:leader="none"/>
        </w:tabs>
        <w:ind w:left="0" w:firstLine="709"/>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clear" w:pos="708"/>
          <w:tab w:val="left" w:pos="567" w:leader="none"/>
          <w:tab w:val="left" w:pos="1418" w:leader="none"/>
        </w:tabs>
        <w:ind w:left="0" w:firstLine="709"/>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w:t>
      </w:r>
      <w:r>
        <w:rPr>
          <w:shd w:fill="auto" w:val="clear"/>
        </w:rPr>
        <w:t>егативно повлиять на решение Заказчика заключить Договор на указанных в нем условиях;</w:t>
      </w:r>
    </w:p>
    <w:p>
      <w:pPr>
        <w:pStyle w:val="ListParagraph"/>
        <w:numPr>
          <w:ilvl w:val="0"/>
          <w:numId w:val="7"/>
        </w:numPr>
        <w:shd w:val="clear" w:color="auto" w:fill="FFFFFF"/>
        <w:tabs>
          <w:tab w:val="clear" w:pos="708"/>
          <w:tab w:val="left" w:pos="567" w:leader="none"/>
          <w:tab w:val="left" w:pos="1418" w:leader="none"/>
        </w:tabs>
        <w:ind w:left="0" w:firstLine="709"/>
        <w:jc w:val="both"/>
        <w:rPr>
          <w:shd w:fill="auto" w:val="clear"/>
        </w:rPr>
      </w:pPr>
      <w:r>
        <w:rPr>
          <w:shd w:fill="auto" w:val="clear"/>
        </w:rPr>
        <w:t>Подрядчик согласен на многократное применение разработанной им Проектной документации и / или Рабочей документации в качестве типовой проектной документации (проектной документации повторного использования).</w:t>
      </w:r>
    </w:p>
    <w:p>
      <w:pPr>
        <w:pStyle w:val="Normal"/>
        <w:numPr>
          <w:ilvl w:val="1"/>
          <w:numId w:val="12"/>
        </w:numPr>
        <w:spacing w:lineRule="auto" w:line="240"/>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2"/>
        </w:numPr>
        <w:shd w:val="clear" w:color="auto" w:fill="FFFFFF"/>
        <w:tabs>
          <w:tab w:val="clear" w:pos="708"/>
          <w:tab w:val="left" w:pos="1134" w:leader="none"/>
          <w:tab w:val="left" w:pos="1418" w:leader="none"/>
        </w:tabs>
        <w:ind w:left="0" w:firstLine="709"/>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12"/>
        </w:numPr>
        <w:shd w:val="clear" w:color="auto" w:fill="FFFFFF"/>
        <w:tabs>
          <w:tab w:val="clear" w:pos="708"/>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left="709" w:hanging="0"/>
        <w:jc w:val="both"/>
        <w:rPr>
          <w:b/>
          <w:b/>
        </w:rPr>
      </w:pPr>
      <w:r>
        <w:rPr>
          <w:b/>
        </w:rPr>
      </w:r>
    </w:p>
    <w:p>
      <w:pPr>
        <w:pStyle w:val="ListParagraph"/>
        <w:numPr>
          <w:ilvl w:val="0"/>
          <w:numId w:val="12"/>
        </w:numPr>
        <w:shd w:val="clear" w:color="auto" w:fill="FFFFFF"/>
        <w:tabs>
          <w:tab w:val="clear" w:pos="708"/>
          <w:tab w:val="left" w:pos="426" w:leader="none"/>
        </w:tabs>
        <w:ind w:left="0" w:hanging="0"/>
        <w:jc w:val="center"/>
        <w:rPr>
          <w:b/>
          <w:b/>
        </w:rPr>
      </w:pPr>
      <w:r>
        <w:rPr>
          <w:b/>
          <w:bCs/>
        </w:rPr>
        <w:t>П</w:t>
      </w:r>
      <w:r>
        <w:rPr>
          <w:b/>
        </w:rPr>
        <w:t>рекращение (расторжение) Договора</w:t>
      </w:r>
    </w:p>
    <w:p>
      <w:pPr>
        <w:pStyle w:val="ListParagraph"/>
        <w:numPr>
          <w:ilvl w:val="1"/>
          <w:numId w:val="12"/>
        </w:numPr>
        <w:shd w:val="clear" w:color="auto" w:fill="FFFFFF"/>
        <w:tabs>
          <w:tab w:val="clear" w:pos="708"/>
          <w:tab w:val="left" w:pos="1134"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2"/>
        </w:numPr>
        <w:shd w:val="clear" w:color="auto" w:fill="FFFFFF"/>
        <w:tabs>
          <w:tab w:val="clear" w:pos="708"/>
          <w:tab w:val="left" w:pos="1134" w:leader="none"/>
        </w:tabs>
        <w:ind w:left="0" w:firstLine="709"/>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left="0" w:firstLine="709"/>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2"/>
        </w:numPr>
        <w:shd w:val="clear" w:color="auto" w:fill="FFFFFF"/>
        <w:tabs>
          <w:tab w:val="clear" w:pos="708"/>
          <w:tab w:val="left" w:pos="1134" w:leader="none"/>
        </w:tabs>
        <w:ind w:left="0" w:firstLine="709"/>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8"/>
          <w:tab w:val="left" w:pos="1134" w:leader="none"/>
        </w:tabs>
        <w:ind w:left="0" w:firstLine="709"/>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2"/>
        </w:numPr>
        <w:shd w:val="clear" w:color="auto" w:fill="FFFFFF"/>
        <w:tabs>
          <w:tab w:val="clear" w:pos="708"/>
          <w:tab w:val="left" w:pos="1134" w:leader="none"/>
        </w:tabs>
        <w:ind w:left="0" w:firstLine="709"/>
        <w:jc w:val="both"/>
        <w:rPr/>
      </w:pPr>
      <w:r>
        <w:rPr/>
        <w:t>Стороны установили, что существенным нарушением Договора Подрядчиком является:</w:t>
      </w:r>
    </w:p>
    <w:p>
      <w:pPr>
        <w:pStyle w:val="ListParagraph"/>
        <w:numPr>
          <w:ilvl w:val="0"/>
          <w:numId w:val="5"/>
        </w:numPr>
        <w:tabs>
          <w:tab w:val="clear" w:pos="708"/>
          <w:tab w:val="left" w:pos="1134" w:leader="none"/>
        </w:tabs>
        <w:ind w:left="0" w:right="23" w:firstLine="709"/>
        <w:jc w:val="both"/>
        <w:rPr/>
      </w:pPr>
      <w: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w:t>
      </w:r>
      <w:r>
        <w:rPr>
          <w:shd w:fill="auto" w:val="clear"/>
        </w:rPr>
        <w:t xml:space="preserve"> на 30 (тридцать) календарных дней по причина</w:t>
      </w:r>
      <w:r>
        <w:rPr/>
        <w:t>м, не зависящим от Заказчика;</w:t>
      </w:r>
    </w:p>
    <w:p>
      <w:pPr>
        <w:pStyle w:val="ListParagraph"/>
        <w:numPr>
          <w:ilvl w:val="0"/>
          <w:numId w:val="5"/>
        </w:numPr>
        <w:tabs>
          <w:tab w:val="clear" w:pos="708"/>
          <w:tab w:val="left" w:pos="1134" w:leader="none"/>
        </w:tabs>
        <w:ind w:left="0" w:right="23" w:firstLine="709"/>
        <w:jc w:val="both"/>
        <w:rPr/>
      </w:pPr>
      <w:r>
        <w:rPr/>
        <w:t>несоблюдение Подрядчиком требований к качеству Работ</w:t>
      </w:r>
      <w:r>
        <w:rPr>
          <w:bCs/>
        </w:rPr>
        <w:t>,</w:t>
      </w:r>
      <w: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5"/>
        </w:numPr>
        <w:tabs>
          <w:tab w:val="clear" w:pos="708"/>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r>
        <w:rPr>
          <w:shd w:fill="auto" w:val="clear"/>
        </w:rPr>
        <w:t>;</w:t>
      </w:r>
    </w:p>
    <w:p>
      <w:pPr>
        <w:pStyle w:val="ListParagraph"/>
        <w:numPr>
          <w:ilvl w:val="0"/>
          <w:numId w:val="5"/>
        </w:numPr>
        <w:tabs>
          <w:tab w:val="clear" w:pos="708"/>
          <w:tab w:val="left" w:pos="1134" w:leader="none"/>
        </w:tabs>
        <w:ind w:left="0" w:right="23" w:firstLine="709"/>
        <w:jc w:val="both"/>
        <w:rPr>
          <w:shd w:fill="auto" w:val="clear"/>
        </w:rPr>
      </w:pPr>
      <w:r>
        <w:rPr>
          <w:shd w:fill="auto" w:val="clear"/>
        </w:rPr>
        <w:t>прекращение членства в СРО, основанной на членстве лиц, осуществляющих подготовку проектной документации, предоставляющих Подрядчику право на производство Работ по Договору;</w:t>
      </w:r>
    </w:p>
    <w:p>
      <w:pPr>
        <w:pStyle w:val="ListParagraph"/>
        <w:numPr>
          <w:ilvl w:val="0"/>
          <w:numId w:val="5"/>
        </w:numPr>
        <w:tabs>
          <w:tab w:val="clear" w:pos="708"/>
          <w:tab w:val="left" w:pos="1134" w:leader="none"/>
        </w:tabs>
        <w:ind w:left="0" w:right="23" w:firstLine="709"/>
        <w:jc w:val="both"/>
        <w:rPr>
          <w:shd w:fill="auto" w:val="clear"/>
        </w:rPr>
      </w:pPr>
      <w:r>
        <w:rPr>
          <w:shd w:fill="auto"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5"/>
        </w:numPr>
        <w:tabs>
          <w:tab w:val="clear" w:pos="708"/>
          <w:tab w:val="left" w:pos="1134" w:leader="none"/>
        </w:tabs>
        <w:ind w:left="0" w:right="23" w:firstLine="709"/>
        <w:jc w:val="both"/>
        <w:rPr>
          <w:shd w:fill="auto" w:val="clear"/>
        </w:rPr>
      </w:pPr>
      <w:r>
        <w:rPr>
          <w:shd w:fill="auto" w:val="clea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5"/>
        </w:numPr>
        <w:tabs>
          <w:tab w:val="clear" w:pos="708"/>
          <w:tab w:val="left" w:pos="1134" w:leader="none"/>
        </w:tabs>
        <w:ind w:left="0" w:right="23" w:firstLine="709"/>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5"/>
        </w:numPr>
        <w:tabs>
          <w:tab w:val="clear" w:pos="708"/>
          <w:tab w:val="left" w:pos="1134" w:leader="none"/>
        </w:tabs>
        <w:ind w:left="0" w:right="23" w:firstLine="709"/>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w:t>
      </w:r>
      <w:r>
        <w:rPr>
          <w:shd w:fill="auto" w:val="clear"/>
        </w:rPr>
        <w:t>азанных в разделе 12 Договора, и имеющих существенное значение для его заключения и исполнения;</w:t>
      </w:r>
    </w:p>
    <w:p>
      <w:pPr>
        <w:pStyle w:val="Style34"/>
        <w:widowControl/>
        <w:numPr>
          <w:ilvl w:val="0"/>
          <w:numId w:val="5"/>
        </w:numPr>
        <w:bidi w:val="0"/>
        <w:spacing w:lineRule="auto" w:line="240" w:before="0" w:after="0"/>
        <w:ind w:left="113" w:right="113" w:firstLine="510"/>
        <w:jc w:val="both"/>
        <w:rPr>
          <w:shd w:fill="auto" w:val="clear"/>
        </w:rPr>
      </w:pPr>
      <w:r>
        <w:rPr>
          <w:b w:val="false"/>
          <w:bCs w:val="false"/>
          <w:i w:val="false"/>
          <w:iCs w:val="false"/>
          <w:caps w:val="false"/>
          <w:smallCaps w:val="false"/>
          <w:color w:val="000000"/>
          <w:sz w:val="24"/>
          <w:szCs w:val="24"/>
          <w:shd w:fill="auto"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auto" w:val="clear"/>
        </w:rPr>
        <w:t xml:space="preserve">наличии </w:t>
      </w:r>
      <w:r>
        <w:rPr>
          <w:b w:val="false"/>
          <w:bCs w:val="false"/>
          <w:i w:val="false"/>
          <w:iCs w:val="false"/>
          <w:caps w:val="false"/>
          <w:smallCaps w:val="false"/>
          <w:color w:val="000000"/>
          <w:sz w:val="24"/>
          <w:szCs w:val="24"/>
          <w:shd w:fill="auto"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п.2.3.25 Договора</w:t>
      </w:r>
      <w:r>
        <w:rPr>
          <w:bCs/>
          <w:iCs w:val="false"/>
          <w:sz w:val="24"/>
          <w:szCs w:val="24"/>
          <w:shd w:fill="auto" w:val="clear"/>
        </w:rPr>
        <w:t>.</w:t>
      </w:r>
    </w:p>
    <w:p>
      <w:pPr>
        <w:pStyle w:val="ListParagraph"/>
        <w:numPr>
          <w:ilvl w:val="1"/>
          <w:numId w:val="12"/>
        </w:numPr>
        <w:shd w:val="clear" w:color="auto" w:fill="FFFFFF"/>
        <w:tabs>
          <w:tab w:val="clear" w:pos="708"/>
          <w:tab w:val="left" w:pos="1134" w:leader="none"/>
        </w:tabs>
        <w:ind w:left="0" w:firstLine="709"/>
        <w:jc w:val="both"/>
        <w:rPr/>
      </w:pPr>
      <w:r>
        <w:rPr>
          <w:shd w:fill="auto" w:val="clear"/>
        </w:rPr>
        <w:t>В случае отказа Заказчика от Договора в случаях, предусмотренных пунктами 13.2, 13.3, 13.4 Договора, п</w:t>
      </w:r>
      <w:r>
        <w:rPr/>
        <w:t xml:space="preserve">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2"/>
        </w:numPr>
        <w:shd w:val="clear" w:color="auto" w:fill="FFFFFF"/>
        <w:tabs>
          <w:tab w:val="clear" w:pos="708"/>
          <w:tab w:val="left" w:pos="1134" w:leader="none"/>
        </w:tabs>
        <w:ind w:left="0" w:firstLine="709"/>
        <w:jc w:val="both"/>
        <w:rPr/>
      </w:pPr>
      <w:r>
        <w:rPr/>
        <w:t>С даты прекращения (расторжения) Договора Подрядчик обязан прекратить производство Работ, и в согласованные Сторонами сроки передать Заказчику Результат работ, техническую и иную полученную документацию.</w:t>
      </w:r>
    </w:p>
    <w:p>
      <w:pPr>
        <w:pStyle w:val="ListParagraph"/>
        <w:numPr>
          <w:ilvl w:val="1"/>
          <w:numId w:val="12"/>
        </w:numPr>
        <w:shd w:val="clear" w:color="auto" w:fill="FFFFFF"/>
        <w:tabs>
          <w:tab w:val="clear" w:pos="708"/>
          <w:tab w:val="left" w:pos="1134" w:leader="none"/>
        </w:tabs>
        <w:ind w:left="0" w:firstLine="709"/>
        <w:jc w:val="both"/>
        <w:rPr/>
      </w:pPr>
      <w:r>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8"/>
          <w:tab w:val="left" w:pos="1134" w:leader="none"/>
        </w:tabs>
        <w:ind w:left="709" w:hanging="0"/>
        <w:jc w:val="both"/>
        <w:rPr/>
      </w:pPr>
      <w:r>
        <w:rPr/>
      </w:r>
    </w:p>
    <w:p>
      <w:pPr>
        <w:pStyle w:val="ListParagraph"/>
        <w:numPr>
          <w:ilvl w:val="0"/>
          <w:numId w:val="12"/>
        </w:numPr>
        <w:shd w:val="clear" w:color="auto" w:fill="FFFFFF"/>
        <w:tabs>
          <w:tab w:val="clear" w:pos="708"/>
          <w:tab w:val="left" w:pos="426" w:leader="none"/>
        </w:tabs>
        <w:ind w:left="0" w:hanging="0"/>
        <w:jc w:val="center"/>
        <w:rPr>
          <w:bCs/>
        </w:rPr>
      </w:pPr>
      <w:r>
        <w:rPr>
          <w:b/>
          <w:bCs/>
        </w:rPr>
        <w:t>Разрешение споров</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 xml:space="preserve">Споры, указанные в пункте 15.1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6.1.9 Договора.</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16.7 Договора.</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left="0" w:firstLine="567"/>
        <w:jc w:val="both"/>
        <w:rPr>
          <w:b/>
          <w:b/>
          <w:bCs/>
        </w:rPr>
      </w:pPr>
      <w:r>
        <w:rPr>
          <w:b/>
          <w:bCs/>
        </w:rPr>
      </w:r>
    </w:p>
    <w:p>
      <w:pPr>
        <w:pStyle w:val="ListParagraph"/>
        <w:numPr>
          <w:ilvl w:val="0"/>
          <w:numId w:val="12"/>
        </w:numPr>
        <w:shd w:val="clear" w:color="auto" w:fill="FFFFFF"/>
        <w:tabs>
          <w:tab w:val="clear" w:pos="708"/>
          <w:tab w:val="left" w:pos="426" w:leader="none"/>
        </w:tabs>
        <w:ind w:left="0" w:hanging="0"/>
        <w:jc w:val="center"/>
        <w:rPr>
          <w:b/>
          <w:b/>
          <w:bCs/>
        </w:rPr>
      </w:pPr>
      <w:r>
        <w:rPr>
          <w:b/>
          <w:bCs/>
        </w:rPr>
        <w:t>Заключительные положения</w:t>
      </w:r>
    </w:p>
    <w:p>
      <w:pPr>
        <w:pStyle w:val="ListParagraph"/>
        <w:numPr>
          <w:ilvl w:val="1"/>
          <w:numId w:val="12"/>
        </w:numPr>
        <w:shd w:val="clear" w:color="auto" w:fill="FFFFFF"/>
        <w:tabs>
          <w:tab w:val="clear" w:pos="708"/>
          <w:tab w:val="left" w:pos="1134" w:leader="none"/>
        </w:tabs>
        <w:ind w:left="0" w:firstLine="709"/>
        <w:jc w:val="both"/>
        <w:rPr/>
      </w:pPr>
      <w:r>
        <w:rPr/>
        <w:t>Договор вступает в силу с даты его подписания Сторонами и действует до полного исполнения им</w:t>
      </w:r>
      <w:r>
        <w:rPr>
          <w:shd w:fill="auto" w:val="clear"/>
        </w:rPr>
        <w:t>и принятых на себя обязательств. В соответствии с пунктом 2 статьи 425 ГК РФ условия Договора применяются к отношениям Сторон, возникшим с __________.</w:t>
      </w:r>
    </w:p>
    <w:p>
      <w:pPr>
        <w:pStyle w:val="ListParagraph"/>
        <w:shd w:val="clear" w:color="auto" w:fill="FFFFFF"/>
        <w:tabs>
          <w:tab w:val="clear" w:pos="708"/>
          <w:tab w:val="left" w:pos="1134" w:leader="none"/>
        </w:tabs>
        <w:ind w:left="0" w:firstLine="709"/>
        <w:jc w:val="both"/>
        <w:rPr>
          <w:shd w:fill="auto" w:val="clear"/>
        </w:rPr>
      </w:pPr>
      <w:r>
        <w:rPr>
          <w:shd w:fill="auto" w:val="clear"/>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shd w:val="clear" w:color="auto" w:fill="FFFFFF"/>
        <w:tabs>
          <w:tab w:val="clear" w:pos="708"/>
          <w:tab w:val="left" w:pos="1134" w:leader="none"/>
        </w:tabs>
        <w:ind w:left="0" w:firstLine="709"/>
        <w:jc w:val="both"/>
        <w:rPr>
          <w:shd w:fill="auto" w:val="clear"/>
        </w:rPr>
      </w:pPr>
      <w:r>
        <w:rPr>
          <w:shd w:fill="auto" w:val="clear"/>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rStyle w:val="Style12"/>
          <w:shd w:fill="auto" w:val="clear"/>
        </w:rPr>
        <w:footnoteReference w:id="7"/>
      </w:r>
    </w:p>
    <w:p>
      <w:pPr>
        <w:pStyle w:val="ListParagraph"/>
        <w:numPr>
          <w:ilvl w:val="1"/>
          <w:numId w:val="12"/>
        </w:numPr>
        <w:shd w:val="clear" w:color="auto" w:fill="FFFFFF"/>
        <w:tabs>
          <w:tab w:val="clear" w:pos="708"/>
          <w:tab w:val="left" w:pos="1134" w:leader="none"/>
        </w:tabs>
        <w:ind w:left="0" w:firstLine="709"/>
        <w:jc w:val="both"/>
        <w:rPr>
          <w:shd w:fill="auto" w:val="clear"/>
        </w:rPr>
      </w:pPr>
      <w:r>
        <w:rPr>
          <w:shd w:fill="auto"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15.6 Договора. </w:t>
      </w:r>
    </w:p>
    <w:p>
      <w:pPr>
        <w:pStyle w:val="ListParagraph"/>
        <w:numPr>
          <w:ilvl w:val="1"/>
          <w:numId w:val="12"/>
        </w:numPr>
        <w:shd w:val="clear" w:color="auto" w:fill="FFFFFF"/>
        <w:tabs>
          <w:tab w:val="clear" w:pos="708"/>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2"/>
        </w:numPr>
        <w:shd w:val="clear" w:color="auto" w:fill="FFFFFF"/>
        <w:tabs>
          <w:tab w:val="clear" w:pos="708"/>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2"/>
        </w:numPr>
        <w:shd w:val="clear" w:color="auto" w:fill="FFFFFF"/>
        <w:tabs>
          <w:tab w:val="clear" w:pos="708"/>
          <w:tab w:val="left" w:pos="1134"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w:t>
      </w:r>
      <w:r>
        <w:rPr>
          <w:shd w:fill="FFFFFF" w:val="clear"/>
        </w:rPr>
        <w:t xml:space="preserve">средств электронной связи </w:t>
      </w:r>
      <w:r>
        <w:rPr/>
        <w:t>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2"/>
        </w:numPr>
        <w:shd w:val="clear" w:color="auto" w:fill="FFFFFF"/>
        <w:tabs>
          <w:tab w:val="clear" w:pos="708"/>
          <w:tab w:val="left" w:pos="1134" w:leader="none"/>
        </w:tabs>
        <w:ind w:left="0" w:firstLine="709"/>
        <w:jc w:val="both"/>
        <w:rPr/>
      </w:pPr>
      <w:bookmarkStart w:id="29" w:name="_Ref361338004"/>
      <w:r>
        <w:rPr/>
        <w:t>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w:t>
      </w:r>
      <w:bookmarkEnd w:id="29"/>
      <w:r>
        <w:rPr/>
        <w:t xml:space="preserve"> </w:t>
      </w:r>
    </w:p>
    <w:p>
      <w:pPr>
        <w:pStyle w:val="ListParagraph"/>
        <w:numPr>
          <w:ilvl w:val="1"/>
          <w:numId w:val="12"/>
        </w:numPr>
        <w:shd w:val="clear" w:color="auto" w:fill="FFFFFF"/>
        <w:tabs>
          <w:tab w:val="clear" w:pos="708"/>
          <w:tab w:val="left" w:pos="1134" w:leader="none"/>
        </w:tabs>
        <w:ind w:left="0" w:firstLine="709"/>
        <w:jc w:val="both"/>
        <w:rPr>
          <w:bCs/>
        </w:rPr>
      </w:pPr>
      <w:bookmarkStart w:id="30" w:name="_Ref361338019"/>
      <w:r>
        <w:rPr/>
        <w:t>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bookmarkEnd w:id="30"/>
      <w:r>
        <w:rPr>
          <w:bCs/>
        </w:rPr>
        <w:t xml:space="preserve"> будет считаться полученным:</w:t>
      </w:r>
    </w:p>
    <w:p>
      <w:pPr>
        <w:pStyle w:val="ListParagraph"/>
        <w:numPr>
          <w:ilvl w:val="2"/>
          <w:numId w:val="12"/>
        </w:numPr>
        <w:shd w:val="clear" w:color="auto" w:fill="FFFFFF"/>
        <w:tabs>
          <w:tab w:val="clear" w:pos="708"/>
          <w:tab w:val="left" w:pos="1701" w:leader="none"/>
        </w:tabs>
        <w:ind w:left="0" w:firstLine="709"/>
        <w:jc w:val="both"/>
        <w:rPr>
          <w:bCs/>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rPr>
        <w:t>;</w:t>
      </w:r>
    </w:p>
    <w:p>
      <w:pPr>
        <w:pStyle w:val="ListParagraph"/>
        <w:numPr>
          <w:ilvl w:val="2"/>
          <w:numId w:val="12"/>
        </w:numPr>
        <w:shd w:val="clear" w:color="auto" w:fill="FFFFFF"/>
        <w:tabs>
          <w:tab w:val="clear" w:pos="708"/>
          <w:tab w:val="left" w:pos="1701" w:leader="none"/>
        </w:tabs>
        <w:ind w:left="0" w:firstLine="709"/>
        <w:jc w:val="both"/>
        <w:rPr>
          <w:bCs/>
        </w:rPr>
      </w:pPr>
      <w:bookmarkStart w:id="31" w:name="_Ref361338032"/>
      <w:bookmarkEnd w:id="31"/>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12"/>
        </w:numPr>
        <w:shd w:val="clear" w:color="auto" w:fill="FFFFFF"/>
        <w:tabs>
          <w:tab w:val="clear" w:pos="708"/>
          <w:tab w:val="left" w:pos="1701" w:leader="none"/>
        </w:tabs>
        <w:ind w:left="0" w:firstLine="709"/>
        <w:jc w:val="both"/>
        <w:rPr>
          <w:bCs/>
        </w:rPr>
      </w:pPr>
      <w:r>
        <w:rPr>
          <w:bCs/>
        </w:rPr>
        <w:t>Посредством электронной почты (</w:t>
      </w:r>
      <w:r>
        <w:rPr>
          <w:bCs/>
          <w:lang w:val="en-US"/>
        </w:rPr>
        <w:t>e</w:t>
      </w:r>
      <w:r>
        <w:rPr>
          <w:bCs/>
        </w:rPr>
        <w:t>-</w:t>
      </w:r>
      <w:r>
        <w:rPr>
          <w:bCs/>
          <w:lang w:val="en-US"/>
        </w:rPr>
        <w:t>mail</w:t>
      </w:r>
      <w:r>
        <w:rPr>
          <w:bCs/>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clear" w:pos="708"/>
          <w:tab w:val="left" w:pos="1701" w:leader="none"/>
        </w:tabs>
        <w:ind w:left="0" w:firstLine="709"/>
        <w:jc w:val="both"/>
        <w:rPr>
          <w:bCs/>
        </w:rPr>
      </w:pPr>
      <w:r>
        <w:rPr>
          <w:bCs/>
        </w:rPr>
        <w:t>Оригиналы документов,</w:t>
      </w:r>
      <w:r>
        <w:rPr>
          <w:bCs/>
          <w:shd w:fill="FFFFFF" w:val="clear"/>
        </w:rPr>
        <w:t xml:space="preserve"> направленные посредством электронной почты, </w:t>
      </w:r>
      <w:r>
        <w:rPr>
          <w:bCs/>
        </w:rPr>
        <w:t xml:space="preserve">должны не позднее следующего рабочего дня быть направлены Стороной-отправителем способами, указанными в пунктах 15.7.1-15.7.2 Договора. </w:t>
      </w:r>
    </w:p>
    <w:p>
      <w:pPr>
        <w:pStyle w:val="ListParagraph"/>
        <w:shd w:val="clear" w:color="auto" w:fill="FFFFFF"/>
        <w:tabs>
          <w:tab w:val="clear" w:pos="708"/>
          <w:tab w:val="left" w:pos="0" w:leader="none"/>
          <w:tab w:val="left" w:pos="1134" w:leader="none"/>
          <w:tab w:val="left" w:pos="1418" w:leader="none"/>
          <w:tab w:val="left" w:pos="1701" w:leader="none"/>
        </w:tabs>
        <w:ind w:left="0" w:firstLine="709"/>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12"/>
        </w:numPr>
        <w:spacing w:lineRule="auto" w:line="240"/>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2"/>
        </w:numPr>
        <w:shd w:val="clear" w:color="auto" w:fill="FFFFFF"/>
        <w:tabs>
          <w:tab w:val="clear" w:pos="708"/>
          <w:tab w:val="left" w:pos="568" w:leader="none"/>
        </w:tabs>
        <w:ind w:left="0" w:firstLine="709"/>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12"/>
        </w:numPr>
        <w:shd w:val="clear" w:color="auto" w:fill="FFFFFF"/>
        <w:tabs>
          <w:tab w:val="clear" w:pos="708"/>
          <w:tab w:val="left" w:pos="1134"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2"/>
        </w:numPr>
        <w:shd w:val="clear" w:color="auto" w:fill="FFFFFF"/>
        <w:tabs>
          <w:tab w:val="clear" w:pos="708"/>
          <w:tab w:val="left" w:pos="1134" w:leader="none"/>
        </w:tabs>
        <w:ind w:left="0" w:firstLine="709"/>
        <w:jc w:val="both"/>
        <w:rPr/>
      </w:pPr>
      <w:r>
        <w:rPr/>
        <w:t>Договор составлен в 2 (двух) оригинальных экземплярах, имеющих равную юридическую силу, по 1 (одному) для каждой из Сторон.</w:t>
      </w:r>
      <w:r>
        <w:rPr>
          <w:rStyle w:val="Style12"/>
        </w:rPr>
        <w:footnoteReference w:id="8"/>
      </w:r>
      <w:r>
        <w:rPr>
          <w:highlight w:val="lightGray"/>
        </w:rPr>
        <w:t>.</w:t>
      </w:r>
    </w:p>
    <w:p>
      <w:pPr>
        <w:pStyle w:val="ListParagraph"/>
        <w:numPr>
          <w:ilvl w:val="1"/>
          <w:numId w:val="12"/>
        </w:numPr>
        <w:shd w:val="clear" w:color="auto" w:fill="FFFFFF"/>
        <w:tabs>
          <w:tab w:val="clear" w:pos="708"/>
          <w:tab w:val="left" w:pos="0" w:leader="none"/>
          <w:tab w:val="left" w:pos="709" w:leader="none"/>
          <w:tab w:val="left" w:pos="851" w:leader="none"/>
          <w:tab w:val="left" w:pos="993" w:leader="none"/>
          <w:tab w:val="left" w:pos="1134" w:leader="none"/>
          <w:tab w:val="left" w:pos="1701" w:leader="none"/>
          <w:tab w:val="left" w:pos="2130" w:leader="none"/>
        </w:tabs>
        <w:ind w:left="0" w:firstLine="709"/>
        <w:jc w:val="both"/>
        <w:rPr/>
      </w:pPr>
      <w:r>
        <w:rPr/>
        <w:t xml:space="preserve">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 Амурская область, г. Благовещенск, ул. Шевченко, д. 28) ИНН 2801108200, КПП 280102003,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widowControl w:val="false"/>
        <w:tabs>
          <w:tab w:val="clear" w:pos="708"/>
          <w:tab w:val="left" w:pos="993" w:leader="none"/>
        </w:tabs>
        <w:spacing w:lineRule="auto" w:line="240"/>
        <w:ind w:right="-2" w:firstLine="709"/>
        <w:rPr>
          <w:bCs/>
          <w:iCs/>
          <w:sz w:val="24"/>
        </w:rPr>
      </w:pPr>
      <w:r>
        <w:rPr>
          <w:bCs/>
          <w:iCs/>
          <w:sz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clear" w:pos="708"/>
          <w:tab w:val="left" w:pos="1134" w:leader="none"/>
        </w:tabs>
        <w:spacing w:lineRule="auto" w:line="240"/>
        <w:ind w:firstLine="709"/>
        <w:rPr>
          <w:bCs/>
          <w:iCs/>
          <w:sz w:val="24"/>
        </w:rPr>
      </w:pPr>
      <w:r>
        <w:rPr>
          <w:bCs/>
          <w:iCs/>
          <w:sz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ind w:left="0" w:firstLine="567"/>
        <w:rPr>
          <w:bCs/>
        </w:rPr>
      </w:pPr>
      <w:r>
        <w:rPr>
          <w:bCs/>
        </w:rPr>
      </w:r>
    </w:p>
    <w:p>
      <w:pPr>
        <w:pStyle w:val="ListParagraph"/>
        <w:numPr>
          <w:ilvl w:val="0"/>
          <w:numId w:val="12"/>
        </w:numPr>
        <w:shd w:val="clear" w:color="auto" w:fill="FFFFFF"/>
        <w:tabs>
          <w:tab w:val="clear" w:pos="708"/>
          <w:tab w:val="left" w:pos="426" w:leader="none"/>
        </w:tabs>
        <w:ind w:left="0" w:hanging="0"/>
        <w:jc w:val="center"/>
        <w:rPr>
          <w:b/>
          <w:b/>
          <w:bCs/>
        </w:rPr>
      </w:pPr>
      <w:r>
        <w:rPr>
          <w:b/>
          <w:bCs/>
        </w:rPr>
        <w:t>Список приложений</w:t>
      </w:r>
    </w:p>
    <w:p>
      <w:pPr>
        <w:pStyle w:val="ListParagraph"/>
        <w:shd w:val="clear" w:color="auto" w:fill="FFFFFF"/>
        <w:ind w:left="0" w:hanging="0"/>
        <w:jc w:val="both"/>
        <w:rPr>
          <w:bCs/>
        </w:rPr>
      </w:pPr>
      <w:r>
        <w:rPr/>
        <w:t xml:space="preserve">Приложение № </w:t>
      </w:r>
      <w:r>
        <w:rPr>
          <w:bCs/>
        </w:rPr>
        <w:t>1 – Техническое задание;</w:t>
      </w:r>
    </w:p>
    <w:p>
      <w:pPr>
        <w:pStyle w:val="ListParagraph"/>
        <w:shd w:val="clear" w:color="auto" w:fill="FFFFFF"/>
        <w:ind w:left="0" w:hanging="0"/>
        <w:jc w:val="both"/>
        <w:rPr>
          <w:bCs/>
        </w:rPr>
      </w:pPr>
      <w:r>
        <w:rPr>
          <w:bCs/>
        </w:rPr>
        <w:t>Приложение № 2 – Сводная смета с приложениями;</w:t>
      </w:r>
    </w:p>
    <w:p>
      <w:pPr>
        <w:pStyle w:val="ListParagraph"/>
        <w:shd w:val="clear" w:color="auto" w:fill="FFFFFF"/>
        <w:ind w:left="0" w:hanging="0"/>
        <w:jc w:val="both"/>
        <w:rPr>
          <w:bCs/>
        </w:rPr>
      </w:pPr>
      <w:r>
        <w:rPr>
          <w:bCs/>
        </w:rPr>
        <w:t>Приложение № 3 – Форма Акта сдачи-приемки технической и иной документации;</w:t>
      </w:r>
    </w:p>
    <w:p>
      <w:pPr>
        <w:pStyle w:val="ListParagraph"/>
        <w:shd w:val="clear" w:color="auto" w:fill="FFFFFF"/>
        <w:ind w:left="0" w:hanging="0"/>
        <w:jc w:val="both"/>
        <w:rPr>
          <w:bCs/>
        </w:rPr>
      </w:pPr>
      <w:r>
        <w:rPr>
          <w:bCs/>
        </w:rPr>
        <w:t>Приложение № 4 – Перечень допусков, разрешений и лицензий Подрядчика;</w:t>
      </w:r>
    </w:p>
    <w:p>
      <w:pPr>
        <w:pStyle w:val="ListParagraph"/>
        <w:shd w:val="clear" w:color="auto" w:fill="FFFFFF"/>
        <w:ind w:left="0" w:hanging="0"/>
        <w:jc w:val="both"/>
        <w:rPr>
          <w:bCs/>
        </w:rPr>
      </w:pPr>
      <w:r>
        <w:rPr>
          <w:bCs/>
        </w:rPr>
        <w:t>Приложение № 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bCs/>
        </w:rPr>
      </w:pPr>
      <w:r>
        <w:rPr>
          <w:bCs/>
        </w:rPr>
        <w:t>Приложение № 6 – Форма Акта сдачи-приемки выполненных работ;</w:t>
      </w:r>
    </w:p>
    <w:p>
      <w:pPr>
        <w:pStyle w:val="ListParagraph"/>
        <w:shd w:val="clear" w:color="auto" w:fill="FFFFFF"/>
        <w:ind w:left="0" w:hanging="0"/>
        <w:jc w:val="both"/>
        <w:rPr>
          <w:shd w:fill="auto" w:val="clear"/>
        </w:rPr>
      </w:pPr>
      <w:r>
        <w:rPr>
          <w:bCs/>
          <w:shd w:fill="auto" w:val="clear"/>
        </w:rPr>
        <w:t>Приложение № 7 – Критерии отбора Банков-Гарантов.</w:t>
      </w:r>
    </w:p>
    <w:p>
      <w:pPr>
        <w:pStyle w:val="ListParagraph"/>
        <w:shd w:val="clear" w:color="auto" w:fill="FFFFFF"/>
        <w:ind w:left="0" w:hanging="0"/>
        <w:jc w:val="both"/>
        <w:rPr>
          <w:bCs/>
        </w:rPr>
      </w:pPr>
      <w:r>
        <w:rPr>
          <w:bCs/>
        </w:rPr>
      </w:r>
    </w:p>
    <w:p>
      <w:pPr>
        <w:pStyle w:val="ListParagraph"/>
        <w:numPr>
          <w:ilvl w:val="0"/>
          <w:numId w:val="12"/>
        </w:numPr>
        <w:shd w:val="clear" w:color="auto" w:fill="FFFFFF"/>
        <w:tabs>
          <w:tab w:val="clear" w:pos="708"/>
          <w:tab w:val="left" w:pos="426" w:leader="none"/>
        </w:tabs>
        <w:ind w:left="0" w:hanging="0"/>
        <w:jc w:val="center"/>
        <w:rPr>
          <w:b/>
          <w:b/>
          <w:bCs/>
        </w:rPr>
      </w:pPr>
      <w:r>
        <w:rPr>
          <w:b/>
          <w:bCs/>
        </w:rPr>
        <w:t>Адреса и платежные реквизиты Сторон</w:t>
      </w:r>
    </w:p>
    <w:p>
      <w:pPr>
        <w:pStyle w:val="ListParagraph"/>
        <w:shd w:val="clear" w:color="auto" w:fill="FFFFFF"/>
        <w:tabs>
          <w:tab w:val="clear" w:pos="708"/>
          <w:tab w:val="left" w:pos="426" w:leader="none"/>
        </w:tabs>
        <w:ind w:left="0" w:hanging="0"/>
        <w:rPr>
          <w:b/>
          <w:b/>
          <w:bCs/>
        </w:rPr>
      </w:pPr>
      <w:r>
        <w:rPr>
          <w:b/>
          <w:bCs/>
        </w:rPr>
      </w:r>
    </w:p>
    <w:tbl>
      <w:tblPr>
        <w:tblW w:w="9639"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9"/>
        <w:gridCol w:w="133"/>
        <w:gridCol w:w="4646"/>
        <w:gridCol w:w="81"/>
      </w:tblGrid>
      <w:tr>
        <w:trPr/>
        <w:tc>
          <w:tcPr>
            <w:tcW w:w="4912" w:type="dxa"/>
            <w:gridSpan w:val="2"/>
            <w:tcBorders/>
            <w:shd w:fill="auto" w:val="clear"/>
          </w:tcPr>
          <w:p>
            <w:pPr>
              <w:pStyle w:val="Normal"/>
              <w:widowControl w:val="false"/>
              <w:spacing w:lineRule="auto" w:line="240"/>
              <w:ind w:hanging="0"/>
              <w:rPr>
                <w:sz w:val="24"/>
                <w:szCs w:val="24"/>
              </w:rPr>
            </w:pPr>
            <w:r>
              <w:rPr>
                <w:sz w:val="24"/>
                <w:szCs w:val="24"/>
              </w:rPr>
              <w:t>ЗАКАЗЧИК:</w:t>
            </w:r>
          </w:p>
        </w:tc>
        <w:tc>
          <w:tcPr>
            <w:tcW w:w="4727" w:type="dxa"/>
            <w:gridSpan w:val="2"/>
            <w:tcBorders/>
            <w:shd w:fill="auto" w:val="clear"/>
          </w:tcPr>
          <w:p>
            <w:pPr>
              <w:pStyle w:val="Normal"/>
              <w:widowControl w:val="false"/>
              <w:spacing w:lineRule="auto" w:line="240"/>
              <w:ind w:hanging="0"/>
              <w:rPr>
                <w:sz w:val="24"/>
                <w:szCs w:val="24"/>
              </w:rPr>
            </w:pPr>
            <w:r>
              <w:rPr>
                <w:sz w:val="24"/>
                <w:szCs w:val="24"/>
              </w:rPr>
              <w:t>ПОДРЯДЧИК:</w:t>
            </w:r>
          </w:p>
        </w:tc>
      </w:tr>
      <w:tr>
        <w:trPr/>
        <w:tc>
          <w:tcPr>
            <w:tcW w:w="4912" w:type="dxa"/>
            <w:gridSpan w:val="2"/>
            <w:tcBorders/>
            <w:shd w:color="auto" w:fill="BFBFBF" w:themeFill="background1" w:themeFillShade="bf"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b/>
                <w:sz w:val="24"/>
                <w:szCs w:val="24"/>
                <w:highlight w:val="lightGray"/>
              </w:rPr>
            </w:pPr>
            <w:r>
              <w:rPr>
                <w:b/>
                <w:sz w:val="24"/>
                <w:szCs w:val="24"/>
                <w:highlight w:val="lightGray"/>
              </w:rPr>
              <w:t>Акционерное общество</w:t>
            </w:r>
          </w:p>
          <w:p>
            <w:pPr>
              <w:pStyle w:val="Normal"/>
              <w:widowControl w:val="false"/>
              <w:spacing w:lineRule="auto" w:line="240"/>
              <w:ind w:hanging="0"/>
              <w:jc w:val="left"/>
              <w:rPr>
                <w:b/>
                <w:b/>
                <w:sz w:val="24"/>
                <w:szCs w:val="24"/>
              </w:rPr>
            </w:pPr>
            <w:r>
              <w:rPr>
                <w:b/>
                <w:sz w:val="24"/>
                <w:szCs w:val="24"/>
              </w:rPr>
              <w:t>«Дальневосточная распределительная сетевая компания» (АО «ДРСК»)</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rPr>
                <w:sz w:val="24"/>
                <w:szCs w:val="24"/>
              </w:rPr>
            </w:pPr>
            <w:r>
              <w:rPr>
                <w:sz w:val="24"/>
                <w:szCs w:val="24"/>
              </w:rPr>
              <w:t>Место нахождения:</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 xml:space="preserve"> </w:t>
            </w:r>
            <w:r>
              <w:rPr>
                <w:sz w:val="24"/>
                <w:szCs w:val="24"/>
              </w:rPr>
              <w:t>(номер расчетного счета)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(наименование банка, в котором</w:t>
            </w:r>
          </w:p>
          <w:p>
            <w:pPr>
              <w:pStyle w:val="Normal"/>
              <w:widowControl w:val="false"/>
              <w:spacing w:lineRule="auto" w:line="240"/>
              <w:ind w:hanging="0"/>
              <w:jc w:val="left"/>
              <w:rPr>
                <w:sz w:val="24"/>
                <w:szCs w:val="24"/>
              </w:rPr>
            </w:pPr>
            <w:r>
              <w:rPr>
                <w:sz w:val="24"/>
                <w:szCs w:val="24"/>
              </w:rPr>
              <w:t>открыт расчетный счет)</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корреспондентского счета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(БИК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телефона)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факса)</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tc>
        <w:tc>
          <w:tcPr>
            <w:tcW w:w="4727" w:type="dxa"/>
            <w:gridSpan w:val="2"/>
            <w:tcBorders/>
            <w:shd w:color="auto" w:fill="BFBFBF" w:themeFill="background1" w:themeFillShade="bf"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Место нахождения:</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79" w:type="dxa"/>
            <w:tcBorders/>
            <w:shd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highlight w:val="lightGray"/>
              </w:rPr>
            </w:pPr>
            <w:r>
              <w:rPr>
                <w:sz w:val="24"/>
                <w:szCs w:val="24"/>
                <w:highlight w:val="lightGray"/>
              </w:rPr>
              <w:t xml:space="preserve">_______________ / _______________ </w:t>
            </w:r>
          </w:p>
          <w:p>
            <w:pPr>
              <w:pStyle w:val="Normal"/>
              <w:widowControl w:val="false"/>
              <w:spacing w:lineRule="auto" w:line="240"/>
              <w:ind w:hanging="0"/>
              <w:jc w:val="left"/>
              <w:rPr>
                <w:sz w:val="24"/>
                <w:szCs w:val="24"/>
                <w:highlight w:val="lightGray"/>
              </w:rPr>
            </w:pPr>
            <w:r>
              <w:rPr>
                <w:sz w:val="24"/>
                <w:szCs w:val="24"/>
                <w:highlight w:val="lightGray"/>
              </w:rPr>
            </w:r>
          </w:p>
        </w:tc>
        <w:tc>
          <w:tcPr>
            <w:tcW w:w="4779" w:type="dxa"/>
            <w:gridSpan w:val="2"/>
            <w:tcBorders/>
            <w:shd w:fill="auto" w:val="clear"/>
          </w:tcPr>
          <w:p>
            <w:pPr>
              <w:pStyle w:val="Normal"/>
              <w:widowControl w:val="false"/>
              <w:spacing w:lineRule="auto" w:line="240"/>
              <w:ind w:hanging="0"/>
              <w:jc w:val="left"/>
              <w:rPr>
                <w:sz w:val="24"/>
                <w:szCs w:val="24"/>
                <w:highlight w:val="lightGray"/>
              </w:rPr>
            </w:pPr>
            <w:r>
              <w:rPr>
                <w:sz w:val="24"/>
                <w:szCs w:val="24"/>
                <w:highlight w:val="lightGray"/>
              </w:rPr>
            </w:r>
          </w:p>
          <w:p>
            <w:pPr>
              <w:pStyle w:val="Normal"/>
              <w:widowControl w:val="false"/>
              <w:spacing w:lineRule="auto" w:line="240"/>
              <w:ind w:hanging="0"/>
              <w:jc w:val="center"/>
              <w:rPr>
                <w:sz w:val="24"/>
                <w:szCs w:val="24"/>
              </w:rPr>
            </w:pPr>
            <w:r>
              <w:rPr>
                <w:sz w:val="24"/>
                <w:szCs w:val="24"/>
                <w:highlight w:val="lightGray"/>
              </w:rPr>
              <w:t>_______________ / _______________</w:t>
            </w:r>
          </w:p>
          <w:p>
            <w:pPr>
              <w:pStyle w:val="Normal"/>
              <w:widowControl w:val="false"/>
              <w:spacing w:lineRule="auto" w:line="240"/>
              <w:ind w:hanging="0"/>
              <w:jc w:val="left"/>
              <w:rPr>
                <w:sz w:val="24"/>
                <w:szCs w:val="24"/>
              </w:rPr>
            </w:pPr>
            <w:r>
              <w:rPr>
                <w:sz w:val="24"/>
                <w:szCs w:val="24"/>
              </w:rPr>
            </w:r>
          </w:p>
        </w:tc>
        <w:tc>
          <w:tcPr>
            <w:tcW w:w="81" w:type="dxa"/>
            <w:tcBorders/>
            <w:shd w:fill="auto" w:val="clear"/>
          </w:tcPr>
          <w:p>
            <w:pPr>
              <w:pStyle w:val="Normal"/>
              <w:widowControl w:val="false"/>
              <w:rPr/>
            </w:pPr>
            <w:r>
              <w:rPr/>
            </w:r>
          </w:p>
        </w:tc>
      </w:tr>
    </w:tbl>
    <w:p>
      <w:pPr>
        <w:sectPr>
          <w:headerReference w:type="default" r:id="rId2"/>
          <w:headerReference w:type="first" r:id="rId3"/>
          <w:footnotePr>
            <w:numFmt w:val="decimal"/>
          </w:footnotePr>
          <w:type w:val="nextPage"/>
          <w:pgSz w:w="11906" w:h="16838"/>
          <w:pgMar w:left="1701" w:right="709" w:header="709" w:top="1134" w:footer="0" w:bottom="1134" w:gutter="0"/>
          <w:pgNumType w:fmt="decimal"/>
          <w:formProt w:val="false"/>
          <w:titlePg/>
          <w:textDirection w:val="lrTb"/>
          <w:docGrid w:type="default" w:linePitch="381" w:charSpace="0"/>
        </w:sectPr>
      </w:pPr>
    </w:p>
    <w:p>
      <w:pPr>
        <w:pStyle w:val="Normal"/>
        <w:spacing w:lineRule="auto" w:line="240"/>
        <w:ind w:left="4820" w:hanging="0"/>
        <w:rPr>
          <w:sz w:val="22"/>
          <w:szCs w:val="22"/>
        </w:rPr>
      </w:pPr>
      <w:r>
        <w:rPr>
          <w:sz w:val="22"/>
          <w:szCs w:val="22"/>
        </w:rPr>
        <w:t>Приложение № 1</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от «____» __________ 20 _ г. № ________</w:t>
      </w:r>
    </w:p>
    <w:p>
      <w:pPr>
        <w:pStyle w:val="Normal"/>
        <w:spacing w:lineRule="auto" w:line="240"/>
        <w:ind w:left="1416" w:hanging="0"/>
        <w:rPr>
          <w:b/>
          <w:b/>
          <w:sz w:val="24"/>
          <w:szCs w:val="24"/>
        </w:rPr>
      </w:pPr>
      <w:r>
        <w:rPr>
          <w:b/>
          <w:sz w:val="24"/>
          <w:szCs w:val="24"/>
        </w:rPr>
      </w:r>
    </w:p>
    <w:p>
      <w:pPr>
        <w:pStyle w:val="Normal"/>
        <w:spacing w:lineRule="auto" w:line="240"/>
        <w:ind w:left="1416" w:hanging="0"/>
        <w:rPr>
          <w:b/>
          <w:b/>
          <w:sz w:val="24"/>
          <w:szCs w:val="24"/>
        </w:rPr>
      </w:pPr>
      <w:r>
        <w:rPr>
          <w:b/>
          <w:sz w:val="24"/>
          <w:szCs w:val="24"/>
        </w:rPr>
      </w:r>
    </w:p>
    <w:p>
      <w:pPr>
        <w:pStyle w:val="Normal"/>
        <w:spacing w:lineRule="auto" w:line="240"/>
        <w:ind w:hanging="0"/>
        <w:jc w:val="center"/>
        <w:rPr>
          <w:b/>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b/>
                <w:sz w:val="24"/>
              </w:rPr>
            </w:pPr>
            <w:r>
              <w:rPr>
                <w:b/>
                <w:sz w:val="24"/>
              </w:rPr>
              <w:t>Заказчик:</w:t>
            </w:r>
          </w:p>
        </w:tc>
        <w:tc>
          <w:tcPr>
            <w:tcW w:w="4785" w:type="dxa"/>
            <w:tcBorders/>
            <w:shd w:fill="auto" w:val="clear"/>
          </w:tcPr>
          <w:p>
            <w:pPr>
              <w:pStyle w:val="Normal"/>
              <w:widowControl w:val="false"/>
              <w:spacing w:lineRule="auto" w:line="240"/>
              <w:ind w:hanging="0"/>
              <w:rPr>
                <w:b/>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widowControl/>
        <w:suppressAutoHyphens w:val="true"/>
        <w:bidi w:val="0"/>
        <w:spacing w:lineRule="auto" w:line="240" w:before="0" w:after="0"/>
        <w:ind w:left="4819" w:right="0" w:hanging="0"/>
        <w:jc w:val="left"/>
        <w:rPr>
          <w:rFonts w:ascii="Liberation Serif" w:hAnsi="Liberation Serif"/>
          <w:sz w:val="20"/>
          <w:szCs w:val="20"/>
          <w:shd w:fill="C0C0C0" w:val="clear"/>
        </w:rPr>
      </w:pPr>
      <w:r>
        <w:rPr>
          <w:rFonts w:ascii="Liberation Serif" w:hAnsi="Liberation Serif"/>
          <w:sz w:val="20"/>
          <w:szCs w:val="20"/>
          <w:shd w:fill="C0C0C0" w:val="clear"/>
        </w:rPr>
      </w:r>
      <w:r>
        <w:br w:type="page"/>
      </w:r>
    </w:p>
    <w:p>
      <w:pPr>
        <w:pStyle w:val="Normal"/>
        <w:spacing w:lineRule="auto" w:line="240"/>
        <w:ind w:left="4820" w:hanging="0"/>
        <w:jc w:val="left"/>
        <w:rPr>
          <w:sz w:val="22"/>
          <w:szCs w:val="22"/>
        </w:rPr>
      </w:pPr>
      <w:r>
        <w:rPr>
          <w:sz w:val="22"/>
          <w:szCs w:val="22"/>
        </w:rPr>
        <w:t>Приложение № 2</w:t>
      </w:r>
    </w:p>
    <w:p>
      <w:pPr>
        <w:pStyle w:val="Normal"/>
        <w:spacing w:lineRule="auto" w:line="240"/>
        <w:ind w:left="4820" w:hanging="0"/>
        <w:jc w:val="left"/>
        <w:rPr>
          <w:sz w:val="22"/>
          <w:szCs w:val="22"/>
        </w:rPr>
      </w:pPr>
      <w:r>
        <w:rPr>
          <w:sz w:val="22"/>
          <w:szCs w:val="22"/>
        </w:rPr>
        <w:t>к Договору подряда</w:t>
      </w:r>
    </w:p>
    <w:p>
      <w:pPr>
        <w:pStyle w:val="Normal"/>
        <w:spacing w:lineRule="auto" w:line="240"/>
        <w:ind w:left="4820" w:hanging="0"/>
        <w:jc w:val="left"/>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
          <w:bCs/>
          <w:sz w:val="24"/>
          <w:szCs w:val="24"/>
        </w:rPr>
      </w:pPr>
      <w:r>
        <w:rPr>
          <w:b/>
          <w:bCs/>
          <w:sz w:val="24"/>
          <w:szCs w:val="24"/>
        </w:rPr>
      </w:r>
    </w:p>
    <w:p>
      <w:pPr>
        <w:pStyle w:val="Normal"/>
        <w:spacing w:lineRule="auto" w:line="240"/>
        <w:ind w:hanging="0"/>
        <w:jc w:val="center"/>
        <w:rPr>
          <w:b/>
          <w:b/>
          <w:sz w:val="24"/>
          <w:szCs w:val="24"/>
        </w:rPr>
      </w:pPr>
      <w:r>
        <w:rPr>
          <w:b/>
          <w:sz w:val="24"/>
          <w:szCs w:val="24"/>
        </w:rPr>
        <w:t>СВОДНАЯ СМЕТА 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b/>
                <w:sz w:val="24"/>
              </w:rPr>
            </w:pPr>
            <w:r>
              <w:rPr>
                <w:b/>
                <w:sz w:val="24"/>
              </w:rPr>
              <w:t>Заказчик:</w:t>
            </w:r>
          </w:p>
        </w:tc>
        <w:tc>
          <w:tcPr>
            <w:tcW w:w="4785" w:type="dxa"/>
            <w:tcBorders/>
            <w:shd w:fill="auto" w:val="clear"/>
          </w:tcPr>
          <w:p>
            <w:pPr>
              <w:pStyle w:val="Normal"/>
              <w:widowControl w:val="false"/>
              <w:spacing w:lineRule="auto" w:line="240"/>
              <w:ind w:hanging="0"/>
              <w:rPr>
                <w:b/>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left="4820" w:hanging="0"/>
        <w:jc w:val="left"/>
        <w:rPr>
          <w:sz w:val="22"/>
          <w:szCs w:val="22"/>
        </w:rPr>
      </w:pPr>
      <w:r>
        <w:rPr>
          <w:sz w:val="22"/>
          <w:szCs w:val="22"/>
        </w:rPr>
        <w:t>Приложение № 3</w:t>
      </w:r>
    </w:p>
    <w:p>
      <w:pPr>
        <w:pStyle w:val="Normal"/>
        <w:spacing w:lineRule="auto" w:line="240"/>
        <w:ind w:left="4820" w:hanging="0"/>
        <w:jc w:val="left"/>
        <w:rPr>
          <w:sz w:val="22"/>
          <w:szCs w:val="22"/>
        </w:rPr>
      </w:pPr>
      <w:r>
        <w:rPr>
          <w:sz w:val="22"/>
          <w:szCs w:val="22"/>
        </w:rPr>
        <w:t>к Договору подряда</w:t>
      </w:r>
    </w:p>
    <w:p>
      <w:pPr>
        <w:pStyle w:val="Normal"/>
        <w:spacing w:lineRule="auto" w:line="240"/>
        <w:ind w:left="4820" w:hanging="0"/>
        <w:jc w:val="left"/>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
          <w:bCs/>
          <w:sz w:val="24"/>
          <w:szCs w:val="24"/>
        </w:rPr>
      </w:pPr>
      <w:r>
        <w:rPr>
          <w:b/>
          <w:bCs/>
          <w:sz w:val="24"/>
          <w:szCs w:val="24"/>
        </w:rPr>
      </w:r>
    </w:p>
    <w:p>
      <w:pPr>
        <w:pStyle w:val="Style47"/>
        <w:shd w:val="clear" w:color="auto" w:fill="auto"/>
        <w:ind w:hanging="0"/>
        <w:rPr>
          <w:b w:val="false"/>
          <w:b w:val="false"/>
          <w:sz w:val="24"/>
        </w:rPr>
      </w:pPr>
      <w:r>
        <w:rPr>
          <w:sz w:val="24"/>
        </w:rPr>
        <w:t>ФОРМА</w:t>
      </w:r>
    </w:p>
    <w:p>
      <w:pPr>
        <w:pStyle w:val="Style47"/>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5000" w:type="pct"/>
        <w:jc w:val="left"/>
        <w:tblInd w:w="-15" w:type="dxa"/>
        <w:tblLayout w:type="fixed"/>
        <w:tblCellMar>
          <w:top w:w="0" w:type="dxa"/>
          <w:left w:w="88" w:type="dxa"/>
          <w:bottom w:w="0" w:type="dxa"/>
          <w:right w:w="108" w:type="dxa"/>
        </w:tblCellMar>
        <w:tblLook w:val="04a0" w:noHBand="0" w:noVBand="1" w:firstColumn="1" w:lastRow="0" w:lastColumn="0" w:firstRow="1"/>
      </w:tblPr>
      <w:tblGrid>
        <w:gridCol w:w="9637"/>
      </w:tblGrid>
      <w:tr>
        <w:trPr/>
        <w:tc>
          <w:tcPr>
            <w:tcW w:w="9637" w:type="dxa"/>
            <w:tcBorders>
              <w:top w:val="single" w:sz="4" w:space="0" w:color="000001"/>
              <w:left w:val="single" w:sz="4" w:space="0" w:color="000001"/>
              <w:bottom w:val="single" w:sz="4" w:space="0" w:color="000001"/>
              <w:right w:val="single" w:sz="4" w:space="0" w:color="000001"/>
            </w:tcBorders>
            <w:shd w:color="auto" w:fill="auto" w:val="clear"/>
          </w:tcPr>
          <w:p>
            <w:pPr>
              <w:pStyle w:val="Style47"/>
              <w:widowControl w:val="false"/>
              <w:shd w:val="clear" w:color="auto" w:fill="auto"/>
              <w:spacing w:lineRule="auto" w:line="240"/>
              <w:ind w:hanging="0"/>
              <w:rPr>
                <w:b w:val="false"/>
                <w:b w:val="false"/>
                <w:bCs/>
              </w:rPr>
            </w:pPr>
            <w:r>
              <w:rPr>
                <w:b w:val="false"/>
                <w:bCs/>
              </w:rPr>
              <w:t xml:space="preserve">Акт </w:t>
            </w:r>
          </w:p>
          <w:p>
            <w:pPr>
              <w:pStyle w:val="Style47"/>
              <w:widowControl w:val="false"/>
              <w:shd w:val="clear" w:color="auto" w:fill="auto"/>
              <w:spacing w:lineRule="auto" w:line="240"/>
              <w:ind w:hanging="0"/>
              <w:rPr>
                <w:i/>
                <w:i/>
                <w:iCs/>
              </w:rPr>
            </w:pPr>
            <w:r>
              <w:rPr>
                <w:b w:val="false"/>
                <w:bCs/>
              </w:rPr>
              <w:t>сдачи-приемки технической и иной документации</w:t>
            </w:r>
          </w:p>
          <w:p>
            <w:pPr>
              <w:pStyle w:val="Normal"/>
              <w:widowControl w:val="false"/>
              <w:spacing w:lineRule="auto" w:line="240"/>
              <w:rPr>
                <w:sz w:val="22"/>
                <w:szCs w:val="22"/>
              </w:rPr>
            </w:pPr>
            <w:r>
              <w:rPr>
                <w:sz w:val="22"/>
                <w:szCs w:val="22"/>
              </w:rPr>
            </w:r>
          </w:p>
          <w:p>
            <w:pPr>
              <w:pStyle w:val="Normal"/>
              <w:widowControl w:val="false"/>
              <w:spacing w:lineRule="auto" w:line="240"/>
              <w:ind w:hanging="0"/>
              <w:rPr>
                <w:sz w:val="22"/>
                <w:szCs w:val="22"/>
              </w:rPr>
            </w:pPr>
            <w:r>
              <w:rPr>
                <w:sz w:val="22"/>
                <w:szCs w:val="22"/>
              </w:rPr>
              <w:t>г.___________                                                                                                      «_____» _________201_г.</w:t>
            </w:r>
          </w:p>
          <w:p>
            <w:pPr>
              <w:pStyle w:val="Normal"/>
              <w:widowControl w:val="false"/>
              <w:spacing w:lineRule="auto" w:line="24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№______ от _____________:</w:t>
            </w:r>
          </w:p>
          <w:p>
            <w:pPr>
              <w:pStyle w:val="Normal"/>
              <w:widowControl w:val="false"/>
              <w:spacing w:lineRule="auto" w:line="240"/>
              <w:ind w:hanging="0"/>
              <w:rPr>
                <w:bCs/>
                <w:sz w:val="22"/>
                <w:szCs w:val="22"/>
              </w:rPr>
            </w:pPr>
            <w:r>
              <w:rPr>
                <w:bCs/>
                <w:sz w:val="22"/>
                <w:szCs w:val="22"/>
              </w:rPr>
              <w:t xml:space="preserve">__________________________________________________________________________ </w:t>
            </w:r>
          </w:p>
          <w:p>
            <w:pPr>
              <w:pStyle w:val="Normal"/>
              <w:widowControl w:val="false"/>
              <w:spacing w:lineRule="auto" w:line="240"/>
              <w:ind w:hanging="0"/>
              <w:rPr>
                <w:bCs/>
                <w:sz w:val="22"/>
                <w:szCs w:val="22"/>
              </w:rPr>
            </w:pPr>
            <w:r>
              <w:rPr>
                <w:bCs/>
                <w:sz w:val="22"/>
                <w:szCs w:val="22"/>
              </w:rPr>
              <w:t>__________________________________________________________________________</w:t>
            </w:r>
          </w:p>
          <w:p>
            <w:pPr>
              <w:pStyle w:val="Normal"/>
              <w:widowControl w:val="false"/>
              <w:spacing w:lineRule="auto" w:line="240"/>
              <w:ind w:hanging="0"/>
              <w:rPr>
                <w:bCs/>
                <w:sz w:val="22"/>
                <w:szCs w:val="22"/>
              </w:rPr>
            </w:pPr>
            <w:r>
              <w:rPr>
                <w:bCs/>
                <w:sz w:val="22"/>
                <w:szCs w:val="22"/>
              </w:rPr>
              <w:t>__________________________________________________________________________</w:t>
            </w:r>
          </w:p>
          <w:p>
            <w:pPr>
              <w:pStyle w:val="Normal"/>
              <w:widowControl w:val="false"/>
              <w:spacing w:lineRule="auto" w:line="240"/>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spacing w:lineRule="auto" w:line="240"/>
              <w:rPr>
                <w:sz w:val="22"/>
                <w:szCs w:val="22"/>
              </w:rPr>
            </w:pPr>
            <w:r>
              <w:rPr>
                <w:sz w:val="22"/>
                <w:szCs w:val="22"/>
              </w:rPr>
            </w:r>
          </w:p>
          <w:tbl>
            <w:tblPr>
              <w:tblW w:w="941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05"/>
              <w:gridCol w:w="4705"/>
            </w:tblGrid>
            <w:tr>
              <w:trPr/>
              <w:tc>
                <w:tcPr>
                  <w:tcW w:w="4705" w:type="dxa"/>
                  <w:tcBorders/>
                  <w:shd w:fill="auto" w:val="clear"/>
                </w:tcPr>
                <w:p>
                  <w:pPr>
                    <w:pStyle w:val="Normal"/>
                    <w:widowControl w:val="false"/>
                    <w:spacing w:lineRule="auto" w:line="240"/>
                    <w:ind w:hanging="0"/>
                    <w:rPr>
                      <w:bCs/>
                      <w:sz w:val="24"/>
                      <w:szCs w:val="24"/>
                    </w:rPr>
                  </w:pPr>
                  <w:r>
                    <w:rPr>
                      <w:bCs/>
                      <w:sz w:val="24"/>
                      <w:szCs w:val="24"/>
                    </w:rPr>
                    <w:t>Заказчик:</w:t>
                  </w:r>
                </w:p>
              </w:tc>
              <w:tc>
                <w:tcPr>
                  <w:tcW w:w="4705" w:type="dxa"/>
                  <w:tcBorders/>
                  <w:shd w:fill="auto" w:val="clear"/>
                </w:tcPr>
                <w:p>
                  <w:pPr>
                    <w:pStyle w:val="Normal"/>
                    <w:widowControl w:val="false"/>
                    <w:spacing w:lineRule="auto" w:line="240"/>
                    <w:ind w:hanging="0"/>
                    <w:rPr>
                      <w:bCs/>
                      <w:sz w:val="24"/>
                      <w:szCs w:val="24"/>
                    </w:rPr>
                  </w:pPr>
                  <w:r>
                    <w:rPr>
                      <w:bCs/>
                      <w:sz w:val="24"/>
                      <w:szCs w:val="24"/>
                    </w:rPr>
                    <w:t>Подрядчик:</w:t>
                  </w:r>
                </w:p>
              </w:tc>
            </w:tr>
            <w:tr>
              <w:trPr/>
              <w:tc>
                <w:tcPr>
                  <w:tcW w:w="470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0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Style47"/>
              <w:widowControl w:val="false"/>
              <w:shd w:val="clear" w:color="auto" w:fill="auto"/>
              <w:spacing w:lineRule="auto" w:line="240"/>
              <w:ind w:hanging="0"/>
              <w:jc w:val="left"/>
              <w:rPr>
                <w:i/>
                <w:i/>
                <w:iCs/>
              </w:rPr>
            </w:pPr>
            <w:r>
              <w:rPr>
                <w:i/>
                <w:iCs/>
              </w:rPr>
            </w:r>
          </w:p>
          <w:p>
            <w:pPr>
              <w:pStyle w:val="Style47"/>
              <w:widowControl w:val="false"/>
              <w:shd w:val="clear" w:color="auto" w:fill="auto"/>
              <w:spacing w:lineRule="auto" w:line="240" w:before="0" w:after="120"/>
              <w:ind w:hanging="0"/>
              <w:jc w:val="left"/>
              <w:rPr>
                <w:i/>
                <w:i/>
                <w:iCs/>
              </w:rPr>
            </w:pPr>
            <w:r>
              <w:rPr>
                <w:i/>
                <w:iCs/>
              </w:rPr>
            </w:r>
          </w:p>
        </w:tc>
      </w:tr>
    </w:tbl>
    <w:p>
      <w:pPr>
        <w:pStyle w:val="Style47"/>
        <w:ind w:hanging="0"/>
        <w:jc w:val="left"/>
        <w:rPr>
          <w:i/>
          <w:i/>
          <w:iCs/>
        </w:rPr>
      </w:pPr>
      <w:r>
        <w:rPr>
          <w:i/>
          <w:iCs/>
        </w:rPr>
      </w:r>
    </w:p>
    <w:p>
      <w:pPr>
        <w:pStyle w:val="Style47"/>
        <w:ind w:hanging="0"/>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b/>
                <w:sz w:val="24"/>
              </w:rPr>
            </w:pPr>
            <w:r>
              <w:rPr>
                <w:b/>
                <w:sz w:val="24"/>
              </w:rPr>
              <w:t>Заказчик:</w:t>
            </w:r>
          </w:p>
        </w:tc>
        <w:tc>
          <w:tcPr>
            <w:tcW w:w="4785" w:type="dxa"/>
            <w:tcBorders/>
            <w:shd w:fill="auto" w:val="clear"/>
          </w:tcPr>
          <w:p>
            <w:pPr>
              <w:pStyle w:val="Normal"/>
              <w:widowControl w:val="false"/>
              <w:spacing w:lineRule="auto" w:line="240"/>
              <w:ind w:hanging="0"/>
              <w:rPr>
                <w:b/>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highlight w:val="yellow"/>
        </w:rPr>
      </w:pPr>
      <w:r>
        <w:rPr>
          <w:sz w:val="22"/>
          <w:szCs w:val="22"/>
          <w:highlight w:val="yellow"/>
        </w:rPr>
      </w:r>
      <w:r>
        <w:br w:type="page"/>
      </w:r>
    </w:p>
    <w:p>
      <w:pPr>
        <w:pStyle w:val="Normal"/>
        <w:spacing w:lineRule="auto" w:line="240"/>
        <w:ind w:left="4820" w:hanging="0"/>
        <w:rPr>
          <w:sz w:val="22"/>
          <w:szCs w:val="22"/>
        </w:rPr>
      </w:pPr>
      <w:r>
        <w:rPr>
          <w:sz w:val="22"/>
          <w:szCs w:val="22"/>
        </w:rPr>
        <w:t>Приложение № 4</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от «____» __________ 20 _ г. № ____</w:t>
      </w:r>
    </w:p>
    <w:p>
      <w:pPr>
        <w:pStyle w:val="Normal"/>
        <w:spacing w:lineRule="auto" w:line="240"/>
        <w:ind w:hanging="0"/>
        <w:rPr>
          <w:b/>
          <w:b/>
          <w:bCs/>
          <w:sz w:val="24"/>
          <w:szCs w:val="24"/>
        </w:rPr>
      </w:pPr>
      <w:r>
        <w:rPr>
          <w:b/>
          <w:bCs/>
          <w:sz w:val="24"/>
          <w:szCs w:val="24"/>
        </w:rPr>
      </w:r>
    </w:p>
    <w:p>
      <w:pPr>
        <w:pStyle w:val="Normal"/>
        <w:spacing w:lineRule="auto" w:line="240"/>
        <w:jc w:val="center"/>
        <w:rPr>
          <w:b/>
          <w:b/>
          <w:bCs/>
        </w:rPr>
      </w:pPr>
      <w:r>
        <w:rPr>
          <w:b/>
          <w:bCs/>
        </w:rPr>
      </w:r>
    </w:p>
    <w:p>
      <w:pPr>
        <w:pStyle w:val="Normal"/>
        <w:spacing w:lineRule="auto" w:line="240"/>
        <w:jc w:val="center"/>
        <w:rPr>
          <w:b/>
          <w:b/>
          <w:sz w:val="24"/>
        </w:rPr>
      </w:pPr>
      <w:r>
        <w:rPr>
          <w:b/>
          <w:sz w:val="24"/>
        </w:rPr>
        <w:t>Перечень допусков, разрешений и лицензий Подрядчика</w:t>
      </w:r>
    </w:p>
    <w:p>
      <w:pPr>
        <w:pStyle w:val="Normal"/>
        <w:spacing w:lineRule="auto" w:line="240"/>
        <w:jc w:val="center"/>
        <w:rPr>
          <w:b/>
          <w:b/>
          <w:bCs/>
        </w:rPr>
      </w:pPr>
      <w:r>
        <w:rPr>
          <w:b/>
          <w:bCs/>
        </w:rPr>
      </w:r>
    </w:p>
    <w:tbl>
      <w:tblPr>
        <w:tblW w:w="5000" w:type="pct"/>
        <w:jc w:val="left"/>
        <w:tblInd w:w="-15" w:type="dxa"/>
        <w:tblLayout w:type="fixed"/>
        <w:tblCellMar>
          <w:top w:w="0" w:type="dxa"/>
          <w:left w:w="88" w:type="dxa"/>
          <w:bottom w:w="0" w:type="dxa"/>
          <w:right w:w="108" w:type="dxa"/>
        </w:tblCellMar>
        <w:tblLook w:val="04a0" w:noHBand="0" w:noVBand="1" w:firstColumn="1" w:lastRow="0" w:lastColumn="0" w:firstRow="1"/>
      </w:tblPr>
      <w:tblGrid>
        <w:gridCol w:w="679"/>
        <w:gridCol w:w="2159"/>
        <w:gridCol w:w="1229"/>
        <w:gridCol w:w="1090"/>
        <w:gridCol w:w="939"/>
        <w:gridCol w:w="1281"/>
        <w:gridCol w:w="2259"/>
      </w:tblGrid>
      <w:tr>
        <w:trPr>
          <w:trHeight w:val="2142" w:hRule="atLeast"/>
        </w:trPr>
        <w:tc>
          <w:tcPr>
            <w:tcW w:w="67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21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22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0"/>
              <w:jc w:val="center"/>
              <w:rPr>
                <w:bCs/>
                <w:sz w:val="22"/>
                <w:szCs w:val="22"/>
              </w:rPr>
            </w:pPr>
            <w:r>
              <w:rPr>
                <w:bCs/>
                <w:sz w:val="22"/>
                <w:szCs w:val="22"/>
              </w:rPr>
              <w:t xml:space="preserve">кем выдан </w:t>
            </w:r>
          </w:p>
        </w:tc>
        <w:tc>
          <w:tcPr>
            <w:tcW w:w="109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93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2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22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7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22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2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67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22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2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67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22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28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
          <w:bCs/>
        </w:rPr>
      </w:pPr>
      <w:r>
        <w:rPr>
          <w:b/>
          <w:bCs/>
        </w:rPr>
      </w:r>
    </w:p>
    <w:p>
      <w:pPr>
        <w:pStyle w:val="Normal"/>
        <w:spacing w:lineRule="auto" w:line="240"/>
        <w:jc w:val="center"/>
        <w:rPr>
          <w:b/>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b/>
                <w:sz w:val="24"/>
              </w:rPr>
            </w:pPr>
            <w:r>
              <w:rPr>
                <w:b/>
                <w:sz w:val="24"/>
              </w:rPr>
              <w:t>Заказчик:</w:t>
            </w:r>
          </w:p>
        </w:tc>
        <w:tc>
          <w:tcPr>
            <w:tcW w:w="4785" w:type="dxa"/>
            <w:tcBorders/>
            <w:shd w:fill="auto" w:val="clear"/>
          </w:tcPr>
          <w:p>
            <w:pPr>
              <w:pStyle w:val="Normal"/>
              <w:widowControl w:val="false"/>
              <w:spacing w:lineRule="auto" w:line="240"/>
              <w:ind w:hanging="0"/>
              <w:rPr>
                <w:b/>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r>
        <w:br w:type="page"/>
      </w:r>
    </w:p>
    <w:p>
      <w:pPr>
        <w:pStyle w:val="Normal"/>
        <w:spacing w:lineRule="auto" w:line="240"/>
        <w:ind w:left="4820" w:hanging="0"/>
        <w:rPr>
          <w:sz w:val="22"/>
          <w:szCs w:val="22"/>
        </w:rPr>
      </w:pPr>
      <w:r>
        <w:rPr>
          <w:sz w:val="22"/>
          <w:szCs w:val="22"/>
        </w:rPr>
        <w:t>Приложение № 5</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
          <w:sz w:val="24"/>
        </w:rPr>
      </w:pPr>
      <w:r>
        <w:rPr>
          <w:b/>
          <w:sz w:val="24"/>
        </w:rPr>
      </w:r>
    </w:p>
    <w:p>
      <w:pPr>
        <w:pStyle w:val="Normal"/>
        <w:spacing w:lineRule="auto" w:line="240"/>
        <w:ind w:hanging="0"/>
        <w:jc w:val="center"/>
        <w:rPr>
          <w:b/>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b/>
          <w:color w:val="000000"/>
          <w:sz w:val="24"/>
          <w:szCs w:val="24"/>
        </w:rPr>
      </w:pPr>
      <w:r>
        <w:rPr>
          <w:b/>
          <w:bCs/>
          <w:sz w:val="24"/>
          <w:szCs w:val="24"/>
        </w:rPr>
        <w:t>пожарной и промышленной безопасности</w:t>
      </w:r>
    </w:p>
    <w:p>
      <w:pPr>
        <w:pStyle w:val="Normal"/>
        <w:spacing w:lineRule="auto" w:line="240"/>
        <w:rPr>
          <w:b/>
          <w:b/>
          <w:sz w:val="24"/>
          <w:szCs w:val="24"/>
        </w:rPr>
      </w:pPr>
      <w:r>
        <w:rPr>
          <w:b/>
          <w:sz w:val="24"/>
          <w:szCs w:val="24"/>
        </w:rPr>
      </w:r>
    </w:p>
    <w:tbl>
      <w:tblPr>
        <w:tblW w:w="4850" w:type="pct"/>
        <w:jc w:val="left"/>
        <w:tblInd w:w="-15" w:type="dxa"/>
        <w:tblLayout w:type="fixed"/>
        <w:tblCellMar>
          <w:top w:w="0" w:type="dxa"/>
          <w:left w:w="88" w:type="dxa"/>
          <w:bottom w:w="0" w:type="dxa"/>
          <w:right w:w="108" w:type="dxa"/>
        </w:tblCellMar>
        <w:tblLook w:val="01e0" w:noHBand="0" w:noVBand="0" w:firstColumn="1" w:lastRow="1" w:lastColumn="1" w:firstRow="1"/>
      </w:tblPr>
      <w:tblGrid>
        <w:gridCol w:w="3655"/>
        <w:gridCol w:w="5691"/>
      </w:tblGrid>
      <w:tr>
        <w:trPr/>
        <w:tc>
          <w:tcPr>
            <w:tcW w:w="3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b/>
                <w:sz w:val="24"/>
                <w:szCs w:val="24"/>
              </w:rPr>
            </w:pPr>
            <w:r>
              <w:rPr>
                <w:b/>
                <w:sz w:val="24"/>
                <w:szCs w:val="24"/>
              </w:rPr>
              <w:t>Виды нарушений</w:t>
            </w:r>
          </w:p>
        </w:tc>
        <w:tc>
          <w:tcPr>
            <w:tcW w:w="569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b/>
                <w:sz w:val="24"/>
                <w:szCs w:val="24"/>
              </w:rPr>
            </w:pPr>
            <w:r>
              <w:rPr>
                <w:b/>
                <w:sz w:val="24"/>
                <w:szCs w:val="24"/>
              </w:rPr>
              <w:t>Штрафные санкции</w:t>
            </w:r>
          </w:p>
        </w:tc>
      </w:tr>
      <w:tr>
        <w:trPr/>
        <w:tc>
          <w:tcPr>
            <w:tcW w:w="3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 Нарушение правил пожарной безопасности (ППБ):</w:t>
            </w:r>
          </w:p>
        </w:tc>
        <w:tc>
          <w:tcPr>
            <w:tcW w:w="569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r>
          </w:p>
        </w:tc>
      </w:tr>
      <w:tr>
        <w:trPr/>
        <w:tc>
          <w:tcPr>
            <w:tcW w:w="3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b/>
                <w:sz w:val="24"/>
                <w:szCs w:val="24"/>
              </w:rPr>
            </w:pPr>
            <w:r>
              <w:rPr>
                <w:b/>
                <w:sz w:val="24"/>
                <w:szCs w:val="24"/>
              </w:rPr>
            </w:r>
          </w:p>
        </w:tc>
        <w:tc>
          <w:tcPr>
            <w:tcW w:w="569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jc w:val="both"/>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left="0" w:right="0" w:hanging="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jc w:val="both"/>
              <w:rPr>
                <w:shd w:fill="auto" w:val="clear"/>
              </w:rPr>
            </w:pPr>
            <w:r>
              <w:rPr>
                <w:rFonts w:ascii="Liberation Serif" w:hAnsi="Liberation Serif"/>
                <w:sz w:val="24"/>
                <w:szCs w:val="24"/>
                <w:shd w:fill="auto" w:val="clear"/>
              </w:rPr>
              <w:t>200 000 (двести тысяч) рублей за каждый случай нарушения.</w:t>
            </w:r>
          </w:p>
          <w:p>
            <w:pPr>
              <w:pStyle w:val="Normal"/>
              <w:widowControl w:val="false"/>
              <w:spacing w:lineRule="auto" w:line="240"/>
              <w:ind w:left="0" w:right="0" w:hanging="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sz w:val="24"/>
                <w:szCs w:val="24"/>
                <w:shd w:fill="auto" w:val="clear"/>
              </w:rPr>
              <w:t xml:space="preserve"> </w:t>
            </w:r>
            <w:r>
              <w:rPr>
                <w:rFonts w:ascii="Liberation Serif" w:hAnsi="Liberation Serif"/>
                <w:sz w:val="24"/>
                <w:szCs w:val="24"/>
                <w:shd w:fill="auto" w:val="clear"/>
              </w:rPr>
              <w:t>500 000 (пятьсот тысяч) рублей за каждый случай нарушения.</w:t>
            </w:r>
          </w:p>
        </w:tc>
      </w:tr>
      <w:tr>
        <w:trPr/>
        <w:tc>
          <w:tcPr>
            <w:tcW w:w="3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b w:val="false"/>
                <w:bCs w:val="false"/>
                <w:sz w:val="24"/>
                <w:szCs w:val="24"/>
                <w:shd w:fill="auto" w:val="clear"/>
              </w:rPr>
              <w:t>2. Нарушение пропускного и внутриобъектового режима</w:t>
            </w:r>
            <w:r>
              <w:rPr>
                <w:rFonts w:ascii="Liberation Serif" w:hAnsi="Liberation Serif"/>
                <w:b w:val="false"/>
                <w:bCs w:val="false"/>
                <w:color w:val="000000"/>
                <w:sz w:val="24"/>
                <w:szCs w:val="24"/>
                <w:shd w:fill="auto"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auto" w:val="clear"/>
              </w:rPr>
              <w:t xml:space="preserve"> </w:t>
            </w:r>
          </w:p>
        </w:tc>
        <w:tc>
          <w:tcPr>
            <w:tcW w:w="569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sz w:val="24"/>
                <w:szCs w:val="24"/>
                <w:shd w:fill="auto" w:val="clear"/>
              </w:rPr>
              <w:t>- 50 000 (пятьдесят тысяч) рублей за каждый случай нарушения;</w:t>
            </w:r>
          </w:p>
          <w:p>
            <w:pPr>
              <w:pStyle w:val="Normal"/>
              <w:widowControl w:val="false"/>
              <w:spacing w:lineRule="auto" w:line="240"/>
              <w:ind w:left="0" w:right="0" w:hanging="0"/>
              <w:rPr>
                <w:shd w:fill="auto" w:val="clear"/>
              </w:rPr>
            </w:pPr>
            <w:r>
              <w:rPr>
                <w:rFonts w:ascii="Liberation Serif" w:hAnsi="Liberation Serif"/>
                <w:sz w:val="24"/>
                <w:szCs w:val="24"/>
                <w:shd w:fill="auto"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left="0" w:right="0" w:hanging="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55"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b w:val="false"/>
                <w:bCs w:val="false"/>
                <w:sz w:val="24"/>
                <w:szCs w:val="24"/>
                <w:shd w:fill="auto" w:val="clear"/>
              </w:rPr>
              <w:t xml:space="preserve">3. Нарушение </w:t>
            </w:r>
            <w:r>
              <w:rPr>
                <w:rFonts w:ascii="Liberation Serif" w:hAnsi="Liberation Serif"/>
                <w:b w:val="false"/>
                <w:bCs w:val="false"/>
                <w:color w:val="000000"/>
                <w:sz w:val="24"/>
                <w:szCs w:val="24"/>
                <w:shd w:fill="auto" w:val="clear"/>
              </w:rPr>
              <w:t>требований охраны труда</w:t>
            </w:r>
          </w:p>
        </w:tc>
        <w:tc>
          <w:tcPr>
            <w:tcW w:w="5691"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left="0" w:right="0" w:hanging="0"/>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left="0" w:right="0" w:hanging="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b/>
                <w:sz w:val="24"/>
              </w:rPr>
            </w:pPr>
            <w:r>
              <w:rPr>
                <w:b/>
                <w:sz w:val="24"/>
              </w:rPr>
              <w:t>Заказчик:</w:t>
            </w:r>
          </w:p>
        </w:tc>
        <w:tc>
          <w:tcPr>
            <w:tcW w:w="4785" w:type="dxa"/>
            <w:tcBorders/>
            <w:shd w:fill="auto" w:val="clear"/>
          </w:tcPr>
          <w:p>
            <w:pPr>
              <w:pStyle w:val="Normal"/>
              <w:widowControl w:val="false"/>
              <w:spacing w:lineRule="auto" w:line="240"/>
              <w:ind w:hanging="0"/>
              <w:rPr>
                <w:b/>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rPr>
          <w:sz w:val="22"/>
          <w:szCs w:val="22"/>
        </w:rPr>
      </w:pPr>
      <w:r>
        <w:rPr>
          <w:sz w:val="22"/>
          <w:szCs w:val="22"/>
        </w:rPr>
      </w:r>
      <w:r>
        <w:br w:type="page"/>
      </w:r>
    </w:p>
    <w:tbl>
      <w:tblPr>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5"/>
        <w:gridCol w:w="4785"/>
      </w:tblGrid>
      <w:tr>
        <w:trPr/>
        <w:tc>
          <w:tcPr>
            <w:tcW w:w="4785" w:type="dxa"/>
            <w:tcBorders/>
            <w:shd w:fill="auto" w:val="clear"/>
          </w:tcPr>
          <w:p>
            <w:pPr>
              <w:pStyle w:val="Normal"/>
              <w:pageBreakBefore/>
              <w:widowControl w:val="false"/>
              <w:snapToGrid w:val="false"/>
              <w:spacing w:lineRule="auto" w:line="240"/>
              <w:rPr>
                <w:b/>
                <w:b/>
                <w:bCs/>
                <w:szCs w:val="24"/>
              </w:rPr>
            </w:pPr>
            <w:r>
              <w:rPr>
                <w:b/>
                <w:bCs/>
                <w:szCs w:val="24"/>
              </w:rPr>
            </w:r>
          </w:p>
        </w:tc>
        <w:tc>
          <w:tcPr>
            <w:tcW w:w="4785" w:type="dxa"/>
            <w:tcBorders/>
            <w:shd w:fill="auto" w:val="clear"/>
          </w:tcPr>
          <w:p>
            <w:pPr>
              <w:pStyle w:val="Normal"/>
              <w:widowControl w:val="false"/>
              <w:shd w:val="clear" w:color="auto" w:fill="FFFFFF"/>
              <w:spacing w:lineRule="auto" w:line="240"/>
              <w:ind w:left="69" w:hanging="0"/>
              <w:rPr>
                <w:bCs/>
                <w:sz w:val="22"/>
                <w:szCs w:val="22"/>
              </w:rPr>
            </w:pPr>
            <w:r>
              <w:rPr>
                <w:bCs/>
                <w:sz w:val="22"/>
                <w:szCs w:val="22"/>
              </w:rPr>
              <w:t>Приложение № 6</w:t>
            </w:r>
          </w:p>
          <w:p>
            <w:pPr>
              <w:pStyle w:val="Normal"/>
              <w:widowControl w:val="false"/>
              <w:shd w:val="clear" w:color="auto" w:fill="FFFFFF"/>
              <w:spacing w:lineRule="auto" w:line="240"/>
              <w:ind w:left="69" w:hanging="0"/>
              <w:rPr>
                <w:bCs/>
                <w:sz w:val="22"/>
                <w:szCs w:val="22"/>
              </w:rPr>
            </w:pPr>
            <w:r>
              <w:rPr>
                <w:bCs/>
                <w:sz w:val="22"/>
                <w:szCs w:val="22"/>
              </w:rPr>
              <w:t xml:space="preserve">к Договору подряда </w:t>
            </w:r>
          </w:p>
          <w:p>
            <w:pPr>
              <w:pStyle w:val="Normal"/>
              <w:widowControl w:val="false"/>
              <w:shd w:val="clear" w:color="auto" w:fill="FFFFFF"/>
              <w:spacing w:lineRule="auto" w:line="240"/>
              <w:ind w:left="69" w:hanging="0"/>
              <w:rPr>
                <w:bCs/>
                <w:sz w:val="22"/>
                <w:szCs w:val="22"/>
              </w:rPr>
            </w:pPr>
            <w:r>
              <w:rPr>
                <w:bCs/>
                <w:sz w:val="22"/>
                <w:szCs w:val="22"/>
              </w:rPr>
              <w:t>от «___» ________20__ г. № ___</w:t>
            </w:r>
          </w:p>
          <w:p>
            <w:pPr>
              <w:pStyle w:val="Normal"/>
              <w:widowControl w:val="false"/>
              <w:snapToGrid w:val="false"/>
              <w:spacing w:lineRule="auto" w:line="240"/>
              <w:rPr>
                <w:b/>
                <w:b/>
                <w:bCs/>
                <w:szCs w:val="24"/>
                <w:highlight w:val="lightGray"/>
              </w:rPr>
            </w:pPr>
            <w:r>
              <w:rPr>
                <w:b/>
                <w:bCs/>
                <w:szCs w:val="24"/>
                <w:highlight w:val="lightGray"/>
              </w:rPr>
            </w:r>
          </w:p>
        </w:tc>
      </w:tr>
    </w:tbl>
    <w:p>
      <w:pPr>
        <w:pStyle w:val="Normal"/>
        <w:shd w:val="clear" w:color="auto" w:fill="FFFFFF"/>
        <w:spacing w:lineRule="auto" w:line="240"/>
        <w:jc w:val="center"/>
        <w:rPr>
          <w:b/>
          <w:b/>
          <w:bCs/>
          <w:szCs w:val="24"/>
        </w:rPr>
      </w:pPr>
      <w:r>
        <w:rPr>
          <w:b/>
          <w:bCs/>
          <w:szCs w:val="24"/>
        </w:rPr>
        <w:t>Акт сдачи-приемки выполненных работ</w:t>
      </w:r>
    </w:p>
    <w:p>
      <w:pPr>
        <w:pStyle w:val="Normal"/>
        <w:shd w:val="clear" w:color="auto" w:fill="FFFFFF"/>
        <w:spacing w:lineRule="auto" w:line="240"/>
        <w:jc w:val="center"/>
        <w:rPr>
          <w:b/>
          <w:b/>
          <w:bCs/>
          <w:szCs w:val="24"/>
        </w:rPr>
      </w:pPr>
      <w:r>
        <w:rPr>
          <w:b/>
          <w:bCs/>
          <w:szCs w:val="24"/>
        </w:rPr>
        <w:t>(форма)</w:t>
      </w:r>
    </w:p>
    <w:p>
      <w:pPr>
        <w:pStyle w:val="Normal"/>
        <w:shd w:val="clear" w:color="auto" w:fill="FFFFFF"/>
        <w:spacing w:lineRule="auto" w:line="240"/>
        <w:jc w:val="center"/>
        <w:rPr>
          <w:b/>
          <w:b/>
          <w:bCs/>
          <w:szCs w:val="24"/>
        </w:rPr>
      </w:pPr>
      <w:r>
        <w:rPr>
          <w:b/>
          <w:bCs/>
          <w:szCs w:val="24"/>
        </w:rPr>
      </w:r>
    </w:p>
    <w:tbl>
      <w:tblPr>
        <w:tblW w:w="10070" w:type="dxa"/>
        <w:jc w:val="left"/>
        <w:tblInd w:w="-128" w:type="dxa"/>
        <w:tblLayout w:type="fixed"/>
        <w:tblCellMar>
          <w:top w:w="0" w:type="dxa"/>
          <w:left w:w="10" w:type="dxa"/>
          <w:bottom w:w="0" w:type="dxa"/>
          <w:right w:w="10" w:type="dxa"/>
        </w:tblCellMar>
        <w:tblLook w:val="04a0" w:noHBand="0" w:noVBand="1" w:firstColumn="1" w:lastRow="0" w:lastColumn="0" w:firstRow="1"/>
      </w:tblPr>
      <w:tblGrid>
        <w:gridCol w:w="26"/>
        <w:gridCol w:w="10043"/>
      </w:tblGrid>
      <w:tr>
        <w:trPr/>
        <w:tc>
          <w:tcPr>
            <w:tcW w:w="26" w:type="dxa"/>
            <w:tcBorders>
              <w:top w:val="single" w:sz="8" w:space="0" w:color="000001"/>
              <w:left w:val="single" w:sz="8" w:space="0" w:color="000001"/>
              <w:bottom w:val="single" w:sz="8" w:space="0" w:color="000001"/>
              <w:right w:val="single" w:sz="8" w:space="0" w:color="000001"/>
            </w:tcBorders>
            <w:shd w:fill="auto" w:val="clear"/>
          </w:tcPr>
          <w:p>
            <w:pPr>
              <w:pStyle w:val="Normal"/>
              <w:widowControl w:val="false"/>
              <w:spacing w:lineRule="auto" w:line="240"/>
              <w:jc w:val="center"/>
              <w:rPr>
                <w:b/>
                <w:b/>
                <w:bCs/>
                <w:szCs w:val="24"/>
              </w:rPr>
            </w:pPr>
            <w:r>
              <w:rPr>
                <w:b/>
                <w:bCs/>
                <w:szCs w:val="24"/>
              </w:rPr>
            </w:r>
          </w:p>
        </w:tc>
        <w:tc>
          <w:tcPr>
            <w:tcW w:w="10043" w:type="dxa"/>
            <w:tcBorders>
              <w:top w:val="single" w:sz="8" w:space="0" w:color="000001"/>
              <w:left w:val="single" w:sz="8" w:space="0" w:color="000001"/>
              <w:bottom w:val="single" w:sz="8" w:space="0" w:color="000001"/>
              <w:right w:val="single" w:sz="8" w:space="0" w:color="000001"/>
            </w:tcBorders>
            <w:shd w:fill="auto" w:val="clear"/>
            <w:tcMar>
              <w:left w:w="68" w:type="dxa"/>
              <w:right w:w="108" w:type="dxa"/>
            </w:tcMar>
          </w:tcPr>
          <w:p>
            <w:pPr>
              <w:pStyle w:val="Normal"/>
              <w:widowControl w:val="false"/>
              <w:spacing w:lineRule="auto" w:line="240"/>
              <w:jc w:val="center"/>
              <w:rPr>
                <w:b/>
                <w:b/>
                <w:bCs/>
                <w:szCs w:val="24"/>
              </w:rPr>
            </w:pPr>
            <w:r>
              <w:rPr>
                <w:b/>
                <w:bCs/>
                <w:szCs w:val="24"/>
              </w:rPr>
            </w:r>
          </w:p>
          <w:p>
            <w:pPr>
              <w:pStyle w:val="Normal"/>
              <w:widowControl w:val="false"/>
              <w:spacing w:lineRule="auto" w:line="240"/>
              <w:jc w:val="center"/>
              <w:rPr>
                <w:b/>
                <w:b/>
                <w:bCs/>
                <w:sz w:val="20"/>
                <w:szCs w:val="20"/>
              </w:rPr>
            </w:pPr>
            <w:r>
              <w:rPr>
                <w:b/>
                <w:bCs/>
                <w:sz w:val="20"/>
                <w:szCs w:val="20"/>
              </w:rPr>
              <w:t>АКТ СДАЧИ-ПРИЕМКИ ВЫПОЛНЕННЫХ РАБОТ №  _________</w:t>
            </w:r>
          </w:p>
          <w:tbl>
            <w:tblPr>
              <w:tblW w:w="9735"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216"/>
              <w:gridCol w:w="2591"/>
              <w:gridCol w:w="1"/>
              <w:gridCol w:w="1257"/>
              <w:gridCol w:w="224"/>
              <w:gridCol w:w="588"/>
              <w:gridCol w:w="1402"/>
              <w:gridCol w:w="6"/>
              <w:gridCol w:w="1334"/>
              <w:gridCol w:w="1"/>
              <w:gridCol w:w="1113"/>
            </w:tblGrid>
            <w:tr>
              <w:trPr>
                <w:trHeight w:val="255" w:hRule="atLeast"/>
              </w:trPr>
              <w:tc>
                <w:tcPr>
                  <w:tcW w:w="9733" w:type="dxa"/>
                  <w:gridSpan w:val="11"/>
                  <w:tcBorders/>
                  <w:shd w:fill="auto" w:val="clear"/>
                  <w:vAlign w:val="bottom"/>
                </w:tcPr>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г.___________                                                                                       «_____» _________201_г.</w:t>
                  </w:r>
                </w:p>
                <w:tbl>
                  <w:tblPr>
                    <w:tblW w:w="9590"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356"/>
                    <w:gridCol w:w="8163"/>
                    <w:gridCol w:w="71"/>
                  </w:tblGrid>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rPr>
                        </w:pPr>
                        <w:r>
                          <w:rPr>
                            <w:sz w:val="22"/>
                            <w:szCs w:val="22"/>
                          </w:rPr>
                        </w:r>
                      </w:p>
                      <w:p>
                        <w:pPr>
                          <w:pStyle w:val="Normal"/>
                          <w:widowControl w:val="false"/>
                          <w:snapToGrid w:val="false"/>
                          <w:spacing w:lineRule="auto" w:line="240"/>
                          <w:ind w:hanging="0"/>
                          <w:jc w:val="left"/>
                          <w:rPr>
                            <w:sz w:val="22"/>
                            <w:szCs w:val="22"/>
                          </w:rPr>
                        </w:pPr>
                        <w:r>
                          <w:rPr>
                            <w:sz w:val="22"/>
                            <w:szCs w:val="22"/>
                          </w:rPr>
                          <w:t xml:space="preserve">Заказчик: </w:t>
                        </w:r>
                      </w:p>
                    </w:tc>
                    <w:tc>
                      <w:tcPr>
                        <w:tcW w:w="8163" w:type="dxa"/>
                        <w:tcBorders>
                          <w:bottom w:val="single" w:sz="4" w:space="0" w:color="000001"/>
                        </w:tcBorders>
                        <w:shd w:fill="auto" w:val="clear"/>
                        <w:vAlign w:val="bottom"/>
                      </w:tcPr>
                      <w:p>
                        <w:pPr>
                          <w:pStyle w:val="Normal"/>
                          <w:widowControl w:val="false"/>
                          <w:snapToGrid w:val="false"/>
                          <w:spacing w:lineRule="auto" w:line="240"/>
                          <w:ind w:hanging="0"/>
                          <w:jc w:val="left"/>
                          <w:rPr>
                            <w:sz w:val="22"/>
                            <w:szCs w:val="22"/>
                          </w:rPr>
                        </w:pPr>
                        <w:r>
                          <w:rPr>
                            <w:sz w:val="22"/>
                            <w:szCs w:val="22"/>
                          </w:rPr>
                        </w:r>
                      </w:p>
                    </w:tc>
                    <w:tc>
                      <w:tcPr>
                        <w:tcW w:w="71" w:type="dxa"/>
                        <w:tcBorders/>
                        <w:shd w:fill="auto" w:val="clear"/>
                        <w:tcMar>
                          <w:top w:w="0" w:type="dxa"/>
                          <w:left w:w="0" w:type="dxa"/>
                          <w:right w:w="0" w:type="dxa"/>
                        </w:tcMar>
                      </w:tcPr>
                      <w:p>
                        <w:pPr>
                          <w:pStyle w:val="Normal"/>
                          <w:widowControl w:val="false"/>
                          <w:rPr>
                            <w:sz w:val="22"/>
                            <w:szCs w:val="22"/>
                          </w:rPr>
                        </w:pPr>
                        <w:r>
                          <w:rPr>
                            <w:sz w:val="22"/>
                            <w:szCs w:val="22"/>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rPr>
                        </w:pPr>
                        <w:r>
                          <w:rPr>
                            <w:sz w:val="22"/>
                            <w:szCs w:val="22"/>
                          </w:rPr>
                        </w:r>
                      </w:p>
                    </w:tc>
                    <w:tc>
                      <w:tcPr>
                        <w:tcW w:w="8234" w:type="dxa"/>
                        <w:gridSpan w:val="2"/>
                        <w:tcBorders>
                          <w:top w:val="single" w:sz="4" w:space="0" w:color="000001"/>
                        </w:tcBorders>
                        <w:shd w:fill="auto" w:val="clear"/>
                      </w:tcPr>
                      <w:p>
                        <w:pPr>
                          <w:pStyle w:val="Normal"/>
                          <w:widowControl w:val="false"/>
                          <w:snapToGrid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rPr>
                        </w:pPr>
                        <w:r>
                          <w:rPr>
                            <w:sz w:val="22"/>
                            <w:szCs w:val="22"/>
                          </w:rPr>
                          <w:t xml:space="preserve">Подрядчик: </w:t>
                        </w:r>
                      </w:p>
                    </w:tc>
                    <w:tc>
                      <w:tcPr>
                        <w:tcW w:w="8234" w:type="dxa"/>
                        <w:gridSpan w:val="2"/>
                        <w:tcBorders>
                          <w:top w:val="single" w:sz="4" w:space="0" w:color="000001"/>
                          <w:bottom w:val="single" w:sz="4" w:space="0" w:color="000001"/>
                        </w:tcBorders>
                        <w:shd w:fill="auto" w:val="clear"/>
                        <w:vAlign w:val="bottom"/>
                      </w:tcPr>
                      <w:p>
                        <w:pPr>
                          <w:pStyle w:val="Normal"/>
                          <w:widowControl w:val="false"/>
                          <w:snapToGrid w:val="false"/>
                          <w:spacing w:lineRule="auto" w:line="240"/>
                          <w:ind w:hanging="0"/>
                          <w:jc w:val="left"/>
                          <w:rPr>
                            <w:sz w:val="22"/>
                            <w:szCs w:val="22"/>
                          </w:rPr>
                        </w:pPr>
                        <w:r>
                          <w:rPr>
                            <w:sz w:val="22"/>
                            <w:szCs w:val="22"/>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rPr>
                        </w:pPr>
                        <w:r>
                          <w:rPr>
                            <w:sz w:val="22"/>
                            <w:szCs w:val="22"/>
                          </w:rPr>
                        </w:r>
                      </w:p>
                    </w:tc>
                    <w:tc>
                      <w:tcPr>
                        <w:tcW w:w="8234" w:type="dxa"/>
                        <w:gridSpan w:val="2"/>
                        <w:tcBorders/>
                        <w:shd w:fill="auto" w:val="clear"/>
                      </w:tcPr>
                      <w:p>
                        <w:pPr>
                          <w:pStyle w:val="Normal"/>
                          <w:widowControl w:val="false"/>
                          <w:snapToGrid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pPr>
                    <w:pStyle w:val="Normal"/>
                    <w:widowControl w:val="false"/>
                    <w:spacing w:lineRule="auto" w:line="240"/>
                    <w:ind w:hanging="0"/>
                    <w:rPr>
                      <w:sz w:val="20"/>
                      <w:szCs w:val="20"/>
                    </w:rPr>
                  </w:pPr>
                  <w:r>
                    <w:rPr>
                      <w:sz w:val="20"/>
                      <w:szCs w:val="20"/>
                    </w:rPr>
                  </w:r>
                </w:p>
                <w:p>
                  <w:pPr>
                    <w:pStyle w:val="Normal"/>
                    <w:widowControl w:val="false"/>
                    <w:spacing w:lineRule="auto" w:line="240"/>
                    <w:ind w:hanging="0"/>
                    <w:rPr>
                      <w:sz w:val="20"/>
                      <w:szCs w:val="20"/>
                    </w:rPr>
                  </w:pPr>
                  <w:r>
                    <w:rPr>
                      <w:sz w:val="20"/>
                      <w:szCs w:val="20"/>
                    </w:rPr>
                    <w:t>составили настоящий акт о нижеследующем:</w:t>
                  </w:r>
                </w:p>
                <w:p>
                  <w:pPr>
                    <w:pStyle w:val="Normal"/>
                    <w:widowControl w:val="false"/>
                    <w:spacing w:lineRule="auto" w:line="240"/>
                    <w:ind w:hanging="0"/>
                    <w:rPr>
                      <w:sz w:val="20"/>
                      <w:szCs w:val="20"/>
                    </w:rPr>
                  </w:pPr>
                  <w:r>
                    <w:rPr>
                      <w:sz w:val="20"/>
                      <w:szCs w:val="20"/>
                    </w:rPr>
                  </w:r>
                </w:p>
                <w:p>
                  <w:pPr>
                    <w:pStyle w:val="Normal"/>
                    <w:widowControl w:val="false"/>
                    <w:spacing w:lineRule="auto" w:line="240"/>
                    <w:rPr>
                      <w:sz w:val="20"/>
                      <w:szCs w:val="20"/>
                    </w:rPr>
                  </w:pPr>
                  <w:r>
                    <w:rPr>
                      <w:sz w:val="20"/>
                      <w:szCs w:val="20"/>
                    </w:rPr>
                  </w:r>
                </w:p>
              </w:tc>
            </w:tr>
            <w:tr>
              <w:trPr>
                <w:trHeight w:val="255" w:hRule="atLeast"/>
              </w:trPr>
              <w:tc>
                <w:tcPr>
                  <w:tcW w:w="9733" w:type="dxa"/>
                  <w:gridSpan w:val="11"/>
                  <w:tcBorders/>
                  <w:shd w:fill="auto" w:val="clear"/>
                  <w:vAlign w:val="bottom"/>
                </w:tcPr>
                <w:p>
                  <w:pPr>
                    <w:pStyle w:val="Normal"/>
                    <w:widowControl w:val="false"/>
                    <w:snapToGrid w:val="false"/>
                    <w:spacing w:lineRule="auto" w:line="240"/>
                    <w:rPr>
                      <w:sz w:val="20"/>
                      <w:szCs w:val="20"/>
                    </w:rPr>
                  </w:pPr>
                  <w:r>
                    <w:rPr>
                      <w:sz w:val="20"/>
                      <w:szCs w:val="20"/>
                    </w:rPr>
                    <w:t>Сметная (договорная) стоимость по договору № _____  от  _________ 200__ г.  -  ___________ руб.</w:t>
                  </w:r>
                </w:p>
                <w:p>
                  <w:pPr>
                    <w:pStyle w:val="Normal"/>
                    <w:widowControl w:val="false"/>
                    <w:snapToGrid w:val="false"/>
                    <w:spacing w:lineRule="auto" w:line="240"/>
                    <w:rPr>
                      <w:i/>
                      <w:i/>
                      <w:iCs/>
                      <w:sz w:val="20"/>
                      <w:szCs w:val="20"/>
                    </w:rPr>
                  </w:pPr>
                  <w:r>
                    <w:rPr>
                      <w:i/>
                      <w:iCs/>
                      <w:sz w:val="20"/>
                      <w:szCs w:val="20"/>
                    </w:rPr>
                    <w:t xml:space="preserve"> </w:t>
                  </w:r>
                </w:p>
              </w:tc>
            </w:tr>
            <w:tr>
              <w:trPr>
                <w:trHeight w:val="255" w:hRule="atLeast"/>
              </w:trPr>
              <w:tc>
                <w:tcPr>
                  <w:tcW w:w="5289" w:type="dxa"/>
                  <w:gridSpan w:val="5"/>
                  <w:tcBorders/>
                  <w:shd w:fill="auto" w:val="clear"/>
                  <w:vAlign w:val="bottom"/>
                </w:tcPr>
                <w:p>
                  <w:pPr>
                    <w:pStyle w:val="Normal"/>
                    <w:widowControl w:val="false"/>
                    <w:spacing w:lineRule="auto" w:line="240"/>
                    <w:rPr>
                      <w:sz w:val="20"/>
                      <w:szCs w:val="20"/>
                    </w:rPr>
                  </w:pPr>
                  <w:r>
                    <w:rPr>
                      <w:sz w:val="20"/>
                      <w:szCs w:val="20"/>
                    </w:rPr>
                  </w:r>
                </w:p>
                <w:p>
                  <w:pPr>
                    <w:pStyle w:val="Normal"/>
                    <w:widowControl w:val="false"/>
                    <w:snapToGrid w:val="false"/>
                    <w:spacing w:lineRule="auto" w:line="240"/>
                    <w:rPr>
                      <w:sz w:val="20"/>
                      <w:szCs w:val="20"/>
                    </w:rPr>
                  </w:pPr>
                  <w:r>
                    <w:rPr>
                      <w:sz w:val="20"/>
                      <w:szCs w:val="20"/>
                    </w:rPr>
                  </w:r>
                </w:p>
              </w:tc>
              <w:tc>
                <w:tcPr>
                  <w:tcW w:w="4444" w:type="dxa"/>
                  <w:gridSpan w:val="6"/>
                  <w:tcBorders/>
                  <w:shd w:fill="auto" w:val="clear"/>
                  <w:tcMar>
                    <w:top w:w="0" w:type="dxa"/>
                    <w:left w:w="0" w:type="dxa"/>
                    <w:right w:w="0" w:type="dxa"/>
                  </w:tcMar>
                </w:tcPr>
                <w:p>
                  <w:pPr>
                    <w:pStyle w:val="Normal"/>
                    <w:widowControl w:val="false"/>
                    <w:snapToGrid w:val="false"/>
                    <w:spacing w:lineRule="auto" w:line="240"/>
                    <w:ind w:right="180" w:firstLine="567"/>
                    <w:jc w:val="right"/>
                    <w:rPr>
                      <w:sz w:val="20"/>
                      <w:szCs w:val="20"/>
                    </w:rPr>
                  </w:pPr>
                  <w:r>
                    <w:rPr>
                      <w:sz w:val="20"/>
                      <w:szCs w:val="20"/>
                    </w:rPr>
                    <w:t xml:space="preserve">                </w:t>
                  </w:r>
                </w:p>
              </w:tc>
            </w:tr>
            <w:tr>
              <w:trPr>
                <w:cantSplit w:val="true"/>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b/>
                      <w:b/>
                      <w:bCs/>
                      <w:sz w:val="20"/>
                      <w:szCs w:val="20"/>
                    </w:rPr>
                  </w:pPr>
                  <w:r>
                    <w:rPr>
                      <w:b/>
                      <w:bCs/>
                      <w:sz w:val="20"/>
                      <w:szCs w:val="20"/>
                    </w:rPr>
                  </w:r>
                </w:p>
              </w:tc>
              <w:tc>
                <w:tcPr>
                  <w:tcW w:w="0" w:type="dxa"/>
                  <w:tcBorders>
                    <w:top w:val="single" w:sz="8" w:space="0" w:color="000001"/>
                    <w:left w:val="single" w:sz="8" w:space="0" w:color="000001"/>
                    <w:bottom w:val="single" w:sz="8" w:space="0" w:color="000001"/>
                    <w:right w:val="single" w:sz="8" w:space="0" w:color="000001"/>
                  </w:tcBorders>
                  <w:shd w:fill="auto" w:val="clear"/>
                  <w:tcMar>
                    <w:top w:w="0" w:type="dxa"/>
                    <w:left w:w="68" w:type="dxa"/>
                    <w:right w:w="108" w:type="dxa"/>
                  </w:tcMar>
                  <w:vAlign w:val="center"/>
                </w:tcPr>
                <w:p>
                  <w:pPr>
                    <w:pStyle w:val="Normal"/>
                    <w:widowControl w:val="false"/>
                    <w:snapToGrid w:val="false"/>
                    <w:spacing w:lineRule="auto" w:line="240"/>
                    <w:ind w:hanging="0"/>
                    <w:jc w:val="center"/>
                    <w:rPr>
                      <w:b/>
                      <w:b/>
                      <w:bCs/>
                      <w:sz w:val="20"/>
                      <w:szCs w:val="20"/>
                    </w:rPr>
                  </w:pPr>
                  <w:r>
                    <w:rPr>
                      <w:b/>
                      <w:bCs/>
                      <w:sz w:val="20"/>
                      <w:szCs w:val="20"/>
                    </w:rPr>
                    <w:t xml:space="preserve">№ </w:t>
                  </w:r>
                  <w:r>
                    <w:rPr>
                      <w:b/>
                      <w:bCs/>
                      <w:sz w:val="20"/>
                      <w:szCs w:val="20"/>
                    </w:rPr>
                    <w:t>п/п</w:t>
                  </w:r>
                </w:p>
              </w:tc>
              <w:tc>
                <w:tcPr>
                  <w:tcW w:w="2592" w:type="dxa"/>
                  <w:gridSpan w:val="2"/>
                  <w:vMerge w:val="restart"/>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vAlign w:val="center"/>
                </w:tcPr>
                <w:p>
                  <w:pPr>
                    <w:pStyle w:val="Normal"/>
                    <w:widowControl w:val="false"/>
                    <w:snapToGrid w:val="false"/>
                    <w:spacing w:lineRule="auto" w:line="240"/>
                    <w:ind w:hanging="0"/>
                    <w:jc w:val="center"/>
                    <w:rPr>
                      <w:b/>
                      <w:b/>
                      <w:bCs/>
                      <w:sz w:val="20"/>
                      <w:szCs w:val="20"/>
                    </w:rPr>
                  </w:pPr>
                  <w:r>
                    <w:rPr>
                      <w:b/>
                      <w:bCs/>
                      <w:sz w:val="20"/>
                      <w:szCs w:val="20"/>
                    </w:rPr>
                    <w:t>Наименование работ</w:t>
                  </w:r>
                </w:p>
              </w:tc>
              <w:tc>
                <w:tcPr>
                  <w:tcW w:w="5925" w:type="dxa"/>
                  <w:gridSpan w:val="8"/>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b/>
                      <w:b/>
                      <w:bCs/>
                      <w:sz w:val="20"/>
                      <w:szCs w:val="20"/>
                    </w:rPr>
                  </w:pPr>
                  <w:r>
                    <w:rPr>
                      <w:b/>
                      <w:bCs/>
                      <w:sz w:val="20"/>
                      <w:szCs w:val="20"/>
                    </w:rPr>
                    <w:t>Выполнено работ</w:t>
                  </w:r>
                </w:p>
              </w:tc>
            </w:tr>
            <w:tr>
              <w:trPr>
                <w:trHeight w:val="693" w:hRule="atLeast"/>
                <w:cantSplit w:val="true"/>
              </w:trPr>
              <w:tc>
                <w:tcPr>
                  <w:tcW w:w="1216" w:type="dxa"/>
                  <w:tcBorders/>
                  <w:shd w:fill="auto" w:val="clear"/>
                  <w:tcMar>
                    <w:top w:w="0" w:type="dxa"/>
                    <w:left w:w="0" w:type="dxa"/>
                    <w:right w:w="0" w:type="dxa"/>
                  </w:tcMar>
                </w:tcPr>
                <w:p>
                  <w:pPr>
                    <w:pStyle w:val="Normal"/>
                    <w:widowControl w:val="false"/>
                    <w:spacing w:lineRule="auto" w:line="240"/>
                    <w:ind w:hanging="0"/>
                    <w:rPr>
                      <w:b/>
                      <w:b/>
                      <w:bCs/>
                      <w:sz w:val="20"/>
                      <w:szCs w:val="20"/>
                    </w:rPr>
                  </w:pPr>
                  <w:r>
                    <w:rPr>
                      <w:b/>
                      <w:bCs/>
                      <w:sz w:val="20"/>
                      <w:szCs w:val="20"/>
                    </w:rPr>
                  </w:r>
                </w:p>
              </w:tc>
              <w:tc>
                <w:tcPr>
                  <w:tcW w:w="0" w:type="dxa"/>
                  <w:vMerge w:val="continue"/>
                  <w:tcBorders>
                    <w:top w:val="single" w:sz="8" w:space="0" w:color="000001"/>
                    <w:left w:val="single" w:sz="8" w:space="0" w:color="000001"/>
                    <w:bottom w:val="single" w:sz="8" w:space="0" w:color="000001"/>
                    <w:right w:val="single" w:sz="8" w:space="0" w:color="000001"/>
                  </w:tcBorders>
                  <w:shd w:fill="auto" w:val="clear"/>
                  <w:tcMar>
                    <w:top w:w="0" w:type="dxa"/>
                    <w:left w:w="0" w:type="dxa"/>
                    <w:right w:w="0" w:type="dxa"/>
                  </w:tcMar>
                  <w:vAlign w:val="center"/>
                </w:tcPr>
                <w:p>
                  <w:pPr>
                    <w:pStyle w:val="Normal"/>
                    <w:widowControl w:val="false"/>
                    <w:spacing w:lineRule="auto" w:line="240"/>
                    <w:ind w:hanging="0"/>
                    <w:rPr>
                      <w:b/>
                      <w:b/>
                      <w:bCs/>
                      <w:sz w:val="20"/>
                      <w:szCs w:val="20"/>
                    </w:rPr>
                  </w:pPr>
                  <w:r>
                    <w:rPr>
                      <w:b/>
                      <w:bCs/>
                      <w:sz w:val="20"/>
                      <w:szCs w:val="20"/>
                    </w:rPr>
                  </w:r>
                </w:p>
              </w:tc>
              <w:tc>
                <w:tcPr>
                  <w:tcW w:w="2592" w:type="dxa"/>
                  <w:gridSpan w:val="2"/>
                  <w:vMerge w:val="continue"/>
                  <w:tcBorders>
                    <w:top w:val="single" w:sz="8" w:space="0" w:color="000001"/>
                    <w:left w:val="single" w:sz="8" w:space="0" w:color="000001"/>
                    <w:bottom w:val="single" w:sz="8" w:space="0" w:color="000001"/>
                    <w:right w:val="single" w:sz="8" w:space="0" w:color="000001"/>
                  </w:tcBorders>
                  <w:shd w:fill="auto" w:val="clear"/>
                  <w:tcMar>
                    <w:top w:w="0" w:type="dxa"/>
                    <w:left w:w="0" w:type="dxa"/>
                    <w:right w:w="0" w:type="dxa"/>
                  </w:tcMar>
                  <w:vAlign w:val="center"/>
                </w:tcPr>
                <w:p>
                  <w:pPr>
                    <w:pStyle w:val="Normal"/>
                    <w:widowControl w:val="false"/>
                    <w:spacing w:lineRule="auto" w:line="240"/>
                    <w:ind w:hanging="0"/>
                    <w:rPr>
                      <w:b/>
                      <w:b/>
                      <w:bCs/>
                      <w:sz w:val="20"/>
                      <w:szCs w:val="20"/>
                    </w:rPr>
                  </w:pPr>
                  <w:r>
                    <w:rPr>
                      <w:b/>
                      <w:bCs/>
                      <w:sz w:val="20"/>
                      <w:szCs w:val="20"/>
                    </w:rPr>
                  </w:r>
                </w:p>
              </w:tc>
              <w:tc>
                <w:tcPr>
                  <w:tcW w:w="1257"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vAlign w:val="center"/>
                </w:tcPr>
                <w:p>
                  <w:pPr>
                    <w:pStyle w:val="Normal"/>
                    <w:widowControl w:val="false"/>
                    <w:spacing w:lineRule="auto" w:line="240"/>
                    <w:ind w:hanging="0"/>
                    <w:jc w:val="center"/>
                    <w:rPr>
                      <w:b/>
                      <w:b/>
                      <w:bCs/>
                      <w:sz w:val="20"/>
                      <w:szCs w:val="20"/>
                    </w:rPr>
                  </w:pPr>
                  <w:r>
                    <w:rPr>
                      <w:b/>
                      <w:bCs/>
                      <w:sz w:val="20"/>
                      <w:szCs w:val="20"/>
                    </w:rPr>
                    <w:t xml:space="preserve">ед. </w:t>
                  </w:r>
                </w:p>
                <w:p>
                  <w:pPr>
                    <w:pStyle w:val="Normal"/>
                    <w:widowControl w:val="false"/>
                    <w:snapToGrid w:val="false"/>
                    <w:spacing w:lineRule="auto" w:line="240"/>
                    <w:ind w:hanging="0"/>
                    <w:jc w:val="center"/>
                    <w:rPr>
                      <w:b/>
                      <w:b/>
                      <w:bCs/>
                      <w:sz w:val="20"/>
                      <w:szCs w:val="20"/>
                    </w:rPr>
                  </w:pPr>
                  <w:r>
                    <w:rPr>
                      <w:b/>
                      <w:bCs/>
                      <w:sz w:val="20"/>
                      <w:szCs w:val="20"/>
                    </w:rPr>
                    <w:t>изм.</w:t>
                  </w:r>
                </w:p>
              </w:tc>
              <w:tc>
                <w:tcPr>
                  <w:tcW w:w="81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vAlign w:val="center"/>
                </w:tcPr>
                <w:p>
                  <w:pPr>
                    <w:pStyle w:val="Normal"/>
                    <w:widowControl w:val="false"/>
                    <w:snapToGrid w:val="false"/>
                    <w:spacing w:lineRule="auto" w:line="240"/>
                    <w:ind w:hanging="0"/>
                    <w:jc w:val="center"/>
                    <w:rPr>
                      <w:b/>
                      <w:b/>
                      <w:bCs/>
                      <w:sz w:val="20"/>
                      <w:szCs w:val="20"/>
                    </w:rPr>
                  </w:pPr>
                  <w:r>
                    <w:rPr>
                      <w:b/>
                      <w:bCs/>
                      <w:sz w:val="20"/>
                      <w:szCs w:val="20"/>
                    </w:rPr>
                    <w:t>коли-чество</w:t>
                  </w:r>
                </w:p>
              </w:tc>
              <w:tc>
                <w:tcPr>
                  <w:tcW w:w="1402"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vAlign w:val="center"/>
                </w:tcPr>
                <w:p>
                  <w:pPr>
                    <w:pStyle w:val="Normal"/>
                    <w:widowControl w:val="false"/>
                    <w:spacing w:lineRule="auto" w:line="240"/>
                    <w:ind w:hanging="0"/>
                    <w:jc w:val="center"/>
                    <w:rPr>
                      <w:b/>
                      <w:b/>
                      <w:bCs/>
                      <w:sz w:val="20"/>
                      <w:szCs w:val="20"/>
                    </w:rPr>
                  </w:pPr>
                  <w:r>
                    <w:rPr>
                      <w:b/>
                      <w:bCs/>
                      <w:sz w:val="20"/>
                      <w:szCs w:val="20"/>
                    </w:rPr>
                    <w:t xml:space="preserve">цена за </w:t>
                  </w:r>
                </w:p>
                <w:p>
                  <w:pPr>
                    <w:pStyle w:val="Normal"/>
                    <w:widowControl w:val="false"/>
                    <w:snapToGrid w:val="false"/>
                    <w:spacing w:lineRule="auto" w:line="240"/>
                    <w:ind w:hanging="0"/>
                    <w:jc w:val="center"/>
                    <w:rPr>
                      <w:b/>
                      <w:b/>
                      <w:bCs/>
                      <w:sz w:val="20"/>
                      <w:szCs w:val="20"/>
                    </w:rPr>
                  </w:pPr>
                  <w:r>
                    <w:rPr>
                      <w:b/>
                      <w:bCs/>
                      <w:sz w:val="20"/>
                      <w:szCs w:val="20"/>
                    </w:rPr>
                    <w:t>1 ед., руб.</w:t>
                  </w:r>
                </w:p>
              </w:tc>
              <w:tc>
                <w:tcPr>
                  <w:tcW w:w="1340"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vAlign w:val="center"/>
                </w:tcPr>
                <w:p>
                  <w:pPr>
                    <w:pStyle w:val="Normal"/>
                    <w:widowControl w:val="false"/>
                    <w:spacing w:lineRule="auto" w:line="240"/>
                    <w:ind w:hanging="0"/>
                    <w:jc w:val="center"/>
                    <w:rPr>
                      <w:b/>
                      <w:b/>
                      <w:bCs/>
                      <w:sz w:val="20"/>
                      <w:szCs w:val="20"/>
                    </w:rPr>
                  </w:pPr>
                  <w:r>
                    <w:rPr>
                      <w:b/>
                      <w:bCs/>
                      <w:sz w:val="20"/>
                      <w:szCs w:val="20"/>
                    </w:rPr>
                    <w:t xml:space="preserve">стоимость, </w:t>
                  </w:r>
                </w:p>
                <w:p>
                  <w:pPr>
                    <w:pStyle w:val="Normal"/>
                    <w:widowControl w:val="false"/>
                    <w:snapToGrid w:val="false"/>
                    <w:spacing w:lineRule="auto" w:line="240"/>
                    <w:ind w:hanging="0"/>
                    <w:jc w:val="center"/>
                    <w:rPr>
                      <w:b/>
                      <w:b/>
                      <w:bCs/>
                      <w:sz w:val="20"/>
                      <w:szCs w:val="20"/>
                    </w:rPr>
                  </w:pPr>
                  <w:r>
                    <w:rPr>
                      <w:b/>
                      <w:bCs/>
                      <w:sz w:val="20"/>
                      <w:szCs w:val="20"/>
                    </w:rPr>
                    <w:t>руб.</w:t>
                  </w:r>
                </w:p>
              </w:tc>
              <w:tc>
                <w:tcPr>
                  <w:tcW w:w="1114"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vAlign w:val="center"/>
                </w:tcPr>
                <w:p>
                  <w:pPr>
                    <w:pStyle w:val="Normal"/>
                    <w:widowControl w:val="false"/>
                    <w:snapToGrid w:val="false"/>
                    <w:spacing w:lineRule="auto" w:line="240"/>
                    <w:ind w:hanging="0"/>
                    <w:jc w:val="center"/>
                    <w:rPr>
                      <w:b/>
                      <w:b/>
                      <w:bCs/>
                      <w:sz w:val="20"/>
                      <w:szCs w:val="20"/>
                    </w:rPr>
                  </w:pPr>
                  <w:r>
                    <w:rPr>
                      <w:b/>
                      <w:bCs/>
                      <w:sz w:val="20"/>
                      <w:szCs w:val="20"/>
                    </w:rPr>
                    <w:t>в т.ч. НДС, руб.</w:t>
                  </w:r>
                </w:p>
              </w:tc>
            </w:tr>
            <w:tr>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b/>
                      <w:b/>
                      <w:bCs/>
                      <w:sz w:val="20"/>
                      <w:szCs w:val="20"/>
                    </w:rPr>
                  </w:pPr>
                  <w:r>
                    <w:rPr>
                      <w:b/>
                      <w:bCs/>
                      <w:sz w:val="20"/>
                      <w:szCs w:val="20"/>
                    </w:rPr>
                  </w:r>
                </w:p>
              </w:tc>
              <w:tc>
                <w:tcPr>
                  <w:tcW w:w="0" w:type="dxa"/>
                  <w:tcBorders>
                    <w:top w:val="single" w:sz="8" w:space="0" w:color="000001"/>
                    <w:left w:val="single" w:sz="8" w:space="0" w:color="000001"/>
                    <w:bottom w:val="single" w:sz="8" w:space="0" w:color="000001"/>
                    <w:right w:val="single" w:sz="8" w:space="0" w:color="000001"/>
                  </w:tcBorders>
                  <w:shd w:fill="auto" w:val="clear"/>
                  <w:tcMar>
                    <w:top w:w="0" w:type="dxa"/>
                    <w:left w:w="68" w:type="dxa"/>
                    <w:right w:w="108" w:type="dxa"/>
                  </w:tcMar>
                </w:tcPr>
                <w:p>
                  <w:pPr>
                    <w:pStyle w:val="Normal"/>
                    <w:widowControl w:val="false"/>
                    <w:snapToGrid w:val="false"/>
                    <w:spacing w:lineRule="auto" w:line="240"/>
                    <w:ind w:hanging="0"/>
                    <w:jc w:val="center"/>
                    <w:rPr>
                      <w:b/>
                      <w:b/>
                      <w:bCs/>
                      <w:sz w:val="20"/>
                      <w:szCs w:val="20"/>
                    </w:rPr>
                  </w:pPr>
                  <w:r>
                    <w:rPr>
                      <w:b/>
                      <w:bCs/>
                      <w:sz w:val="20"/>
                      <w:szCs w:val="20"/>
                    </w:rPr>
                    <w:t>1</w:t>
                  </w:r>
                </w:p>
              </w:tc>
              <w:tc>
                <w:tcPr>
                  <w:tcW w:w="259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b/>
                      <w:b/>
                      <w:bCs/>
                      <w:sz w:val="20"/>
                      <w:szCs w:val="20"/>
                    </w:rPr>
                  </w:pPr>
                  <w:r>
                    <w:rPr>
                      <w:b/>
                      <w:bCs/>
                      <w:sz w:val="20"/>
                      <w:szCs w:val="20"/>
                    </w:rPr>
                    <w:t>2</w:t>
                  </w:r>
                </w:p>
              </w:tc>
              <w:tc>
                <w:tcPr>
                  <w:tcW w:w="1257"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b/>
                      <w:b/>
                      <w:bCs/>
                      <w:sz w:val="20"/>
                      <w:szCs w:val="20"/>
                    </w:rPr>
                  </w:pPr>
                  <w:r>
                    <w:rPr>
                      <w:b/>
                      <w:bCs/>
                      <w:sz w:val="20"/>
                      <w:szCs w:val="20"/>
                    </w:rPr>
                    <w:t>3</w:t>
                  </w:r>
                </w:p>
              </w:tc>
              <w:tc>
                <w:tcPr>
                  <w:tcW w:w="81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b/>
                      <w:b/>
                      <w:bCs/>
                      <w:sz w:val="20"/>
                      <w:szCs w:val="20"/>
                    </w:rPr>
                  </w:pPr>
                  <w:r>
                    <w:rPr>
                      <w:b/>
                      <w:bCs/>
                      <w:sz w:val="20"/>
                      <w:szCs w:val="20"/>
                    </w:rPr>
                    <w:t>4</w:t>
                  </w:r>
                </w:p>
              </w:tc>
              <w:tc>
                <w:tcPr>
                  <w:tcW w:w="1402"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b/>
                      <w:b/>
                      <w:bCs/>
                      <w:sz w:val="20"/>
                      <w:szCs w:val="20"/>
                    </w:rPr>
                  </w:pPr>
                  <w:r>
                    <w:rPr>
                      <w:b/>
                      <w:bCs/>
                      <w:sz w:val="20"/>
                      <w:szCs w:val="20"/>
                    </w:rPr>
                    <w:t>5</w:t>
                  </w:r>
                </w:p>
              </w:tc>
              <w:tc>
                <w:tcPr>
                  <w:tcW w:w="1340"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b/>
                      <w:b/>
                      <w:bCs/>
                      <w:sz w:val="20"/>
                      <w:szCs w:val="20"/>
                    </w:rPr>
                  </w:pPr>
                  <w:r>
                    <w:rPr>
                      <w:b/>
                      <w:bCs/>
                      <w:sz w:val="20"/>
                      <w:szCs w:val="20"/>
                    </w:rPr>
                    <w:t>6</w:t>
                  </w:r>
                </w:p>
              </w:tc>
              <w:tc>
                <w:tcPr>
                  <w:tcW w:w="1114"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b/>
                      <w:b/>
                      <w:bCs/>
                      <w:sz w:val="20"/>
                      <w:szCs w:val="20"/>
                    </w:rPr>
                  </w:pPr>
                  <w:r>
                    <w:rPr>
                      <w:b/>
                      <w:bCs/>
                      <w:sz w:val="20"/>
                      <w:szCs w:val="20"/>
                    </w:rPr>
                    <w:t>7</w:t>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0" w:type="dxa"/>
                  <w:tcBorders>
                    <w:top w:val="single" w:sz="8" w:space="0" w:color="000001"/>
                    <w:left w:val="single" w:sz="8" w:space="0" w:color="000001"/>
                    <w:bottom w:val="single" w:sz="8" w:space="0" w:color="000001"/>
                    <w:right w:val="single" w:sz="8" w:space="0" w:color="000001"/>
                  </w:tcBorders>
                  <w:shd w:fill="auto" w:val="clear"/>
                  <w:tcMar>
                    <w:top w:w="0" w:type="dxa"/>
                    <w:left w:w="68" w:type="dxa"/>
                    <w:right w:w="108" w:type="dxa"/>
                  </w:tcMar>
                </w:tcPr>
                <w:p>
                  <w:pPr>
                    <w:pStyle w:val="Normal"/>
                    <w:widowControl w:val="false"/>
                    <w:snapToGrid w:val="false"/>
                    <w:spacing w:lineRule="auto" w:line="240"/>
                    <w:jc w:val="center"/>
                    <w:rPr>
                      <w:sz w:val="20"/>
                      <w:szCs w:val="20"/>
                    </w:rPr>
                  </w:pPr>
                  <w:r>
                    <w:rPr>
                      <w:sz w:val="20"/>
                      <w:szCs w:val="20"/>
                    </w:rPr>
                  </w:r>
                </w:p>
              </w:tc>
              <w:tc>
                <w:tcPr>
                  <w:tcW w:w="259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257"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402"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340"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114"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0" w:type="dxa"/>
                  <w:tcBorders>
                    <w:top w:val="single" w:sz="8" w:space="0" w:color="000001"/>
                    <w:left w:val="single" w:sz="8" w:space="0" w:color="000001"/>
                    <w:bottom w:val="single" w:sz="8" w:space="0" w:color="000001"/>
                    <w:right w:val="single" w:sz="8" w:space="0" w:color="000001"/>
                  </w:tcBorders>
                  <w:shd w:fill="auto" w:val="clear"/>
                  <w:tcMar>
                    <w:top w:w="0" w:type="dxa"/>
                    <w:left w:w="68" w:type="dxa"/>
                    <w:right w:w="108" w:type="dxa"/>
                  </w:tcMar>
                </w:tcPr>
                <w:p>
                  <w:pPr>
                    <w:pStyle w:val="Normal"/>
                    <w:widowControl w:val="false"/>
                    <w:snapToGrid w:val="false"/>
                    <w:spacing w:lineRule="auto" w:line="240"/>
                    <w:jc w:val="center"/>
                    <w:rPr>
                      <w:sz w:val="20"/>
                      <w:szCs w:val="20"/>
                    </w:rPr>
                  </w:pPr>
                  <w:r>
                    <w:rPr>
                      <w:sz w:val="20"/>
                      <w:szCs w:val="20"/>
                    </w:rPr>
                  </w:r>
                </w:p>
              </w:tc>
              <w:tc>
                <w:tcPr>
                  <w:tcW w:w="259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257"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402"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340"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114"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0" w:type="dxa"/>
                  <w:tcBorders>
                    <w:top w:val="single" w:sz="8" w:space="0" w:color="000001"/>
                    <w:left w:val="single" w:sz="8" w:space="0" w:color="000001"/>
                    <w:bottom w:val="single" w:sz="8" w:space="0" w:color="000001"/>
                    <w:right w:val="single" w:sz="8" w:space="0" w:color="000001"/>
                  </w:tcBorders>
                  <w:shd w:fill="auto" w:val="clear"/>
                  <w:tcMar>
                    <w:top w:w="0" w:type="dxa"/>
                    <w:left w:w="68" w:type="dxa"/>
                    <w:right w:w="108" w:type="dxa"/>
                  </w:tcMar>
                </w:tcPr>
                <w:p>
                  <w:pPr>
                    <w:pStyle w:val="Normal"/>
                    <w:widowControl w:val="false"/>
                    <w:snapToGrid w:val="false"/>
                    <w:spacing w:lineRule="auto" w:line="240"/>
                    <w:jc w:val="center"/>
                    <w:rPr>
                      <w:sz w:val="20"/>
                      <w:szCs w:val="20"/>
                    </w:rPr>
                  </w:pPr>
                  <w:r>
                    <w:rPr>
                      <w:sz w:val="20"/>
                      <w:szCs w:val="20"/>
                    </w:rPr>
                  </w:r>
                </w:p>
              </w:tc>
              <w:tc>
                <w:tcPr>
                  <w:tcW w:w="259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257"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402"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340"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114"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rPr>
                      <w:sz w:val="20"/>
                      <w:szCs w:val="20"/>
                    </w:rPr>
                  </w:pPr>
                  <w:r>
                    <w:rPr>
                      <w:sz w:val="20"/>
                      <w:szCs w:val="20"/>
                    </w:rPr>
                  </w:r>
                </w:p>
              </w:tc>
              <w:tc>
                <w:tcPr>
                  <w:tcW w:w="2591" w:type="dxa"/>
                  <w:tcBorders>
                    <w:top w:val="single" w:sz="8" w:space="0" w:color="000001"/>
                    <w:left w:val="single" w:sz="8" w:space="0" w:color="000001"/>
                    <w:bottom w:val="single" w:sz="8" w:space="0" w:color="000001"/>
                    <w:right w:val="single" w:sz="8" w:space="0" w:color="000001"/>
                  </w:tcBorders>
                  <w:shd w:fill="auto" w:val="clear"/>
                  <w:tcMar>
                    <w:top w:w="0" w:type="dxa"/>
                    <w:left w:w="68" w:type="dxa"/>
                    <w:right w:w="108" w:type="dxa"/>
                  </w:tcMar>
                </w:tcPr>
                <w:p>
                  <w:pPr>
                    <w:pStyle w:val="Normal"/>
                    <w:widowControl w:val="false"/>
                    <w:snapToGrid w:val="false"/>
                    <w:spacing w:lineRule="auto" w:line="240"/>
                    <w:rPr>
                      <w:sz w:val="20"/>
                      <w:szCs w:val="20"/>
                    </w:rPr>
                  </w:pPr>
                  <w:r>
                    <w:rPr>
                      <w:sz w:val="20"/>
                      <w:szCs w:val="20"/>
                    </w:rPr>
                    <w:t>Выполнено работ</w:t>
                  </w:r>
                </w:p>
              </w:tc>
              <w:tc>
                <w:tcPr>
                  <w:tcW w:w="3478" w:type="dxa"/>
                  <w:gridSpan w:val="6"/>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vAlign w:val="center"/>
                </w:tcPr>
                <w:p>
                  <w:pPr>
                    <w:pStyle w:val="Normal"/>
                    <w:widowControl w:val="false"/>
                    <w:snapToGrid w:val="false"/>
                    <w:spacing w:lineRule="auto" w:line="240"/>
                    <w:jc w:val="center"/>
                    <w:rPr>
                      <w:b/>
                      <w:b/>
                      <w:bCs/>
                      <w:sz w:val="20"/>
                      <w:szCs w:val="20"/>
                    </w:rPr>
                  </w:pPr>
                  <w:r>
                    <w:rPr>
                      <w:b/>
                      <w:bCs/>
                      <w:sz w:val="20"/>
                      <w:szCs w:val="20"/>
                    </w:rPr>
                    <w:t>ИТОГО</w:t>
                  </w:r>
                </w:p>
              </w:tc>
              <w:tc>
                <w:tcPr>
                  <w:tcW w:w="1335" w:type="dxa"/>
                  <w:gridSpan w:val="2"/>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c>
                <w:tcPr>
                  <w:tcW w:w="1113" w:type="dxa"/>
                  <w:tcBorders>
                    <w:top w:val="single" w:sz="8" w:space="0" w:color="000001"/>
                    <w:left w:val="single" w:sz="8" w:space="0" w:color="000001"/>
                    <w:bottom w:val="single" w:sz="8" w:space="0" w:color="000001"/>
                    <w:right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rPr>
                  </w:pPr>
                  <w:r>
                    <w:rPr>
                      <w:sz w:val="20"/>
                      <w:szCs w:val="20"/>
                    </w:rPr>
                  </w:r>
                </w:p>
              </w:tc>
            </w:tr>
          </w:tbl>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Выполненные работы удовлетворяют условиям договора (техническому заданию).</w:t>
            </w:r>
          </w:p>
          <w:p>
            <w:pPr>
              <w:pStyle w:val="Normal"/>
              <w:widowControl w:val="false"/>
              <w:spacing w:lineRule="auto" w:line="240"/>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sz w:val="20"/>
                <w:szCs w:val="20"/>
              </w:rPr>
            </w:pPr>
            <w:r>
              <w:rPr>
                <w:sz w:val="20"/>
                <w:szCs w:val="20"/>
              </w:rPr>
              <w:t>____________________________________________________________________</w:t>
            </w:r>
          </w:p>
          <w:tbl>
            <w:tblPr>
              <w:tblW w:w="972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1"/>
              <w:gridCol w:w="4049"/>
              <w:gridCol w:w="707"/>
              <w:gridCol w:w="347"/>
              <w:gridCol w:w="4166"/>
            </w:tblGrid>
            <w:tr>
              <w:trPr>
                <w:cantSplit w:val="true"/>
              </w:trPr>
              <w:tc>
                <w:tcPr>
                  <w:tcW w:w="4500" w:type="dxa"/>
                  <w:gridSpan w:val="2"/>
                  <w:tcBorders/>
                  <w:shd w:fill="auto" w:val="clear"/>
                </w:tcPr>
                <w:p>
                  <w:pPr>
                    <w:pStyle w:val="Normal"/>
                    <w:widowControl w:val="false"/>
                    <w:spacing w:lineRule="auto" w:line="240"/>
                    <w:rPr>
                      <w:sz w:val="20"/>
                      <w:szCs w:val="20"/>
                    </w:rPr>
                  </w:pPr>
                  <w:r>
                    <w:rPr>
                      <w:b/>
                      <w:bCs/>
                      <w:sz w:val="20"/>
                      <w:szCs w:val="20"/>
                    </w:rPr>
                    <w:t>Заказчика:</w:t>
                  </w:r>
                </w:p>
              </w:tc>
              <w:tc>
                <w:tcPr>
                  <w:tcW w:w="707" w:type="dxa"/>
                  <w:vMerge w:val="restart"/>
                  <w:tcBorders/>
                  <w:shd w:fill="auto" w:val="clear"/>
                </w:tcPr>
                <w:p>
                  <w:pPr>
                    <w:pStyle w:val="Normal"/>
                    <w:widowControl w:val="false"/>
                    <w:snapToGrid w:val="false"/>
                    <w:spacing w:lineRule="auto" w:line="240"/>
                    <w:rPr>
                      <w:sz w:val="20"/>
                      <w:szCs w:val="20"/>
                    </w:rPr>
                  </w:pPr>
                  <w:r>
                    <w:rPr>
                      <w:sz w:val="20"/>
                      <w:szCs w:val="20"/>
                    </w:rPr>
                  </w:r>
                </w:p>
              </w:tc>
              <w:tc>
                <w:tcPr>
                  <w:tcW w:w="4513" w:type="dxa"/>
                  <w:gridSpan w:val="2"/>
                  <w:tcBorders/>
                  <w:shd w:fill="auto" w:val="clear"/>
                </w:tcPr>
                <w:p>
                  <w:pPr>
                    <w:pStyle w:val="Normal"/>
                    <w:widowControl w:val="false"/>
                    <w:spacing w:lineRule="auto" w:line="240"/>
                    <w:rPr>
                      <w:sz w:val="20"/>
                      <w:szCs w:val="20"/>
                    </w:rPr>
                  </w:pPr>
                  <w:r>
                    <w:rPr>
                      <w:b/>
                      <w:bCs/>
                      <w:sz w:val="20"/>
                      <w:szCs w:val="20"/>
                    </w:rPr>
                    <w:t>Подрядчика:</w:t>
                  </w:r>
                </w:p>
              </w:tc>
            </w:tr>
            <w:tr>
              <w:trPr>
                <w:cantSplit w:val="true"/>
              </w:trPr>
              <w:tc>
                <w:tcPr>
                  <w:tcW w:w="4500" w:type="dxa"/>
                  <w:gridSpan w:val="2"/>
                  <w:tcBorders/>
                  <w:shd w:fill="auto" w:val="clear"/>
                </w:tcPr>
                <w:p>
                  <w:pPr>
                    <w:pStyle w:val="Normal"/>
                    <w:widowControl w:val="false"/>
                    <w:snapToGrid w:val="false"/>
                    <w:spacing w:lineRule="auto" w:line="240"/>
                    <w:rPr>
                      <w:b/>
                      <w:b/>
                      <w:bCs/>
                      <w:sz w:val="20"/>
                      <w:szCs w:val="20"/>
                    </w:rPr>
                  </w:pPr>
                  <w:r>
                    <w:rPr>
                      <w:b/>
                      <w:bCs/>
                      <w:sz w:val="20"/>
                      <w:szCs w:val="20"/>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513" w:type="dxa"/>
                  <w:gridSpan w:val="2"/>
                  <w:tcBorders/>
                  <w:shd w:fill="auto" w:val="clear"/>
                </w:tcPr>
                <w:p>
                  <w:pPr>
                    <w:pStyle w:val="Normal"/>
                    <w:widowControl w:val="false"/>
                    <w:snapToGrid w:val="false"/>
                    <w:spacing w:lineRule="auto" w:line="240"/>
                    <w:rPr>
                      <w:b/>
                      <w:b/>
                      <w:bCs/>
                      <w:sz w:val="20"/>
                      <w:szCs w:val="20"/>
                    </w:rPr>
                  </w:pPr>
                  <w:r>
                    <w:rPr>
                      <w:b/>
                      <w:bCs/>
                      <w:sz w:val="20"/>
                      <w:szCs w:val="20"/>
                    </w:rPr>
                  </w:r>
                </w:p>
              </w:tc>
            </w:tr>
            <w:tr>
              <w:trPr>
                <w:cantSplit w:val="true"/>
              </w:trPr>
              <w:tc>
                <w:tcPr>
                  <w:tcW w:w="451" w:type="dxa"/>
                  <w:vMerge w:val="restart"/>
                  <w:tcBorders/>
                  <w:shd w:fill="auto" w:val="clear"/>
                </w:tcPr>
                <w:p>
                  <w:pPr>
                    <w:pStyle w:val="Normal"/>
                    <w:widowControl w:val="false"/>
                    <w:snapToGrid w:val="false"/>
                    <w:spacing w:lineRule="auto" w:line="240"/>
                    <w:rPr>
                      <w:sz w:val="20"/>
                      <w:szCs w:val="20"/>
                    </w:rPr>
                  </w:pPr>
                  <w:r>
                    <w:rPr>
                      <w:sz w:val="20"/>
                      <w:szCs w:val="20"/>
                    </w:rPr>
                  </w:r>
                </w:p>
              </w:tc>
              <w:tc>
                <w:tcPr>
                  <w:tcW w:w="4049"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(должность)</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restart"/>
                  <w:tcBorders/>
                  <w:shd w:fill="auto" w:val="clear"/>
                </w:tcPr>
                <w:p>
                  <w:pPr>
                    <w:pStyle w:val="Normal"/>
                    <w:widowControl w:val="false"/>
                    <w:snapToGrid w:val="false"/>
                    <w:spacing w:lineRule="auto" w:line="240"/>
                    <w:rPr>
                      <w:sz w:val="20"/>
                      <w:szCs w:val="20"/>
                    </w:rPr>
                  </w:pPr>
                  <w:r>
                    <w:rPr>
                      <w:sz w:val="20"/>
                      <w:szCs w:val="20"/>
                    </w:rPr>
                  </w:r>
                </w:p>
              </w:tc>
              <w:tc>
                <w:tcPr>
                  <w:tcW w:w="4166"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(должность)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1"/>
                    <w:bottom w:val="single" w:sz="4" w:space="0" w:color="000001"/>
                  </w:tcBorders>
                  <w:shd w:fill="auto" w:val="clear"/>
                </w:tcPr>
                <w:p>
                  <w:pPr>
                    <w:pStyle w:val="Normal"/>
                    <w:widowControl w:val="false"/>
                    <w:snapToGrid w:val="false"/>
                    <w:spacing w:lineRule="auto" w:line="240"/>
                    <w:rPr>
                      <w:sz w:val="20"/>
                      <w:szCs w:val="20"/>
                    </w:rPr>
                  </w:pPr>
                  <w:r>
                    <w:rPr>
                      <w:sz w:val="20"/>
                      <w:szCs w:val="20"/>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1"/>
                    <w:bottom w:val="single" w:sz="4" w:space="0" w:color="000001"/>
                  </w:tcBorders>
                  <w:shd w:fill="auto" w:val="clear"/>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(подпись)</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(подпись)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1"/>
                    <w:bottom w:val="single" w:sz="4" w:space="0" w:color="000001"/>
                  </w:tcBorders>
                  <w:shd w:fill="auto" w:val="clear"/>
                </w:tcPr>
                <w:p>
                  <w:pPr>
                    <w:pStyle w:val="Normal"/>
                    <w:widowControl w:val="false"/>
                    <w:snapToGrid w:val="false"/>
                    <w:spacing w:lineRule="auto" w:line="240"/>
                    <w:rPr>
                      <w:sz w:val="20"/>
                      <w:szCs w:val="20"/>
                    </w:rPr>
                  </w:pPr>
                  <w:r>
                    <w:rPr>
                      <w:sz w:val="20"/>
                      <w:szCs w:val="20"/>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1"/>
                    <w:bottom w:val="single" w:sz="4" w:space="0" w:color="000001"/>
                  </w:tcBorders>
                  <w:shd w:fill="auto" w:val="clear"/>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1"/>
                  </w:tcBorders>
                  <w:shd w:fill="auto" w:val="clear"/>
                </w:tcPr>
                <w:p>
                  <w:pPr>
                    <w:pStyle w:val="Normal"/>
                    <w:widowControl w:val="false"/>
                    <w:snapToGrid w:val="false"/>
                    <w:spacing w:lineRule="auto" w:line="240"/>
                    <w:ind w:firstLine="7"/>
                    <w:jc w:val="center"/>
                    <w:rPr>
                      <w:sz w:val="20"/>
                      <w:szCs w:val="20"/>
                    </w:rPr>
                  </w:pPr>
                  <w:r>
                    <w:rPr>
                      <w:i/>
                      <w:iCs/>
                      <w:sz w:val="20"/>
                      <w:szCs w:val="20"/>
                    </w:rPr>
                    <w:t>(расшифровка подписи)</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(расшифровка подписи)</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shd w:fill="auto" w:val="clear"/>
                </w:tcPr>
                <w:p>
                  <w:pPr>
                    <w:pStyle w:val="Normal"/>
                    <w:widowControl w:val="false"/>
                    <w:snapToGrid w:val="false"/>
                    <w:spacing w:lineRule="auto" w:line="240"/>
                    <w:rPr>
                      <w:sz w:val="20"/>
                      <w:szCs w:val="20"/>
                    </w:rPr>
                  </w:pPr>
                  <w:r>
                    <w:rPr>
                      <w:sz w:val="20"/>
                      <w:szCs w:val="20"/>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shd w:fill="auto" w:val="clear"/>
                </w:tcPr>
                <w:p>
                  <w:pPr>
                    <w:pStyle w:val="Normal"/>
                    <w:widowControl w:val="false"/>
                    <w:snapToGrid w:val="false"/>
                    <w:spacing w:lineRule="auto" w:line="240"/>
                    <w:rPr>
                      <w:sz w:val="20"/>
                      <w:szCs w:val="20"/>
                    </w:rPr>
                  </w:pPr>
                  <w:r>
                    <w:rPr>
                      <w:sz w:val="20"/>
                      <w:szCs w:val="20"/>
                    </w:rPr>
                  </w:r>
                </w:p>
              </w:tc>
            </w:tr>
          </w:tbl>
          <w:p>
            <w:pPr>
              <w:pStyle w:val="Normal"/>
              <w:widowControl w:val="false"/>
              <w:snapToGrid w:val="false"/>
              <w:spacing w:lineRule="auto" w:line="240"/>
              <w:ind w:right="-76" w:firstLine="567"/>
              <w:jc w:val="center"/>
              <w:rPr>
                <w:szCs w:val="24"/>
              </w:rPr>
            </w:pPr>
            <w:r>
              <w:rPr>
                <w:szCs w:val="24"/>
              </w:rPr>
            </w:r>
          </w:p>
        </w:tc>
      </w:tr>
    </w:tbl>
    <w:p>
      <w:pPr>
        <w:pStyle w:val="Normal"/>
        <w:spacing w:lineRule="auto" w:line="240"/>
        <w:ind w:left="5103" w:firstLine="567"/>
        <w:rPr>
          <w:highlight w:val="yellow"/>
        </w:rPr>
      </w:pPr>
      <w:r>
        <w:rPr>
          <w:highlight w:val="yellow"/>
        </w:rPr>
      </w:r>
    </w:p>
    <w:p>
      <w:pPr>
        <w:pStyle w:val="Normal"/>
        <w:spacing w:lineRule="auto" w:line="240"/>
        <w:ind w:left="5103" w:firstLine="567"/>
        <w:rPr>
          <w:highlight w:val="yellow"/>
        </w:rPr>
      </w:pPr>
      <w:r>
        <w:rPr>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rPr>
                <w:b/>
                <w:b/>
                <w:sz w:val="24"/>
                <w:szCs w:val="24"/>
                <w:lang w:val="en-US"/>
              </w:rPr>
            </w:pPr>
            <w:r>
              <w:rPr>
                <w:b/>
                <w:sz w:val="24"/>
                <w:szCs w:val="24"/>
              </w:rPr>
              <w:t>Заказчик</w:t>
            </w:r>
            <w:r>
              <w:rPr>
                <w:b/>
                <w:sz w:val="24"/>
                <w:szCs w:val="24"/>
                <w:lang w:val="en-US"/>
              </w:rPr>
              <w:t>:</w:t>
            </w:r>
          </w:p>
          <w:p>
            <w:pPr>
              <w:pStyle w:val="Normal"/>
              <w:widowControl w:val="false"/>
              <w:spacing w:lineRule="auto" w:line="240"/>
              <w:rPr>
                <w:b/>
                <w:b/>
                <w:sz w:val="24"/>
                <w:szCs w:val="24"/>
              </w:rPr>
            </w:pPr>
            <w:r>
              <w:rPr>
                <w:b/>
                <w:sz w:val="24"/>
                <w:szCs w:val="24"/>
              </w:rPr>
            </w:r>
          </w:p>
          <w:p>
            <w:pPr>
              <w:pStyle w:val="Normal"/>
              <w:widowControl w:val="false"/>
              <w:spacing w:lineRule="auto" w:line="240"/>
              <w:ind w:firstLine="34"/>
              <w:rPr>
                <w:b/>
                <w:b/>
                <w:sz w:val="24"/>
                <w:szCs w:val="24"/>
              </w:rPr>
            </w:pPr>
            <w:r>
              <w:rPr>
                <w:b/>
                <w:sz w:val="24"/>
                <w:szCs w:val="24"/>
              </w:rPr>
              <w:t>____________/_________________________</w:t>
            </w:r>
          </w:p>
        </w:tc>
        <w:tc>
          <w:tcPr>
            <w:tcW w:w="4785" w:type="dxa"/>
            <w:tcBorders/>
            <w:shd w:fill="auto" w:val="clear"/>
          </w:tcPr>
          <w:p>
            <w:pPr>
              <w:pStyle w:val="Normal"/>
              <w:widowControl w:val="false"/>
              <w:spacing w:lineRule="auto" w:line="240"/>
              <w:rPr>
                <w:b/>
                <w:b/>
                <w:sz w:val="24"/>
                <w:szCs w:val="24"/>
              </w:rPr>
            </w:pPr>
            <w:r>
              <w:rPr>
                <w:b/>
                <w:sz w:val="24"/>
                <w:szCs w:val="24"/>
              </w:rPr>
              <w:t>Подрядчик:</w:t>
            </w:r>
          </w:p>
          <w:p>
            <w:pPr>
              <w:pStyle w:val="Normal"/>
              <w:widowControl w:val="false"/>
              <w:spacing w:lineRule="auto" w:line="240"/>
              <w:rPr>
                <w:b/>
                <w:b/>
                <w:sz w:val="24"/>
                <w:szCs w:val="24"/>
              </w:rPr>
            </w:pPr>
            <w:r>
              <w:rPr>
                <w:b/>
                <w:sz w:val="24"/>
                <w:szCs w:val="24"/>
              </w:rPr>
            </w:r>
          </w:p>
          <w:p>
            <w:pPr>
              <w:pStyle w:val="Normal"/>
              <w:widowControl w:val="false"/>
              <w:spacing w:lineRule="auto" w:line="240"/>
              <w:ind w:hanging="0"/>
              <w:rPr>
                <w:b/>
                <w:b/>
                <w:sz w:val="24"/>
                <w:szCs w:val="24"/>
              </w:rPr>
            </w:pPr>
            <w:r>
              <w:rPr>
                <w:b/>
                <w:sz w:val="24"/>
                <w:szCs w:val="24"/>
              </w:rPr>
              <w:t>_______________/_____________________</w:t>
            </w:r>
          </w:p>
        </w:tc>
      </w:tr>
    </w:tbl>
    <w:p>
      <w:pPr>
        <w:sectPr>
          <w:headerReference w:type="default" r:id="rId4"/>
          <w:footerReference w:type="default" r:id="rId5"/>
          <w:footnotePr>
            <w:numFmt w:val="decimal"/>
          </w:footnotePr>
          <w:type w:val="nextPage"/>
          <w:pgSz w:w="11906" w:h="16838"/>
          <w:pgMar w:left="1418" w:right="851" w:header="567" w:top="1134" w:footer="284" w:bottom="1134" w:gutter="0"/>
          <w:pgNumType w:fmt="decimal"/>
          <w:formProt w:val="false"/>
          <w:textDirection w:val="lrTb"/>
          <w:docGrid w:type="default" w:linePitch="360" w:charSpace="0"/>
        </w:sectPr>
      </w:pPr>
    </w:p>
    <w:p>
      <w:pPr>
        <w:pStyle w:val="Normal"/>
        <w:shd w:val="clear" w:color="auto" w:fill="FFFFFF"/>
        <w:spacing w:lineRule="auto" w:line="240"/>
        <w:ind w:hanging="0"/>
        <w:jc w:val="both"/>
        <w:rPr>
          <w:bCs/>
          <w:sz w:val="22"/>
          <w:szCs w:val="22"/>
        </w:rPr>
      </w:pPr>
      <w:bookmarkStart w:id="32" w:name="RANGE!A1%2525252525252525252525252525252"/>
      <w:bookmarkStart w:id="33" w:name="RANGE!A1%2525252525252525252525252525252"/>
      <w:bookmarkEnd w:id="32"/>
      <w:bookmarkEnd w:id="33"/>
      <w:r>
        <w:rPr>
          <w:bCs/>
          <w:sz w:val="22"/>
          <w:szCs w:val="22"/>
        </w:rPr>
        <w:tab/>
        <w:tab/>
        <w:tab/>
        <w:tab/>
        <w:tab/>
        <w:tab/>
        <w:tab/>
      </w:r>
      <w:r>
        <w:rPr>
          <w:bCs/>
          <w:sz w:val="22"/>
          <w:szCs w:val="22"/>
          <w:shd w:fill="auto" w:val="clear"/>
        </w:rPr>
        <w:tab/>
        <w:tab/>
        <w:t>Приложение № 7</w:t>
      </w:r>
    </w:p>
    <w:p>
      <w:pPr>
        <w:pStyle w:val="Normal"/>
        <w:shd w:val="clear" w:color="auto" w:fill="FFFFFF"/>
        <w:spacing w:lineRule="auto" w:line="240"/>
        <w:ind w:left="4820" w:hanging="0"/>
        <w:rPr>
          <w:shd w:fill="auto" w:val="clear"/>
        </w:rPr>
      </w:pPr>
      <w:r>
        <w:rPr>
          <w:bCs/>
          <w:sz w:val="22"/>
          <w:szCs w:val="22"/>
          <w:shd w:fill="auto" w:val="clear"/>
        </w:rPr>
        <w:tab/>
        <w:tab/>
        <w:tab/>
        <w:t xml:space="preserve">к Договору подряда </w:t>
      </w:r>
    </w:p>
    <w:p>
      <w:pPr>
        <w:pStyle w:val="Normal"/>
        <w:shd w:val="clear" w:color="auto" w:fill="FFFFFF"/>
        <w:spacing w:lineRule="auto" w:line="240"/>
        <w:ind w:left="4820" w:hanging="0"/>
        <w:rPr>
          <w:shd w:fill="auto" w:val="clear"/>
        </w:rPr>
      </w:pPr>
      <w:r>
        <w:rPr>
          <w:bCs/>
          <w:sz w:val="22"/>
          <w:szCs w:val="22"/>
          <w:shd w:fill="auto" w:val="clear"/>
        </w:rPr>
        <w:tab/>
        <w:tab/>
        <w:tab/>
        <w:t>от «___» ________20__ г. № ___</w:t>
      </w:r>
    </w:p>
    <w:p>
      <w:pPr>
        <w:pStyle w:val="Normal"/>
        <w:shd w:val="clear" w:color="auto" w:fill="FFFFFF"/>
        <w:spacing w:lineRule="auto" w:line="240"/>
        <w:ind w:left="3119" w:firstLine="2551"/>
        <w:rPr>
          <w:bCs/>
          <w:sz w:val="22"/>
          <w:szCs w:val="22"/>
          <w:shd w:fill="auto" w:val="clear"/>
        </w:rPr>
      </w:pPr>
      <w:r>
        <w:rPr>
          <w:bCs/>
          <w:sz w:val="22"/>
          <w:szCs w:val="22"/>
          <w:shd w:fill="auto" w:val="clear"/>
        </w:rPr>
      </w:r>
    </w:p>
    <w:p>
      <w:pPr>
        <w:pStyle w:val="Normal"/>
        <w:spacing w:lineRule="auto" w:line="240"/>
        <w:ind w:firstLine="709"/>
        <w:jc w:val="right"/>
        <w:rPr>
          <w:sz w:val="24"/>
          <w:szCs w:val="24"/>
          <w:shd w:fill="auto" w:val="clear"/>
        </w:rPr>
      </w:pPr>
      <w:r>
        <w:rPr>
          <w:sz w:val="24"/>
          <w:szCs w:val="24"/>
          <w:shd w:fill="auto" w:val="clear"/>
        </w:rPr>
      </w:r>
    </w:p>
    <w:p>
      <w:pPr>
        <w:pStyle w:val="Normal"/>
        <w:spacing w:lineRule="auto" w:line="240" w:before="0" w:after="0"/>
        <w:jc w:val="center"/>
        <w:rPr>
          <w:shd w:fill="auto" w:val="clear"/>
        </w:rPr>
      </w:pPr>
      <w:r>
        <w:rPr>
          <w:rFonts w:ascii="Liberation Serif" w:hAnsi="Liberation Serif"/>
          <w:b/>
          <w:sz w:val="24"/>
          <w:szCs w:val="24"/>
          <w:shd w:fill="auto" w:val="clear"/>
        </w:rPr>
        <w:t>Критерии отбора Банков-Гарантов</w:t>
      </w:r>
      <w:bookmarkStart w:id="34" w:name="_Toc501966378"/>
      <w:bookmarkStart w:id="35" w:name="_Toc500935255"/>
      <w:bookmarkEnd w:id="34"/>
      <w:bookmarkEnd w:id="35"/>
      <w:r>
        <w:rPr>
          <w:rStyle w:val="Style12"/>
          <w:rFonts w:ascii="Liberation Serif" w:hAnsi="Liberation Serif"/>
          <w:b/>
          <w:sz w:val="24"/>
          <w:szCs w:val="24"/>
          <w:shd w:fill="auto" w:val="clear"/>
          <w:vertAlign w:val="superscript"/>
        </w:rPr>
        <w:footnoteReference w:id="9"/>
      </w:r>
    </w:p>
    <w:p>
      <w:pPr>
        <w:pStyle w:val="Normal"/>
        <w:widowControl w:val="false"/>
        <w:tabs>
          <w:tab w:val="clear" w:pos="708"/>
          <w:tab w:val="left" w:pos="1134" w:leader="none"/>
        </w:tabs>
        <w:spacing w:lineRule="auto" w:line="240" w:before="0" w:after="0"/>
        <w:ind w:left="0" w:right="0" w:firstLine="709"/>
        <w:jc w:val="both"/>
        <w:rPr>
          <w:rFonts w:ascii="Liberation Serif" w:hAnsi="Liberation Serif"/>
          <w:sz w:val="24"/>
          <w:szCs w:val="24"/>
          <w:shd w:fill="auto" w:val="clear"/>
        </w:rPr>
      </w:pPr>
      <w:r>
        <w:rPr>
          <w:rFonts w:ascii="Liberation Serif" w:hAnsi="Liberation Serif"/>
          <w:sz w:val="24"/>
          <w:szCs w:val="24"/>
          <w:shd w:fill="auto" w:val="clear"/>
        </w:rPr>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Банк-Гарант (кредитная организация), выдающий банковскую гарантию, должен входить в перечень Банков-Гарантов Группы РусГидро</w:t>
      </w:r>
      <w:r>
        <w:rPr>
          <w:rStyle w:val="Style12"/>
          <w:rFonts w:eastAsia="TimesNewRomanPS-BoldMT" w:cs="Times New Roman" w:ascii="Liberation Serif" w:hAnsi="Liberation Serif"/>
          <w:b w:val="false"/>
          <w:bCs w:val="false"/>
          <w:iCs w:val="false"/>
          <w:sz w:val="24"/>
          <w:szCs w:val="24"/>
          <w:shd w:fill="auto" w:val="clear"/>
          <w:lang w:eastAsia="en-US"/>
        </w:rPr>
        <w:footnoteReference w:id="10"/>
      </w:r>
      <w:r>
        <w:rPr>
          <w:rFonts w:eastAsia="TimesNewRomanPS-BoldMT" w:cs="Times New Roman" w:ascii="Liberation Serif" w:hAnsi="Liberation Serif"/>
          <w:b w:val="false"/>
          <w:bCs w:val="false"/>
          <w:iCs w:val="false"/>
          <w:sz w:val="24"/>
          <w:szCs w:val="24"/>
          <w:shd w:fill="auto" w:val="clear"/>
          <w:lang w:eastAsia="en-US"/>
        </w:rPr>
        <w:t xml:space="preserve">, а также соответствовать следующим критериям: </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 xml:space="preserve">1. Иметь действующую лицензию Центрального банка Российской Федерации (далее – ЦБ РФ) на осуществление банковских операций, </w:t>
      </w:r>
      <w:r>
        <w:rPr>
          <w:rFonts w:eastAsia="TimesNewRomanPS-BoldMT" w:cs="Times New Roman" w:ascii="Liberation Serif" w:hAnsi="Liberation Serif"/>
          <w:b w:val="false"/>
          <w:bCs w:val="false"/>
          <w:iCs w:val="false"/>
          <w:strike w:val="false"/>
          <w:dstrike w:val="false"/>
          <w:sz w:val="24"/>
          <w:szCs w:val="24"/>
          <w:shd w:fill="auto" w:val="clear"/>
          <w:lang w:eastAsia="en-US"/>
        </w:rPr>
        <w:t>п</w:t>
      </w:r>
      <w:r>
        <w:rPr>
          <w:rFonts w:eastAsia="TimesNewRomanPS-BoldMT" w:cs="Times New Roman" w:ascii="Liberation Serif" w:hAnsi="Liberation Serif"/>
          <w:b w:val="false"/>
          <w:bCs w:val="false"/>
          <w:iCs w:val="false"/>
          <w:sz w:val="24"/>
          <w:szCs w:val="24"/>
          <w:shd w:fill="auto" w:val="clear"/>
          <w:lang w:eastAsia="en-US"/>
        </w:rPr>
        <w:t>ри этом лицензия не должна быть приостановлена полностью или частично.</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 xml:space="preserve">3. Иметь собственные средства (капитал) в размере не менее 25 млрд. рублей на 01 января текущего календарного года </w:t>
      </w:r>
      <w:r>
        <w:rPr>
          <w:rFonts w:eastAsia="TimesNewRomanPS-BoldMT" w:cs="Times New Roman" w:ascii="Liberation Serif" w:hAnsi="Liberation Serif"/>
          <w:b w:val="false"/>
          <w:bCs w:val="false"/>
          <w:iCs w:val="false"/>
          <w:strike w:val="false"/>
          <w:dstrike w:val="false"/>
          <w:sz w:val="24"/>
          <w:szCs w:val="24"/>
          <w:shd w:fill="auto"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pPr>
        <w:pStyle w:val="Normal"/>
        <w:spacing w:lineRule="auto" w:line="240" w:before="0" w:after="0"/>
        <w:ind w:left="0" w:right="0" w:firstLine="709"/>
        <w:jc w:val="both"/>
        <w:rPr/>
      </w:pPr>
      <w:r>
        <w:rPr>
          <w:rFonts w:eastAsia="TimesNewRomanPS-BoldMT" w:cs="Times New Roman" w:ascii="Liberation Serif" w:hAnsi="Liberation Serif"/>
          <w:b w:val="false"/>
          <w:bCs w:val="false"/>
          <w:iCs w:val="false"/>
          <w:sz w:val="24"/>
          <w:szCs w:val="24"/>
          <w:shd w:fill="auto" w:val="clear"/>
          <w:lang w:eastAsia="en-US"/>
        </w:rPr>
        <w:t>4. 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Style11"/>
          <w:rFonts w:eastAsia="TimesNewRomanPS-BoldMT" w:cs="Times New Roman" w:ascii="Liberation Serif" w:hAnsi="Liberation Serif"/>
          <w:b w:val="false"/>
          <w:bCs w:val="false"/>
          <w:iCs w:val="false"/>
          <w:sz w:val="24"/>
          <w:szCs w:val="24"/>
          <w:shd w:fill="auto" w:val="clear"/>
          <w:lang w:eastAsia="en-US"/>
        </w:rPr>
        <w:t xml:space="preserve"> </w:t>
      </w:r>
      <w:r>
        <w:rPr>
          <w:rStyle w:val="Style12"/>
          <w:rFonts w:eastAsia="TimesNewRomanPS-BoldMT" w:cs="Times New Roman" w:ascii="Liberation Serif" w:hAnsi="Liberation Serif"/>
          <w:b w:val="false"/>
          <w:bCs w:val="false"/>
          <w:iCs w:val="false"/>
          <w:sz w:val="24"/>
          <w:szCs w:val="24"/>
          <w:shd w:fill="auto" w:val="clear"/>
          <w:lang w:eastAsia="en-US"/>
        </w:rPr>
        <w:footnoteReference w:id="11"/>
      </w:r>
      <w:r>
        <w:rPr>
          <w:rFonts w:eastAsia="TimesNewRomanPS-BoldMT" w:cs="Times New Roman" w:ascii="Liberation Serif" w:hAnsi="Liberation Serif"/>
          <w:b w:val="false"/>
          <w:bCs w:val="false"/>
          <w:iCs w:val="false"/>
          <w:sz w:val="24"/>
          <w:szCs w:val="24"/>
          <w:shd w:fill="auto" w:val="clear"/>
          <w:lang w:eastAsia="en-US"/>
        </w:rPr>
        <w:t>.</w:t>
      </w:r>
    </w:p>
    <w:p>
      <w:pPr>
        <w:pStyle w:val="Normal"/>
        <w:spacing w:lineRule="auto" w:line="240" w:before="0" w:after="0"/>
        <w:ind w:left="0" w:right="0" w:firstLine="709"/>
        <w:jc w:val="both"/>
        <w:rPr/>
      </w:pPr>
      <w:r>
        <w:rPr>
          <w:rFonts w:eastAsia="TimesNewRomanPS-BoldMT" w:cs="Times New Roman" w:ascii="Liberation Serif" w:hAnsi="Liberation Serif"/>
          <w:b w:val="false"/>
          <w:bCs w:val="false"/>
          <w:iCs w:val="false"/>
          <w:sz w:val="24"/>
          <w:szCs w:val="24"/>
          <w:shd w:fill="auto" w:val="clear"/>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Style11"/>
          <w:rFonts w:eastAsia="TimesNewRomanPS-BoldMT" w:cs="Times New Roman" w:ascii="Liberation Serif" w:hAnsi="Liberation Serif"/>
          <w:b w:val="false"/>
          <w:bCs w:val="false"/>
          <w:iCs w:val="false"/>
          <w:sz w:val="24"/>
          <w:szCs w:val="24"/>
          <w:shd w:fill="auto" w:val="clear"/>
          <w:lang w:eastAsia="en-US"/>
        </w:rPr>
        <w:t xml:space="preserve"> </w:t>
      </w:r>
      <w:r>
        <w:rPr>
          <w:rStyle w:val="Style12"/>
          <w:rFonts w:eastAsia="TimesNewRomanPS-BoldMT" w:cs="Times New Roman" w:ascii="Liberation Serif" w:hAnsi="Liberation Serif"/>
          <w:b w:val="false"/>
          <w:bCs w:val="false"/>
          <w:iCs w:val="false"/>
          <w:sz w:val="24"/>
          <w:szCs w:val="24"/>
          <w:shd w:fill="auto" w:val="clear"/>
          <w:lang w:eastAsia="en-US"/>
        </w:rPr>
        <w:footnoteReference w:id="12"/>
      </w:r>
      <w:r>
        <w:rPr>
          <w:rFonts w:eastAsia="TimesNewRomanPS-BoldMT" w:cs="Times New Roman" w:ascii="Liberation Serif" w:hAnsi="Liberation Serif"/>
          <w:b w:val="false"/>
          <w:bCs w:val="false"/>
          <w:iCs w:val="false"/>
          <w:sz w:val="24"/>
          <w:szCs w:val="24"/>
          <w:shd w:fill="auto" w:val="clear"/>
          <w:lang w:eastAsia="en-US"/>
        </w:rPr>
        <w:t>.</w:t>
      </w:r>
    </w:p>
    <w:p>
      <w:pPr>
        <w:pStyle w:val="Normal"/>
        <w:spacing w:lineRule="auto" w:line="240" w:before="0" w:after="0"/>
        <w:ind w:left="0" w:right="0" w:firstLine="709"/>
        <w:jc w:val="both"/>
        <w:rPr/>
      </w:pPr>
      <w:r>
        <w:rPr>
          <w:rFonts w:eastAsia="TimesNewRomanPS-BoldMT" w:cs="Times New Roman" w:ascii="Liberation Serif" w:hAnsi="Liberation Serif"/>
          <w:b w:val="false"/>
          <w:bCs w:val="false"/>
          <w:iCs w:val="false"/>
          <w:sz w:val="24"/>
          <w:szCs w:val="24"/>
          <w:shd w:fill="auto" w:val="clear"/>
          <w:lang w:eastAsia="en-US"/>
        </w:rPr>
        <w:t>6. 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w:t>
      </w:r>
      <w:hyperlink r:id="rId6">
        <w:r>
          <w:rPr>
            <w:rFonts w:eastAsia="TimesNewRomanPS-BoldMT" w:cs="Times New Roman" w:ascii="Liberation Serif" w:hAnsi="Liberation Serif"/>
            <w:b w:val="false"/>
            <w:bCs w:val="false"/>
            <w:iCs w:val="false"/>
            <w:sz w:val="24"/>
            <w:szCs w:val="24"/>
            <w:shd w:fill="auto" w:val="clear"/>
            <w:lang w:eastAsia="en-US"/>
          </w:rPr>
          <w:t>http://www.asv.org.ru</w:t>
        </w:r>
      </w:hyperlink>
      <w:r>
        <w:rPr>
          <w:rFonts w:eastAsia="TimesNewRomanPS-BoldMT" w:cs="Times New Roman" w:ascii="Liberation Serif" w:hAnsi="Liberation Serif"/>
          <w:b w:val="false"/>
          <w:bCs w:val="false"/>
          <w:iCs w:val="false"/>
          <w:sz w:val="24"/>
          <w:szCs w:val="24"/>
          <w:shd w:fill="auto" w:val="clear"/>
          <w:lang w:eastAsia="en-US"/>
        </w:rPr>
        <w:t>))».</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7. Не иметь просроченную задолженность перед Обществом и компаниями Группы РусГидро.</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8. Требования, установленные пунктами 2 – 4 настоящих Критериев, не распространяются на кредитные организации:</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8.2. Основной целью деятельности которых является реализация программ поддержки малого и среднего предпринимательства в соответствии Указом Президента Российской Федерации от 05.06.2015 № 287 «О мерах по дальнейшему развитию малого и среднего предпринимательства» и с Федеральным законом от 24.07.2007 № 209-ФЗ «О развитии малого и среднего предпринимательства в Российской Федерации».</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8.4. ВЭБ.РФ.</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8.5. Нерезидентов Российской Федерации.</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LimAi = ri × СKi, где</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LimAi - Лимит риска для i-ой кредитной организации</w:t>
      </w:r>
      <w:r>
        <w:rPr>
          <w:rStyle w:val="Style12"/>
          <w:rFonts w:eastAsia="TimesNewRomanPS-BoldMT" w:cs="Times New Roman" w:ascii="Liberation Serif" w:hAnsi="Liberation Serif"/>
          <w:b w:val="false"/>
          <w:bCs w:val="false"/>
          <w:iCs w:val="false"/>
          <w:sz w:val="24"/>
          <w:szCs w:val="24"/>
          <w:shd w:fill="auto" w:val="clear"/>
          <w:lang w:eastAsia="en-US"/>
        </w:rPr>
        <w:footnoteReference w:id="13"/>
      </w:r>
      <w:r>
        <w:rPr>
          <w:rFonts w:eastAsia="TimesNewRomanPS-BoldMT" w:cs="Times New Roman" w:ascii="Liberation Serif" w:hAnsi="Liberation Serif"/>
          <w:b w:val="false"/>
          <w:bCs w:val="false"/>
          <w:iCs w:val="false"/>
          <w:sz w:val="24"/>
          <w:szCs w:val="24"/>
          <w:shd w:fill="auto" w:val="clear"/>
          <w:lang w:eastAsia="en-US"/>
        </w:rPr>
        <w:t>.</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СKi - размер собственных средств (капитала) i-ой кредитной организации на 01 января текущего календарного года</w:t>
      </w:r>
      <w:r>
        <w:rPr>
          <w:rFonts w:eastAsia="TimesNewRomanPS-BoldMT" w:cs="Times New Roman" w:ascii="Liberation Serif" w:hAnsi="Liberation Serif"/>
          <w:b w:val="false"/>
          <w:bCs w:val="false"/>
          <w:iCs w:val="false"/>
          <w:strike w:val="false"/>
          <w:dstrike w:val="false"/>
          <w:sz w:val="24"/>
          <w:szCs w:val="24"/>
          <w:u w:val="none"/>
          <w:shd w:fill="auto" w:val="clear"/>
          <w:lang w:eastAsia="en-US"/>
        </w:rPr>
        <w:t xml:space="preserve"> </w:t>
      </w:r>
      <w:r>
        <w:rPr>
          <w:rFonts w:eastAsia="TimesNewRomanPS-BoldMT" w:cs="Times New Roman" w:ascii="Liberation Serif" w:hAnsi="Liberation Serif"/>
          <w:b w:val="false"/>
          <w:bCs w:val="false"/>
          <w:iCs w:val="false"/>
          <w:sz w:val="24"/>
          <w:szCs w:val="24"/>
          <w:shd w:fill="auto"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ri - рейтинговый коэффициент</w:t>
      </w:r>
      <w:r>
        <w:rPr>
          <w:rStyle w:val="Style12"/>
          <w:rFonts w:eastAsia="TimesNewRomanPS-BoldMT" w:cs="Times New Roman" w:ascii="Liberation Serif" w:hAnsi="Liberation Serif"/>
          <w:b w:val="false"/>
          <w:bCs w:val="false"/>
          <w:iCs w:val="false"/>
          <w:sz w:val="24"/>
          <w:szCs w:val="24"/>
          <w:shd w:fill="auto" w:val="clear"/>
          <w:lang w:eastAsia="en-US"/>
        </w:rPr>
        <w:footnoteReference w:id="14"/>
      </w:r>
      <w:r>
        <w:rPr>
          <w:rFonts w:eastAsia="TimesNewRomanPS-BoldMT" w:cs="Times New Roman" w:ascii="Liberation Serif" w:hAnsi="Liberation Serif"/>
          <w:b w:val="false"/>
          <w:bCs w:val="false"/>
          <w:iCs w:val="false"/>
          <w:sz w:val="24"/>
          <w:szCs w:val="24"/>
          <w:shd w:fill="auto" w:val="clear"/>
          <w:lang w:eastAsia="en-US"/>
        </w:rPr>
        <w:t xml:space="preserve"> для i-ой кредитной организации, равный:</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 xml:space="preserve">0,075 - если i-ая кредитная организация имеет национальный рейтинг кредитоспособности не ниже уровня </w:t>
      </w:r>
      <w:r>
        <w:rPr>
          <w:rFonts w:eastAsia="TimesNewRomanPS-BoldMT" w:cs="Times New Roman" w:ascii="Liberation Serif" w:hAnsi="Liberation Serif"/>
          <w:b/>
          <w:bCs/>
          <w:iCs w:val="false"/>
          <w:sz w:val="24"/>
          <w:szCs w:val="24"/>
          <w:shd w:fill="auto" w:val="clear"/>
          <w:lang w:eastAsia="en-US"/>
        </w:rPr>
        <w:t>«АА-»</w:t>
      </w:r>
      <w:r>
        <w:rPr>
          <w:rFonts w:eastAsia="TimesNewRomanPS-BoldMT" w:cs="Times New Roman" w:ascii="Liberation Serif" w:hAnsi="Liberation Serif"/>
          <w:b w:val="false"/>
          <w:bCs w:val="false"/>
          <w:iCs w:val="false"/>
          <w:sz w:val="24"/>
          <w:szCs w:val="24"/>
          <w:shd w:fill="auto" w:val="clear"/>
          <w:lang w:eastAsia="en-US"/>
        </w:rPr>
        <w:t xml:space="preserve"> по классификации рейтингового агентства АКРА или не ниже уровня </w:t>
      </w:r>
      <w:r>
        <w:rPr>
          <w:rFonts w:eastAsia="TimesNewRomanPS-BoldMT" w:cs="Times New Roman" w:ascii="Liberation Serif" w:hAnsi="Liberation Serif"/>
          <w:b/>
          <w:bCs/>
          <w:iCs w:val="false"/>
          <w:sz w:val="24"/>
          <w:szCs w:val="24"/>
          <w:shd w:fill="auto" w:val="clear"/>
          <w:lang w:eastAsia="en-US"/>
        </w:rPr>
        <w:t>«ruАA-»</w:t>
      </w:r>
      <w:r>
        <w:rPr>
          <w:rFonts w:eastAsia="TimesNewRomanPS-BoldMT" w:cs="Times New Roman" w:ascii="Liberation Serif" w:hAnsi="Liberation Serif"/>
          <w:b w:val="false"/>
          <w:bCs w:val="false"/>
          <w:iCs w:val="false"/>
          <w:sz w:val="24"/>
          <w:szCs w:val="24"/>
          <w:shd w:fill="auto" w:val="clear"/>
          <w:lang w:eastAsia="en-US"/>
        </w:rPr>
        <w:t xml:space="preserve"> по классификации рейтингового агентства Эксперт РА;</w:t>
      </w:r>
    </w:p>
    <w:p>
      <w:pPr>
        <w:pStyle w:val="Normal"/>
        <w:spacing w:lineRule="auto" w:line="240" w:before="0" w:after="0"/>
        <w:ind w:left="0" w:right="0" w:firstLine="709"/>
        <w:jc w:val="both"/>
        <w:rPr>
          <w:shd w:fill="auto" w:val="clear"/>
        </w:rPr>
      </w:pPr>
      <w:r>
        <w:rPr>
          <w:rFonts w:eastAsia="TimesNewRomanPS-BoldMT" w:cs="Times New Roman" w:ascii="Liberation Serif" w:hAnsi="Liberation Serif"/>
          <w:b w:val="false"/>
          <w:bCs w:val="false"/>
          <w:iCs w:val="false"/>
          <w:sz w:val="24"/>
          <w:szCs w:val="24"/>
          <w:shd w:fill="auto" w:val="clear"/>
          <w:lang w:eastAsia="en-US"/>
        </w:rPr>
        <w:t xml:space="preserve">0,05 - если i-ая кредитная организация имеет национальный рейтинг кредитоспособности не ниже уровня </w:t>
      </w:r>
      <w:r>
        <w:rPr>
          <w:rFonts w:eastAsia="TimesNewRomanPS-BoldMT" w:cs="Times New Roman" w:ascii="Liberation Serif" w:hAnsi="Liberation Serif"/>
          <w:b/>
          <w:bCs/>
          <w:iCs w:val="false"/>
          <w:sz w:val="24"/>
          <w:szCs w:val="24"/>
          <w:shd w:fill="auto" w:val="clear"/>
          <w:lang w:eastAsia="en-US"/>
        </w:rPr>
        <w:t>«А-»</w:t>
      </w:r>
      <w:r>
        <w:rPr>
          <w:rFonts w:eastAsia="TimesNewRomanPS-BoldMT" w:cs="Times New Roman" w:ascii="Liberation Serif" w:hAnsi="Liberation Serif"/>
          <w:b w:val="false"/>
          <w:bCs w:val="false"/>
          <w:iCs w:val="false"/>
          <w:sz w:val="24"/>
          <w:szCs w:val="24"/>
          <w:shd w:fill="auto" w:val="clear"/>
          <w:lang w:eastAsia="en-US"/>
        </w:rPr>
        <w:t xml:space="preserve"> по классификации рейтингового агентства АКРА или не ниже уровня </w:t>
      </w:r>
      <w:r>
        <w:rPr>
          <w:rFonts w:eastAsia="TimesNewRomanPS-BoldMT" w:cs="Times New Roman" w:ascii="Liberation Serif" w:hAnsi="Liberation Serif"/>
          <w:b/>
          <w:bCs/>
          <w:iCs w:val="false"/>
          <w:sz w:val="24"/>
          <w:szCs w:val="24"/>
          <w:shd w:fill="auto" w:val="clear"/>
          <w:lang w:eastAsia="en-US"/>
        </w:rPr>
        <w:t>«ruA-»</w:t>
      </w:r>
      <w:r>
        <w:rPr>
          <w:rFonts w:eastAsia="TimesNewRomanPS-BoldMT" w:cs="Times New Roman" w:ascii="Liberation Serif" w:hAnsi="Liberation Serif"/>
          <w:b w:val="false"/>
          <w:bCs w:val="false"/>
          <w:iCs w:val="false"/>
          <w:sz w:val="24"/>
          <w:szCs w:val="24"/>
          <w:shd w:fill="auto" w:val="clear"/>
          <w:lang w:eastAsia="en-US"/>
        </w:rPr>
        <w:t xml:space="preserve"> по классификации рейтингового агентства Эксперт РА;</w:t>
      </w:r>
    </w:p>
    <w:p>
      <w:pPr>
        <w:pStyle w:val="Normal"/>
        <w:spacing w:lineRule="auto" w:line="240" w:before="0" w:after="0"/>
        <w:ind w:left="0" w:right="0" w:firstLine="709"/>
        <w:jc w:val="both"/>
        <w:rPr>
          <w:shd w:fill="auto" w:val="clear"/>
        </w:rPr>
      </w:pPr>
      <w:r>
        <w:rPr>
          <w:rFonts w:cs="Times New Roman" w:ascii="Liberation Serif" w:hAnsi="Liberation Serif"/>
          <w:b w:val="false"/>
          <w:bCs w:val="false"/>
          <w:iCs w:val="false"/>
          <w:sz w:val="24"/>
          <w:szCs w:val="24"/>
          <w:shd w:fill="auto" w:val="clear"/>
          <w:lang w:eastAsia="en-US"/>
        </w:rPr>
        <w:t xml:space="preserve">0,025 - если i-ая кредитная организация имеет национальный рейтинг кредитоспособности не ниже уровня </w:t>
      </w:r>
      <w:r>
        <w:rPr>
          <w:rFonts w:cs="Times New Roman" w:ascii="Liberation Serif" w:hAnsi="Liberation Serif"/>
          <w:b/>
          <w:bCs/>
          <w:iCs w:val="false"/>
          <w:sz w:val="24"/>
          <w:szCs w:val="24"/>
          <w:shd w:fill="auto" w:val="clear"/>
          <w:lang w:eastAsia="en-US"/>
        </w:rPr>
        <w:t>«BBВ»</w:t>
      </w:r>
      <w:r>
        <w:rPr>
          <w:rFonts w:cs="Times New Roman" w:ascii="Liberation Serif" w:hAnsi="Liberation Serif"/>
          <w:b w:val="false"/>
          <w:bCs w:val="false"/>
          <w:iCs w:val="false"/>
          <w:sz w:val="24"/>
          <w:szCs w:val="24"/>
          <w:shd w:fill="auto" w:val="clear"/>
          <w:lang w:eastAsia="en-US"/>
        </w:rPr>
        <w:t xml:space="preserve"> по классификации рейтингового агентства АКРА или не ниже уровня </w:t>
      </w:r>
      <w:r>
        <w:rPr>
          <w:rFonts w:cs="Times New Roman" w:ascii="Liberation Serif" w:hAnsi="Liberation Serif"/>
          <w:b/>
          <w:bCs/>
          <w:iCs w:val="false"/>
          <w:sz w:val="24"/>
          <w:szCs w:val="24"/>
          <w:shd w:fill="auto" w:val="clear"/>
          <w:lang w:eastAsia="en-US"/>
        </w:rPr>
        <w:t>«ruBBВ»</w:t>
      </w:r>
      <w:r>
        <w:rPr>
          <w:rFonts w:cs="Times New Roman" w:ascii="Liberation Serif" w:hAnsi="Liberation Serif"/>
          <w:b w:val="false"/>
          <w:bCs w:val="false"/>
          <w:iCs w:val="false"/>
          <w:sz w:val="24"/>
          <w:szCs w:val="24"/>
          <w:shd w:fill="auto" w:val="clear"/>
          <w:lang w:eastAsia="en-US"/>
        </w:rPr>
        <w:t xml:space="preserve"> по классификации рейтингового агентства Эксперт РА, а также находится в процессе финансового оздоровления (санации).</w:t>
      </w:r>
    </w:p>
    <w:p>
      <w:pPr>
        <w:pStyle w:val="Normal"/>
        <w:spacing w:lineRule="auto" w:line="240"/>
        <w:rPr>
          <w:sz w:val="24"/>
          <w:szCs w:val="24"/>
          <w:shd w:fill="auto" w:val="clear"/>
        </w:rPr>
      </w:pPr>
      <w:r>
        <w:rPr>
          <w:sz w:val="24"/>
          <w:szCs w:val="24"/>
          <w:shd w:fill="auto" w:val="clear"/>
        </w:rPr>
      </w:r>
    </w:p>
    <w:p>
      <w:pPr>
        <w:pStyle w:val="Normal"/>
        <w:keepNext w:val="true"/>
        <w:keepLines/>
        <w:tabs>
          <w:tab w:val="clear" w:pos="708"/>
          <w:tab w:val="left" w:pos="3360" w:leader="none"/>
        </w:tabs>
        <w:spacing w:lineRule="auto" w:line="240"/>
        <w:jc w:val="center"/>
        <w:rPr>
          <w:b/>
          <w:b/>
          <w:sz w:val="24"/>
          <w:szCs w:val="24"/>
          <w:shd w:fill="auto" w:val="clear"/>
        </w:rPr>
      </w:pPr>
      <w:r>
        <w:rPr>
          <w:b/>
          <w:sz w:val="24"/>
          <w:szCs w:val="24"/>
          <w:shd w:fill="auto" w:val="clear"/>
        </w:rPr>
      </w:r>
    </w:p>
    <w:p>
      <w:pPr>
        <w:pStyle w:val="Normal"/>
        <w:keepNext w:val="true"/>
        <w:keepLines/>
        <w:tabs>
          <w:tab w:val="clear" w:pos="708"/>
          <w:tab w:val="left" w:pos="3360" w:leader="none"/>
        </w:tabs>
        <w:spacing w:lineRule="auto" w:line="240"/>
        <w:jc w:val="center"/>
        <w:rPr>
          <w:shd w:fill="auto" w:val="clear"/>
        </w:rPr>
      </w:pPr>
      <w:r>
        <w:rPr>
          <w:b/>
          <w:sz w:val="24"/>
          <w:szCs w:val="24"/>
          <w:shd w:fill="auto" w:val="clear"/>
        </w:rPr>
        <w:t>Подписи Сторон:</w:t>
      </w:r>
    </w:p>
    <w:p>
      <w:pPr>
        <w:pStyle w:val="Normal"/>
        <w:keepNext w:val="true"/>
        <w:keepLines/>
        <w:tabs>
          <w:tab w:val="clear" w:pos="708"/>
          <w:tab w:val="left" w:pos="3360" w:leader="none"/>
        </w:tabs>
        <w:spacing w:lineRule="auto" w:line="240"/>
        <w:rPr>
          <w:sz w:val="22"/>
          <w:szCs w:val="22"/>
          <w:shd w:fill="auto" w:val="clear"/>
        </w:rPr>
      </w:pPr>
      <w:r>
        <w:rPr>
          <w:sz w:val="22"/>
          <w:szCs w:val="22"/>
          <w:shd w:fill="auto" w:val="clear"/>
        </w:rPr>
      </w:r>
    </w:p>
    <w:p>
      <w:pPr>
        <w:pStyle w:val="Normal"/>
        <w:keepNext w:val="true"/>
        <w:keepLines/>
        <w:tabs>
          <w:tab w:val="clear" w:pos="708"/>
          <w:tab w:val="left" w:pos="3360" w:leader="none"/>
        </w:tabs>
        <w:spacing w:lineRule="auto" w:line="240"/>
        <w:rPr>
          <w:sz w:val="22"/>
          <w:szCs w:val="22"/>
          <w:shd w:fill="auto" w:val="clear"/>
        </w:rPr>
      </w:pPr>
      <w:r>
        <w:rPr>
          <w:sz w:val="22"/>
          <w:szCs w:val="22"/>
          <w:shd w:fill="auto" w:val="clear"/>
        </w:rPr>
      </w:r>
    </w:p>
    <w:p>
      <w:pPr>
        <w:pStyle w:val="Normal"/>
        <w:spacing w:lineRule="auto" w:line="240"/>
        <w:rPr>
          <w:shd w:fill="auto" w:val="clear"/>
        </w:rPr>
      </w:pPr>
      <w:r>
        <w:rPr/>
      </w:r>
    </w:p>
    <w:sectPr>
      <w:headerReference w:type="default" r:id="rId7"/>
      <w:footerReference w:type="default" r:id="rId8"/>
      <w:footnotePr>
        <w:numFmt w:val="decimal"/>
      </w:footnotePr>
      <w:type w:val="nextPage"/>
      <w:pgSz w:w="11906" w:h="16838"/>
      <w:pgMar w:left="1134" w:right="1134" w:header="567" w:top="1418" w:footer="284"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Wingdings">
    <w:charset w:val="01"/>
    <w:family w:val="roman"/>
    <w:pitch w:val="variable"/>
  </w:font>
  <w:font w:name="Courier New">
    <w:charset w:val="01"/>
    <w:family w:val="roman"/>
    <w:pitch w:val="variable"/>
  </w:font>
  <w:font w:name="Symbol">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spacing w:before="0" w:after="160"/>
      <w:rPr>
        <w:rFonts w:ascii="Times New Roman" w:hAnsi="Times New Roman" w:cs="Times New Roman"/>
        <w:sz w:val="18"/>
        <w:szCs w:val="18"/>
      </w:rPr>
    </w:pPr>
    <w:r>
      <w:rPr>
        <w:rFonts w:cs="Times New Roman" w:ascii="Times New Roman" w:hAnsi="Times New Roman"/>
        <w:sz w:val="18"/>
        <w:szCs w:val="18"/>
        <w:lang w:val="ru-RU"/>
      </w:rPr>
      <w:t xml:space="preserve">Документ распечатан из программы 1С: Документооборот. </w:t>
    </w:r>
    <w:r>
      <w:rPr>
        <w:rFonts w:cs="Times New Roman" w:ascii="Times New Roman" w:hAnsi="Times New Roman"/>
        <w:sz w:val="18"/>
        <w:szCs w:val="18"/>
      </w:rPr>
      <w:t>Версия файла 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Style41"/>
        <w:rPr/>
      </w:pPr>
      <w:r>
        <w:rPr>
          <w:rStyle w:val="Style11"/>
        </w:rPr>
        <w:footnoteRef/>
      </w:r>
      <w:r>
        <w:rPr>
          <w:rStyle w:val="Style11"/>
        </w:rPr>
        <w:tab/>
      </w:r>
      <w:r>
        <w:rPr/>
        <w:t xml:space="preserve"> Для договоров, заключенных в рамках реализации инвестиционной программы Общества</w:t>
      </w:r>
    </w:p>
  </w:footnote>
  <w:footnote w:id="3">
    <w:p>
      <w:pPr>
        <w:pStyle w:val="Style41"/>
        <w:jc w:val="both"/>
        <w:rPr/>
      </w:pPr>
      <w:r>
        <w:rPr>
          <w:rStyle w:val="Style11"/>
        </w:rPr>
        <w:footnoteRef/>
      </w:r>
      <w:r>
        <w:rPr>
          <w:rStyle w:val="Style11"/>
        </w:rPr>
        <w:tab/>
      </w:r>
      <w:r>
        <w:rPr/>
        <w:t xml:space="preserve"> Применяется в случае, если Контрагент является субъектом МСП, для закупок, участниками которых могут быть только субъекты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Style41"/>
        <w:rPr/>
      </w:pPr>
      <w:r>
        <w:rPr>
          <w:rStyle w:val="Style11"/>
        </w:rPr>
        <w:footnoteRef/>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5">
    <w:p>
      <w:pPr>
        <w:pStyle w:val="Style41"/>
        <w:jc w:val="both"/>
        <w:rPr/>
      </w:pPr>
      <w:r>
        <w:rPr>
          <w:rStyle w:val="Style11"/>
        </w:rPr>
        <w:footnoteRef/>
      </w:r>
      <w:r>
        <w:rPr>
          <w:rStyle w:val="Style11"/>
        </w:rPr>
        <w:tab/>
      </w:r>
      <w:r>
        <w:rPr/>
        <w:t xml:space="preserve"> В случае несогласия Банка-Гаранта на предоставление копии банковской гарантии в условии финансового обеспечения указывается предоставление оригинала банковской гарантии.</w:t>
      </w:r>
    </w:p>
  </w:footnote>
  <w:footnote w:id="6">
    <w:p>
      <w:pPr>
        <w:pStyle w:val="Style41"/>
        <w:rPr/>
      </w:pPr>
      <w:r>
        <w:rPr>
          <w:rStyle w:val="Style11"/>
        </w:rPr>
        <w:footnoteRef/>
      </w:r>
      <w:r>
        <w:rPr>
          <w:rStyle w:val="Style11"/>
        </w:rPr>
        <w:tab/>
      </w:r>
      <w:r>
        <w:rPr/>
        <w:t xml:space="preserve"> В случае непредоставления новой Банковской гарантии возврата авансового платежа.</w:t>
      </w:r>
    </w:p>
  </w:footnote>
  <w:footnote w:id="7">
    <w:p>
      <w:pPr>
        <w:pStyle w:val="Style41"/>
        <w:rPr/>
      </w:pPr>
      <w:r>
        <w:rPr>
          <w:rStyle w:val="Style11"/>
        </w:rPr>
        <w:footnoteRef/>
      </w:r>
      <w:r>
        <w:rPr>
          <w:rStyle w:val="Style11"/>
        </w:rPr>
        <w:tab/>
      </w:r>
      <w:r>
        <w:rPr/>
        <w:t xml:space="preserve"> Абзацы второй и третий включаются в текст договора в случае заключения договора в электронной форме.</w:t>
      </w:r>
    </w:p>
  </w:footnote>
  <w:footnote w:id="8">
    <w:p>
      <w:pPr>
        <w:pStyle w:val="Style41"/>
        <w:jc w:val="both"/>
        <w:rPr/>
      </w:pPr>
      <w:r>
        <w:rPr>
          <w:rStyle w:val="Style11"/>
        </w:rPr>
        <w:footnoteRef/>
      </w:r>
      <w:r>
        <w:rPr>
          <w:rStyle w:val="Style11"/>
        </w:rPr>
        <w:tab/>
      </w:r>
      <w:r>
        <w:rPr/>
        <w:t xml:space="preserve"> </w:t>
      </w:r>
      <w:r>
        <w:rPr>
          <w:shd w:fill="FFFFFF" w:val="clear"/>
        </w:rPr>
        <w:t>Применяется в случае подписания собственноручно без использования усиленных квалифицированных электронных подписей (УКЭП).</w:t>
      </w:r>
    </w:p>
  </w:footnote>
  <w:footnote w:id="9">
    <w:p>
      <w:pPr>
        <w:pStyle w:val="Style41"/>
        <w:spacing w:before="60" w:after="0"/>
        <w:jc w:val="both"/>
        <w:rPr/>
      </w:pPr>
      <w:r>
        <w:rPr>
          <w:rStyle w:val="Style11"/>
        </w:rPr>
        <w:footnoteRef/>
      </w:r>
      <w:r>
        <w:rPr/>
        <w:t xml:space="preserve"> </w:t>
      </w:r>
      <w:r>
        <w:rPr/>
        <w:t>Требования подлежат обязательному включению в состав документации о закупке и не распространяются на гарантов по</w:t>
      </w:r>
      <w:r>
        <w:rPr>
          <w:shd w:fill="auto" w:val="clear"/>
        </w:rPr>
        <w:t xml:space="preserve">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 а также по независимым гарантиям, предоставляемым в обеспечение исполнения договоров, заключаемых по результатам конкурентной закупки в соответствии с Федеральным законом от 05.04.2013 No 44-ФЗ «О контрактной системе в сфере закупок товаров, работ, услуг для обеспечения государственных и муниципальных нужд».</w:t>
      </w:r>
    </w:p>
  </w:footnote>
  <w:footnote w:id="10">
    <w:p>
      <w:pPr>
        <w:pStyle w:val="Style41"/>
        <w:spacing w:before="0" w:after="0"/>
        <w:rPr/>
      </w:pPr>
      <w:r>
        <w:rPr>
          <w:rStyle w:val="Style11"/>
        </w:rPr>
        <w:footnoteRef/>
      </w:r>
      <w:r>
        <w:rPr/>
        <w:t xml:space="preserve"> </w:t>
      </w:r>
      <w:r>
        <w:rPr/>
        <w:t>Актуальн</w:t>
      </w:r>
      <w:r>
        <w:rPr>
          <w:shd w:fill="auto" w:val="clear"/>
        </w:rPr>
        <w:t>ый Перечень Банков-Гарантов Группы РусГидро размещен на официальном сайте Общества</w:t>
      </w:r>
    </w:p>
    <w:p>
      <w:pPr>
        <w:pStyle w:val="Style41"/>
        <w:rPr/>
      </w:pPr>
      <w:r>
        <w:rPr>
          <w:shd w:fill="auto" w:val="clear"/>
        </w:rPr>
        <w:t>(</w:t>
      </w:r>
      <w:hyperlink r:id="rId1">
        <w:r>
          <w:rPr>
            <w:shd w:fill="auto" w:val="clear"/>
          </w:rPr>
          <w:t>https://drsk.ru/investors/disclosure/dokumenty/vnutrennie-dokumenty-obshchestva/inye-dokumenty/</w:t>
        </w:r>
      </w:hyperlink>
      <w:r>
        <w:rPr>
          <w:shd w:fill="auto" w:val="clear"/>
        </w:rPr>
        <w:t>).</w:t>
      </w:r>
    </w:p>
  </w:footnote>
  <w:footnote w:id="11">
    <w:p>
      <w:pPr>
        <w:pStyle w:val="Style41"/>
        <w:spacing w:before="0" w:after="0"/>
        <w:jc w:val="both"/>
        <w:rPr/>
      </w:pPr>
      <w:r>
        <w:rPr>
          <w:rStyle w:val="Style11"/>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2">
    <w:p>
      <w:pPr>
        <w:pStyle w:val="Style41"/>
        <w:spacing w:before="0" w:after="0"/>
        <w:jc w:val="both"/>
        <w:rPr/>
      </w:pPr>
      <w:r>
        <w:rPr>
          <w:rStyle w:val="Style11"/>
        </w:rPr>
        <w:footnoteRef/>
      </w:r>
      <w:r>
        <w:rPr/>
        <w:t xml:space="preserve"> </w:t>
      </w:r>
      <w:r>
        <w:rPr/>
        <w:t>Данное требование не применяется в отношении небанковских кредитных организаций.</w:t>
      </w:r>
    </w:p>
  </w:footnote>
  <w:footnote w:id="13">
    <w:p>
      <w:pPr>
        <w:pStyle w:val="Style41"/>
        <w:spacing w:before="0" w:after="0"/>
        <w:jc w:val="both"/>
        <w:rPr/>
      </w:pPr>
      <w:r>
        <w:rPr>
          <w:rStyle w:val="Style11"/>
        </w:rPr>
        <w:footnoteRef/>
      </w:r>
      <w:r>
        <w:rPr/>
        <w:t xml:space="preserve"> </w:t>
      </w:r>
      <w:r>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4">
    <w:p>
      <w:pPr>
        <w:pStyle w:val="Style41"/>
        <w:spacing w:before="0" w:after="0"/>
        <w:jc w:val="both"/>
        <w:rPr/>
      </w:pPr>
      <w:r>
        <w:rPr>
          <w:rStyle w:val="Style11"/>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9"/>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tion1"/>
      <w:spacing w:before="120" w:after="120"/>
      <w:jc w:val="center"/>
      <w:rPr>
        <w:b w:val="false"/>
        <w:b w:val="false"/>
        <w:i/>
        <w:i/>
        <w:sz w:val="22"/>
      </w:rPr>
    </w:pPr>
    <w:r>
      <w:rPr>
        <w:b w:val="false"/>
        <w:i/>
        <w:sz w:val="2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9"/>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9"/>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000" w:hanging="432"/>
      </w:pPr>
      <w:rPr>
        <w:sz w:val="24"/>
        <w:u w:val="none"/>
        <w:b/>
      </w:rPr>
    </w:lvl>
    <w:lvl w:ilvl="2">
      <w:start w:val="1"/>
      <w:numFmt w:val="decimal"/>
      <w:lvlText w:val="%1.%2.%3."/>
      <w:lvlJc w:val="left"/>
      <w:pPr>
        <w:tabs>
          <w:tab w:val="num" w:pos="0"/>
        </w:tabs>
        <w:ind w:left="1214" w:hanging="504"/>
      </w:pPr>
      <w:rPr>
        <w:sz w:val="24"/>
        <w:b/>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7"/>
      <w:numFmt w:val="decimal"/>
      <w:lvlText w:val="%1."/>
      <w:lvlJc w:val="left"/>
      <w:pPr>
        <w:tabs>
          <w:tab w:val="num" w:pos="0"/>
        </w:tabs>
        <w:ind w:left="360" w:hanging="360"/>
      </w:pPr>
      <w:rPr>
        <w:sz w:val="24"/>
        <w:b/>
      </w:rPr>
    </w:lvl>
    <w:lvl w:ilvl="1">
      <w:start w:val="6"/>
      <w:numFmt w:val="decimal"/>
      <w:lvlText w:val="%1.%2."/>
      <w:lvlJc w:val="left"/>
      <w:pPr>
        <w:tabs>
          <w:tab w:val="num" w:pos="0"/>
        </w:tabs>
        <w:ind w:left="1288" w:hanging="720"/>
      </w:pPr>
      <w:rPr>
        <w:sz w:val="24"/>
        <w:b/>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12">
    <w:lvl w:ilvl="0">
      <w:start w:val="8"/>
      <w:numFmt w:val="decimal"/>
      <w:lvlText w:val="%1."/>
      <w:lvlJc w:val="left"/>
      <w:pPr>
        <w:tabs>
          <w:tab w:val="num" w:pos="0"/>
        </w:tabs>
        <w:ind w:left="360" w:hanging="360"/>
      </w:pPr>
      <w:rPr>
        <w:sz w:val="24"/>
        <w:b/>
      </w:rPr>
    </w:lvl>
    <w:lvl w:ilvl="1">
      <w:start w:val="1"/>
      <w:numFmt w:val="decimal"/>
      <w:lvlText w:val="%1.%2."/>
      <w:lvlJc w:val="left"/>
      <w:pPr>
        <w:tabs>
          <w:tab w:val="num" w:pos="0"/>
        </w:tabs>
        <w:ind w:left="1288" w:hanging="720"/>
      </w:pPr>
      <w:rPr>
        <w:sz w:val="24"/>
        <w:b/>
      </w:rPr>
    </w:lvl>
    <w:lvl w:ilvl="2">
      <w:start w:val="1"/>
      <w:numFmt w:val="decimal"/>
      <w:lvlText w:val="%1.%2.%3."/>
      <w:lvlJc w:val="left"/>
      <w:pPr>
        <w:tabs>
          <w:tab w:val="num" w:pos="0"/>
        </w:tabs>
        <w:ind w:left="1856" w:hanging="720"/>
      </w:pPr>
      <w:rPr>
        <w:sz w:val="24"/>
        <w:b/>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95"/>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kern w:val="0"/>
      <w:sz w:val="28"/>
      <w:szCs w:val="28"/>
      <w:lang w:val="ru-RU" w:eastAsia="ru-RU" w:bidi="ar-SA"/>
    </w:rPr>
  </w:style>
  <w:style w:type="paragraph" w:styleId="1">
    <w:name w:val="Heading 1"/>
    <w:basedOn w:val="Normal"/>
    <w:next w:val="Normal"/>
    <w:link w:val="11"/>
    <w:qFormat/>
    <w:rsid w:val="00ae674d"/>
    <w:pPr>
      <w:keepNext w:val="true"/>
      <w:spacing w:before="240" w:after="60"/>
      <w:outlineLvl w:val="0"/>
    </w:pPr>
    <w:rPr>
      <w:rFonts w:ascii="Cambria" w:hAnsi="Cambria"/>
      <w:b/>
      <w:bCs/>
      <w:sz w:val="32"/>
      <w:szCs w:val="32"/>
      <w:lang w:val="x-none" w:eastAsia="x-none"/>
    </w:rPr>
  </w:style>
  <w:style w:type="paragraph" w:styleId="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3">
    <w:name w:val="Heading 3"/>
    <w:basedOn w:val="Normal"/>
    <w:next w:val="Normal"/>
    <w:link w:val="3"/>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11">
    <w:name w:val="Символ сноски"/>
    <w:qFormat/>
    <w:rPr>
      <w:vertAlign w:val="superscript"/>
    </w:rPr>
  </w:style>
  <w:style w:type="character" w:styleId="Style12">
    <w:name w:val="Привязка сноски"/>
    <w:rPr>
      <w:vertAlign w:val="superscript"/>
    </w:rPr>
  </w:style>
  <w:style w:type="character" w:styleId="FootnoteCharacters">
    <w:name w:val="Footnote Characters"/>
    <w:uiPriority w:val="99"/>
    <w:qFormat/>
    <w:rsid w:val="00d45657"/>
    <w:rPr>
      <w:vertAlign w:val="superscript"/>
    </w:rPr>
  </w:style>
  <w:style w:type="character" w:styleId="31" w:customStyle="1">
    <w:name w:val="Заголовок 3 Знак"/>
    <w:qFormat/>
    <w:rsid w:val="005f3f9e"/>
    <w:rPr>
      <w:b/>
      <w:sz w:val="28"/>
    </w:rPr>
  </w:style>
  <w:style w:type="character" w:styleId="32" w:customStyle="1">
    <w:name w:val="3. Подпункт Знак"/>
    <w:link w:val="33"/>
    <w:qFormat/>
    <w:rsid w:val="005f4a86"/>
    <w:rPr>
      <w:b/>
      <w:bCs/>
      <w:sz w:val="24"/>
      <w:szCs w:val="24"/>
    </w:rPr>
  </w:style>
  <w:style w:type="character" w:styleId="Style13" w:customStyle="1">
    <w:name w:val="Текст выноски Знак"/>
    <w:link w:val="BalloonText"/>
    <w:qFormat/>
    <w:rsid w:val="00dc2b59"/>
    <w:rPr>
      <w:rFonts w:ascii="Tahoma" w:hAnsi="Tahoma" w:cs="Tahoma"/>
      <w:sz w:val="16"/>
      <w:szCs w:val="16"/>
    </w:rPr>
  </w:style>
  <w:style w:type="character" w:styleId="11" w:customStyle="1">
    <w:name w:val="1. Статья Знак"/>
    <w:link w:val="12"/>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14" w:customStyle="1">
    <w:name w:val="Текст примечания Знак"/>
    <w:link w:val="Annotationtext"/>
    <w:qFormat/>
    <w:rsid w:val="00f50d64"/>
    <w:rPr/>
  </w:style>
  <w:style w:type="character" w:styleId="Style15" w:customStyle="1">
    <w:name w:val="Тема примечания Знак"/>
    <w:link w:val="Annotationsubject"/>
    <w:qFormat/>
    <w:rsid w:val="00f50d64"/>
    <w:rPr>
      <w:b/>
      <w:bCs/>
    </w:rPr>
  </w:style>
  <w:style w:type="character" w:styleId="Style16" w:customStyle="1">
    <w:name w:val="Нижний колонтитул Знак"/>
    <w:uiPriority w:val="99"/>
    <w:qFormat/>
    <w:rsid w:val="0043217c"/>
    <w:rPr>
      <w:sz w:val="28"/>
      <w:szCs w:val="28"/>
    </w:rPr>
  </w:style>
  <w:style w:type="character" w:styleId="33" w:customStyle="1">
    <w:name w:val="Основной текст 3 Знак"/>
    <w:link w:val="BodyText3"/>
    <w:qFormat/>
    <w:rsid w:val="001d2676"/>
    <w:rPr>
      <w:color w:val="0000FF"/>
      <w:sz w:val="24"/>
      <w:szCs w:val="24"/>
      <w:lang w:eastAsia="en-US"/>
    </w:rPr>
  </w:style>
  <w:style w:type="character" w:styleId="Style17" w:customStyle="1">
    <w:name w:val="Заголовок Знак"/>
    <w:qFormat/>
    <w:rsid w:val="00ae674d"/>
    <w:rPr>
      <w:sz w:val="22"/>
      <w:szCs w:val="22"/>
      <w:shd w:fill="FFFFFF" w:val="clear"/>
    </w:rPr>
  </w:style>
  <w:style w:type="character" w:styleId="12" w:customStyle="1">
    <w:name w:val="Заголовок 1 Знак"/>
    <w:qFormat/>
    <w:rsid w:val="00ae674d"/>
    <w:rPr>
      <w:rFonts w:ascii="Cambria" w:hAnsi="Cambria" w:eastAsia="Times New Roman" w:cs="Times New Roman"/>
      <w:b/>
      <w:bCs/>
      <w:sz w:val="32"/>
      <w:szCs w:val="32"/>
    </w:rPr>
  </w:style>
  <w:style w:type="character" w:styleId="21" w:customStyle="1">
    <w:name w:val="Заголовок 2 Знак"/>
    <w:semiHidden/>
    <w:qFormat/>
    <w:rsid w:val="00ae674d"/>
    <w:rPr>
      <w:rFonts w:ascii="Cambria" w:hAnsi="Cambria" w:eastAsia="Times New Roman" w:cs="Times New Roman"/>
      <w:b/>
      <w:bCs/>
      <w:i/>
      <w:iCs/>
      <w:sz w:val="28"/>
      <w:szCs w:val="28"/>
    </w:rPr>
  </w:style>
  <w:style w:type="character" w:styleId="Style18"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9" w:customStyle="1">
    <w:name w:val="Текст сноски Знак"/>
    <w:uiPriority w:val="99"/>
    <w:qFormat/>
    <w:rsid w:val="00f43f0d"/>
    <w:rPr/>
  </w:style>
  <w:style w:type="character" w:styleId="Style20">
    <w:name w:val="Интернет-ссылка"/>
    <w:uiPriority w:val="99"/>
    <w:unhideWhenUsed/>
    <w:rsid w:val="00ee68c6"/>
    <w:rPr>
      <w:color w:val="0000FF"/>
      <w:u w:val="single"/>
    </w:rPr>
  </w:style>
  <w:style w:type="character" w:styleId="Style21" w:customStyle="1">
    <w:name w:val="Текст концевой сноски Знак"/>
    <w:uiPriority w:val="99"/>
    <w:semiHidden/>
    <w:qFormat/>
    <w:rsid w:val="008c02d8"/>
    <w:rPr/>
  </w:style>
  <w:style w:type="character" w:styleId="Style22">
    <w:name w:val="Символ концевой сноски"/>
    <w:qFormat/>
    <w:rPr>
      <w:vertAlign w:val="superscript"/>
    </w:rPr>
  </w:style>
  <w:style w:type="character" w:styleId="Style23">
    <w:name w:val="Привязка концевой сноски"/>
    <w:rPr>
      <w:vertAlign w:val="superscript"/>
    </w:rPr>
  </w:style>
  <w:style w:type="character" w:styleId="EndnoteCharacters">
    <w:name w:val="Endnote Characters"/>
    <w:uiPriority w:val="99"/>
    <w:semiHidden/>
    <w:unhideWhenUsed/>
    <w:qFormat/>
    <w:rsid w:val="008c02d8"/>
    <w:rPr>
      <w:vertAlign w:val="superscript"/>
    </w:rPr>
  </w:style>
  <w:style w:type="character" w:styleId="Style24" w:customStyle="1">
    <w:name w:val="Абзац списка Знак"/>
    <w:link w:val="ListParagraph"/>
    <w:uiPriority w:val="34"/>
    <w:qFormat/>
    <w:locked/>
    <w:rsid w:val="00eb056f"/>
    <w:rPr>
      <w:sz w:val="24"/>
      <w:szCs w:val="24"/>
    </w:rPr>
  </w:style>
  <w:style w:type="character" w:styleId="Style25">
    <w:name w:val="Символы концевой сноски"/>
    <w:qFormat/>
    <w:rPr/>
  </w:style>
  <w:style w:type="character" w:styleId="Style26">
    <w:name w:val="Посещённая гиперссылка"/>
    <w:rPr>
      <w:color w:val="800080"/>
      <w:u w:val="single"/>
    </w:rPr>
  </w:style>
  <w:style w:type="character" w:styleId="WW8Num3z0">
    <w:name w:val="WW8Num3z0"/>
    <w:qFormat/>
    <w:rPr>
      <w:b/>
      <w:bCs/>
    </w:rPr>
  </w:style>
  <w:style w:type="character" w:styleId="WW8Num3z1">
    <w:name w:val="WW8Num3z1"/>
    <w:qFormat/>
    <w:rPr>
      <w:b w:val="false"/>
      <w:bCs/>
      <w:i w:val="false"/>
      <w:sz w:val="24"/>
      <w:szCs w:val="24"/>
      <w:shd w:fill="C0C0C0" w:val="clear"/>
      <w:lang w:eastAsia="en-US"/>
    </w:rPr>
  </w:style>
  <w:style w:type="character" w:styleId="WW8Num3z2">
    <w:name w:val="WW8Num3z2"/>
    <w:qFormat/>
    <w:rPr>
      <w:bCs/>
    </w:rPr>
  </w:style>
  <w:style w:type="character" w:styleId="EndnoteReference1">
    <w:name w:val="Endnote Reference1"/>
    <w:qFormat/>
    <w:rPr>
      <w:vertAlign w:val="superscript"/>
    </w:rPr>
  </w:style>
  <w:style w:type="character" w:styleId="FootnoteReference1">
    <w:name w:val="Footnote Reference1"/>
    <w:qFormat/>
    <w:rPr>
      <w:vertAlign w:val="superscript"/>
    </w:rPr>
  </w:style>
  <w:style w:type="character" w:styleId="EndnoteReference3">
    <w:name w:val="Endnote Reference3"/>
    <w:qFormat/>
    <w:rPr>
      <w:vertAlign w:val="superscript"/>
    </w:rPr>
  </w:style>
  <w:style w:type="character" w:styleId="FootnoteReference3">
    <w:name w:val="Footnote Reference3"/>
    <w:qFormat/>
    <w:rPr>
      <w:vertAlign w:val="superscript"/>
    </w:rPr>
  </w:style>
  <w:style w:type="character" w:styleId="EndnoteReference2">
    <w:name w:val="Endnote Reference2"/>
    <w:qFormat/>
    <w:rPr>
      <w:vertAlign w:val="superscript"/>
    </w:rPr>
  </w:style>
  <w:style w:type="character" w:styleId="FootnoteReference2">
    <w:name w:val="Footnote Reference2"/>
    <w:qFormat/>
    <w:rPr>
      <w:vertAlign w:val="superscript"/>
    </w:rPr>
  </w:style>
  <w:style w:type="character" w:styleId="EndnoteReference11">
    <w:name w:val="Endnote Reference11"/>
    <w:qFormat/>
    <w:rPr>
      <w:vertAlign w:val="superscript"/>
    </w:rPr>
  </w:style>
  <w:style w:type="character" w:styleId="WW">
    <w:name w:val="WW-Символы концевой сноски"/>
    <w:qFormat/>
    <w:rPr/>
  </w:style>
  <w:style w:type="character" w:styleId="FootnoteReference11">
    <w:name w:val="Footnote Reference11"/>
    <w:qFormat/>
    <w:rPr>
      <w:vertAlign w:val="superscript"/>
    </w:rPr>
  </w:style>
  <w:style w:type="character" w:styleId="Style27">
    <w:name w:val="Название Знак"/>
    <w:qFormat/>
    <w:rPr>
      <w:b/>
      <w:bCs/>
      <w:sz w:val="24"/>
      <w:szCs w:val="24"/>
    </w:rPr>
  </w:style>
  <w:style w:type="character" w:styleId="Style28">
    <w:name w:val="Верхний колонтитул Знак"/>
    <w:qFormat/>
    <w:rPr>
      <w:sz w:val="24"/>
      <w:szCs w:val="24"/>
    </w:rPr>
  </w:style>
  <w:style w:type="character" w:styleId="Style29">
    <w:name w:val="Основной текст Знак"/>
    <w:qFormat/>
    <w:rPr>
      <w:sz w:val="24"/>
      <w:szCs w:val="24"/>
    </w:rPr>
  </w:style>
  <w:style w:type="character" w:styleId="Style30">
    <w:name w:val="Знак примечания"/>
    <w:qFormat/>
    <w:rPr>
      <w:sz w:val="16"/>
      <w:szCs w:val="16"/>
    </w:rPr>
  </w:style>
  <w:style w:type="character" w:styleId="Style31">
    <w:name w:val="Номер страницы"/>
    <w:basedOn w:val="Style32"/>
    <w:rPr/>
  </w:style>
  <w:style w:type="character" w:styleId="Style32">
    <w:name w:val="Основной шрифт абзаца"/>
    <w:qFormat/>
    <w:rPr/>
  </w:style>
  <w:style w:type="character" w:styleId="WW8Num29z0">
    <w:name w:val="WW8Num29z0"/>
    <w:qFormat/>
    <w:rPr/>
  </w:style>
  <w:style w:type="character" w:styleId="WW8Num28z2">
    <w:name w:val="WW8Num28z2"/>
    <w:qFormat/>
    <w:rPr>
      <w:rFonts w:ascii="Wingdings" w:hAnsi="Wingdings" w:cs="Wingdings"/>
    </w:rPr>
  </w:style>
  <w:style w:type="character" w:styleId="WW8Num28z1">
    <w:name w:val="WW8Num28z1"/>
    <w:qFormat/>
    <w:rPr>
      <w:rFonts w:ascii="Courier New" w:hAnsi="Courier New" w:cs="Courier New"/>
    </w:rPr>
  </w:style>
  <w:style w:type="character" w:styleId="WW8Num28z0">
    <w:name w:val="WW8Num28z0"/>
    <w:qFormat/>
    <w:rPr>
      <w:rFonts w:ascii="Symbol" w:hAnsi="Symbol" w:cs="Symbol"/>
    </w:rPr>
  </w:style>
  <w:style w:type="character" w:styleId="WW8Num27z0">
    <w:name w:val="WW8Num27z0"/>
    <w:qFormat/>
    <w:rPr/>
  </w:style>
  <w:style w:type="character" w:styleId="WW8Num26z0">
    <w:name w:val="WW8Num26z0"/>
    <w:qFormat/>
    <w:rPr/>
  </w:style>
  <w:style w:type="character" w:styleId="WW8Num25z2">
    <w:name w:val="WW8Num25z2"/>
    <w:qFormat/>
    <w:rPr>
      <w:rFonts w:ascii="Wingdings" w:hAnsi="Wingdings" w:cs="Wingdings"/>
    </w:rPr>
  </w:style>
  <w:style w:type="character" w:styleId="WW8Num25z1">
    <w:name w:val="WW8Num25z1"/>
    <w:qFormat/>
    <w:rPr>
      <w:rFonts w:ascii="Courier New" w:hAnsi="Courier New" w:cs="Courier New"/>
    </w:rPr>
  </w:style>
  <w:style w:type="character" w:styleId="WW8Num25z0">
    <w:name w:val="WW8Num25z0"/>
    <w:qFormat/>
    <w:rPr>
      <w:rFonts w:ascii="Symbol" w:hAnsi="Symbol" w:cs="Symbol"/>
    </w:rPr>
  </w:style>
  <w:style w:type="character" w:styleId="WW8Num24z8">
    <w:name w:val="WW8Num24z8"/>
    <w:qFormat/>
    <w:rPr/>
  </w:style>
  <w:style w:type="character" w:styleId="WW8Num24z7">
    <w:name w:val="WW8Num24z7"/>
    <w:qFormat/>
    <w:rPr/>
  </w:style>
  <w:style w:type="character" w:styleId="WW8Num24z6">
    <w:name w:val="WW8Num24z6"/>
    <w:qFormat/>
    <w:rPr/>
  </w:style>
  <w:style w:type="character" w:styleId="WW8Num24z5">
    <w:name w:val="WW8Num24z5"/>
    <w:qFormat/>
    <w:rPr/>
  </w:style>
  <w:style w:type="character" w:styleId="WW8Num24z4">
    <w:name w:val="WW8Num24z4"/>
    <w:qFormat/>
    <w:rPr/>
  </w:style>
  <w:style w:type="character" w:styleId="WW8Num24z3">
    <w:name w:val="WW8Num24z3"/>
    <w:qFormat/>
    <w:rPr/>
  </w:style>
  <w:style w:type="character" w:styleId="WW8Num24z2">
    <w:name w:val="WW8Num24z2"/>
    <w:qFormat/>
    <w:rPr>
      <w:b w:val="false"/>
      <w:sz w:val="24"/>
      <w:szCs w:val="24"/>
    </w:rPr>
  </w:style>
  <w:style w:type="character" w:styleId="WW8Num24z1">
    <w:name w:val="WW8Num24z1"/>
    <w:qFormat/>
    <w:rPr>
      <w:b w:val="false"/>
      <w:u w:val="none"/>
    </w:rPr>
  </w:style>
  <w:style w:type="character" w:styleId="WW8Num24z0">
    <w:name w:val="WW8Num24z0"/>
    <w:qFormat/>
    <w:rPr>
      <w:b/>
    </w:rPr>
  </w:style>
  <w:style w:type="character" w:styleId="WW8Num23z2">
    <w:name w:val="WW8Num23z2"/>
    <w:qFormat/>
    <w:rPr>
      <w:rFonts w:ascii="Wingdings" w:hAnsi="Wingdings" w:cs="Wingdings"/>
    </w:rPr>
  </w:style>
  <w:style w:type="character" w:styleId="WW8Num23z1">
    <w:name w:val="WW8Num23z1"/>
    <w:qFormat/>
    <w:rPr>
      <w:rFonts w:ascii="Courier New" w:hAnsi="Courier New" w:cs="Courier New"/>
    </w:rPr>
  </w:style>
  <w:style w:type="character" w:styleId="WW8Num23z0">
    <w:name w:val="WW8Num23z0"/>
    <w:qFormat/>
    <w:rPr>
      <w:rFonts w:ascii="Symbol" w:hAnsi="Symbol" w:cs="Symbol"/>
    </w:rPr>
  </w:style>
  <w:style w:type="character" w:styleId="WW8Num22z8">
    <w:name w:val="WW8Num22z8"/>
    <w:qFormat/>
    <w:rPr/>
  </w:style>
  <w:style w:type="character" w:styleId="WW8Num22z7">
    <w:name w:val="WW8Num22z7"/>
    <w:qFormat/>
    <w:rPr/>
  </w:style>
  <w:style w:type="character" w:styleId="WW8Num22z6">
    <w:name w:val="WW8Num22z6"/>
    <w:qFormat/>
    <w:rPr/>
  </w:style>
  <w:style w:type="character" w:styleId="WW8Num22z5">
    <w:name w:val="WW8Num22z5"/>
    <w:qFormat/>
    <w:rPr/>
  </w:style>
  <w:style w:type="character" w:styleId="WW8Num22z4">
    <w:name w:val="WW8Num22z4"/>
    <w:qFormat/>
    <w:rPr/>
  </w:style>
  <w:style w:type="character" w:styleId="WW8Num22z3">
    <w:name w:val="WW8Num22z3"/>
    <w:qFormat/>
    <w:rPr/>
  </w:style>
  <w:style w:type="character" w:styleId="WW8Num22z2">
    <w:name w:val="WW8Num22z2"/>
    <w:qFormat/>
    <w:rPr/>
  </w:style>
  <w:style w:type="character" w:styleId="WW8Num22z1">
    <w:name w:val="WW8Num22z1"/>
    <w:qFormat/>
    <w:rPr/>
  </w:style>
  <w:style w:type="character" w:styleId="WW8Num22z0">
    <w:name w:val="WW8Num22z0"/>
    <w:qFormat/>
    <w:rPr>
      <w:sz w:val="24"/>
      <w:szCs w:val="24"/>
    </w:rPr>
  </w:style>
  <w:style w:type="character" w:styleId="WW8Num21z2">
    <w:name w:val="WW8Num21z2"/>
    <w:qFormat/>
    <w:rPr>
      <w:rFonts w:ascii="Wingdings" w:hAnsi="Wingdings" w:cs="Wingdings"/>
    </w:rPr>
  </w:style>
  <w:style w:type="character" w:styleId="WW8Num21z1">
    <w:name w:val="WW8Num21z1"/>
    <w:qFormat/>
    <w:rPr>
      <w:rFonts w:ascii="Courier New" w:hAnsi="Courier New" w:cs="Courier New"/>
    </w:rPr>
  </w:style>
  <w:style w:type="character" w:styleId="WW8Num21z0">
    <w:name w:val="WW8Num21z0"/>
    <w:qFormat/>
    <w:rPr>
      <w:rFonts w:ascii="Symbol" w:hAnsi="Symbol" w:cs="Symbol"/>
    </w:rPr>
  </w:style>
  <w:style w:type="character" w:styleId="WW8Num20z8">
    <w:name w:val="WW8Num20z8"/>
    <w:qFormat/>
    <w:rPr/>
  </w:style>
  <w:style w:type="character" w:styleId="WW8Num20z7">
    <w:name w:val="WW8Num20z7"/>
    <w:qFormat/>
    <w:rPr/>
  </w:style>
  <w:style w:type="character" w:styleId="WW8Num20z6">
    <w:name w:val="WW8Num20z6"/>
    <w:qFormat/>
    <w:rPr/>
  </w:style>
  <w:style w:type="character" w:styleId="WW8Num20z5">
    <w:name w:val="WW8Num20z5"/>
    <w:qFormat/>
    <w:rPr/>
  </w:style>
  <w:style w:type="character" w:styleId="WW8Num20z4">
    <w:name w:val="WW8Num20z4"/>
    <w:qFormat/>
    <w:rPr/>
  </w:style>
  <w:style w:type="character" w:styleId="WW8Num20z3">
    <w:name w:val="WW8Num20z3"/>
    <w:qFormat/>
    <w:rPr/>
  </w:style>
  <w:style w:type="character" w:styleId="WW8Num20z2">
    <w:name w:val="WW8Num20z2"/>
    <w:qFormat/>
    <w:rPr>
      <w:b w:val="false"/>
      <w:sz w:val="24"/>
      <w:szCs w:val="24"/>
    </w:rPr>
  </w:style>
  <w:style w:type="character" w:styleId="WW8Num20z1">
    <w:name w:val="WW8Num20z1"/>
    <w:qFormat/>
    <w:rPr>
      <w:rFonts w:ascii="Symbol" w:hAnsi="Symbol" w:cs="Symbol"/>
      <w:b w:val="false"/>
      <w:u w:val="none"/>
    </w:rPr>
  </w:style>
  <w:style w:type="character" w:styleId="WW8Num20z0">
    <w:name w:val="WW8Num20z0"/>
    <w:qFormat/>
    <w:rPr>
      <w:b/>
    </w:rPr>
  </w:style>
  <w:style w:type="character" w:styleId="WW8Num19z2">
    <w:name w:val="WW8Num19z2"/>
    <w:qFormat/>
    <w:rPr>
      <w:rFonts w:ascii="Wingdings" w:hAnsi="Wingdings" w:cs="Wingdings"/>
    </w:rPr>
  </w:style>
  <w:style w:type="character" w:styleId="WW8Num19z1">
    <w:name w:val="WW8Num19z1"/>
    <w:qFormat/>
    <w:rPr>
      <w:rFonts w:ascii="Courier New" w:hAnsi="Courier New" w:cs="Courier New"/>
    </w:rPr>
  </w:style>
  <w:style w:type="character" w:styleId="WW8Num19z0">
    <w:name w:val="WW8Num19z0"/>
    <w:qFormat/>
    <w:rPr>
      <w:rFonts w:ascii="Symbol" w:hAnsi="Symbol" w:cs="Symbol"/>
    </w:rPr>
  </w:style>
  <w:style w:type="character" w:styleId="WW8Num18z0">
    <w:name w:val="WW8Num18z0"/>
    <w:qFormat/>
    <w:rPr/>
  </w:style>
  <w:style w:type="character" w:styleId="WW8Num17z8">
    <w:name w:val="WW8Num17z8"/>
    <w:qFormat/>
    <w:rPr/>
  </w:style>
  <w:style w:type="character" w:styleId="WW8Num17z7">
    <w:name w:val="WW8Num17z7"/>
    <w:qFormat/>
    <w:rPr/>
  </w:style>
  <w:style w:type="character" w:styleId="WW8Num17z6">
    <w:name w:val="WW8Num17z6"/>
    <w:qFormat/>
    <w:rPr/>
  </w:style>
  <w:style w:type="character" w:styleId="WW8Num17z5">
    <w:name w:val="WW8Num17z5"/>
    <w:qFormat/>
    <w:rPr/>
  </w:style>
  <w:style w:type="character" w:styleId="WW8Num17z4">
    <w:name w:val="WW8Num17z4"/>
    <w:qFormat/>
    <w:rPr/>
  </w:style>
  <w:style w:type="character" w:styleId="WW8Num17z3">
    <w:name w:val="WW8Num17z3"/>
    <w:qFormat/>
    <w:rPr/>
  </w:style>
  <w:style w:type="character" w:styleId="WW8Num17z2">
    <w:name w:val="WW8Num17z2"/>
    <w:qFormat/>
    <w:rPr/>
  </w:style>
  <w:style w:type="character" w:styleId="WW8Num17z1">
    <w:name w:val="WW8Num17z1"/>
    <w:qFormat/>
    <w:rPr/>
  </w:style>
  <w:style w:type="character" w:styleId="WW8Num17z0">
    <w:name w:val="WW8Num17z0"/>
    <w:qFormat/>
    <w:rPr>
      <w:b/>
    </w:rPr>
  </w:style>
  <w:style w:type="character" w:styleId="WW8Num16z3">
    <w:name w:val="WW8Num16z3"/>
    <w:qFormat/>
    <w:rPr>
      <w:rFonts w:ascii="Symbol" w:hAnsi="Symbol" w:cs="Symbol"/>
    </w:rPr>
  </w:style>
  <w:style w:type="character" w:styleId="WW8Num16z2">
    <w:name w:val="WW8Num16z2"/>
    <w:qFormat/>
    <w:rPr>
      <w:rFonts w:ascii="Wingdings" w:hAnsi="Wingdings" w:cs="Wingdings"/>
    </w:rPr>
  </w:style>
  <w:style w:type="character" w:styleId="WW8Num16z1">
    <w:name w:val="WW8Num16z1"/>
    <w:qFormat/>
    <w:rPr>
      <w:rFonts w:ascii="Courier New" w:hAnsi="Courier New" w:cs="Courier New"/>
    </w:rPr>
  </w:style>
  <w:style w:type="character" w:styleId="WW8Num16z0">
    <w:name w:val="WW8Num16z0"/>
    <w:qFormat/>
    <w:rPr>
      <w:rFonts w:ascii="Times New Roman" w:hAnsi="Times New Roman" w:cs="Times New Roman"/>
    </w:rPr>
  </w:style>
  <w:style w:type="character" w:styleId="WW8Num15z2">
    <w:name w:val="WW8Num15z2"/>
    <w:qFormat/>
    <w:rPr>
      <w:rFonts w:ascii="Wingdings" w:hAnsi="Wingdings" w:cs="Wingdings"/>
    </w:rPr>
  </w:style>
  <w:style w:type="character" w:styleId="WW8Num15z1">
    <w:name w:val="WW8Num15z1"/>
    <w:qFormat/>
    <w:rPr>
      <w:rFonts w:ascii="Courier New" w:hAnsi="Courier New" w:cs="Courier New"/>
    </w:rPr>
  </w:style>
  <w:style w:type="character" w:styleId="WW8Num15z0">
    <w:name w:val="WW8Num15z0"/>
    <w:qFormat/>
    <w:rPr>
      <w:rFonts w:ascii="Symbol" w:hAnsi="Symbol" w:cs="Symbol"/>
    </w:rPr>
  </w:style>
  <w:style w:type="character" w:styleId="WW8Num14z8">
    <w:name w:val="WW8Num14z8"/>
    <w:qFormat/>
    <w:rPr/>
  </w:style>
  <w:style w:type="character" w:styleId="WW8Num14z7">
    <w:name w:val="WW8Num14z7"/>
    <w:qFormat/>
    <w:rPr/>
  </w:style>
  <w:style w:type="character" w:styleId="WW8Num14z6">
    <w:name w:val="WW8Num14z6"/>
    <w:qFormat/>
    <w:rPr/>
  </w:style>
  <w:style w:type="character" w:styleId="WW8Num14z5">
    <w:name w:val="WW8Num14z5"/>
    <w:qFormat/>
    <w:rPr/>
  </w:style>
  <w:style w:type="character" w:styleId="WW8Num14z4">
    <w:name w:val="WW8Num14z4"/>
    <w:qFormat/>
    <w:rPr/>
  </w:style>
  <w:style w:type="character" w:styleId="WW8Num14z3">
    <w:name w:val="WW8Num14z3"/>
    <w:qFormat/>
    <w:rPr/>
  </w:style>
  <w:style w:type="character" w:styleId="WW8Num14z2">
    <w:name w:val="WW8Num14z2"/>
    <w:qFormat/>
    <w:rPr/>
  </w:style>
  <w:style w:type="character" w:styleId="WW8Num14z1">
    <w:name w:val="WW8Num14z1"/>
    <w:qFormat/>
    <w:rPr/>
  </w:style>
  <w:style w:type="character" w:styleId="WW8Num14z0">
    <w:name w:val="WW8Num14z0"/>
    <w:qFormat/>
    <w:rPr>
      <w:sz w:val="24"/>
      <w:szCs w:val="24"/>
    </w:rPr>
  </w:style>
  <w:style w:type="character" w:styleId="WW8Num13z0">
    <w:name w:val="WW8Num13z0"/>
    <w:qFormat/>
    <w:rPr/>
  </w:style>
  <w:style w:type="character" w:styleId="WW8Num12z2">
    <w:name w:val="WW8Num12z2"/>
    <w:qFormat/>
    <w:rPr>
      <w:rFonts w:ascii="Wingdings" w:hAnsi="Wingdings" w:cs="Wingdings"/>
    </w:rPr>
  </w:style>
  <w:style w:type="character" w:styleId="WW8Num12z1">
    <w:name w:val="WW8Num12z1"/>
    <w:qFormat/>
    <w:rPr>
      <w:rFonts w:ascii="Courier New" w:hAnsi="Courier New" w:cs="Courier New"/>
    </w:rPr>
  </w:style>
  <w:style w:type="character" w:styleId="WW8Num12z0">
    <w:name w:val="WW8Num12z0"/>
    <w:qFormat/>
    <w:rPr>
      <w:rFonts w:ascii="Symbol" w:hAnsi="Symbol" w:cs="Symbol"/>
    </w:rPr>
  </w:style>
  <w:style w:type="character" w:styleId="WW8Num9z2">
    <w:name w:val="WW8Num9z2"/>
    <w:qFormat/>
    <w:rPr>
      <w:rFonts w:ascii="Wingdings" w:hAnsi="Wingdings" w:cs="Wingdings"/>
    </w:rPr>
  </w:style>
  <w:style w:type="character" w:styleId="WW8Num9z1">
    <w:name w:val="WW8Num9z1"/>
    <w:qFormat/>
    <w:rPr>
      <w:rFonts w:ascii="Courier New" w:hAnsi="Courier New" w:cs="Courier New"/>
    </w:rPr>
  </w:style>
  <w:style w:type="character" w:styleId="WW8Num7z2">
    <w:name w:val="WW8Num7z2"/>
    <w:qFormat/>
    <w:rPr>
      <w:rFonts w:ascii="Wingdings" w:hAnsi="Wingdings" w:cs="Wingdings"/>
    </w:rPr>
  </w:style>
  <w:style w:type="character" w:styleId="WW8Num7z1">
    <w:name w:val="WW8Num7z1"/>
    <w:qFormat/>
    <w:rPr>
      <w:rFonts w:ascii="Courier New" w:hAnsi="Courier New" w:cs="Courier New"/>
    </w:rPr>
  </w:style>
  <w:style w:type="character" w:styleId="WW8Num2z2">
    <w:name w:val="WW8Num2z2"/>
    <w:qFormat/>
    <w:rPr>
      <w:rFonts w:ascii="Wingdings" w:hAnsi="Wingdings" w:cs="Wingdings"/>
    </w:rPr>
  </w:style>
  <w:style w:type="character" w:styleId="WW8Num2z1">
    <w:name w:val="WW8Num2z1"/>
    <w:qFormat/>
    <w:rPr>
      <w:rFonts w:ascii="Courier New" w:hAnsi="Courier New" w:cs="Courier New"/>
    </w:rPr>
  </w:style>
  <w:style w:type="character" w:styleId="WW8Num11z8">
    <w:name w:val="WW8Num11z8"/>
    <w:qFormat/>
    <w:rPr/>
  </w:style>
  <w:style w:type="character" w:styleId="WW8Num11z7">
    <w:name w:val="WW8Num11z7"/>
    <w:qFormat/>
    <w:rPr/>
  </w:style>
  <w:style w:type="character" w:styleId="WW8Num11z6">
    <w:name w:val="WW8Num11z6"/>
    <w:qFormat/>
    <w:rPr/>
  </w:style>
  <w:style w:type="character" w:styleId="WW8Num11z5">
    <w:name w:val="WW8Num11z5"/>
    <w:qFormat/>
    <w:rPr/>
  </w:style>
  <w:style w:type="character" w:styleId="WW8Num11z4">
    <w:name w:val="WW8Num11z4"/>
    <w:qFormat/>
    <w:rPr/>
  </w:style>
  <w:style w:type="character" w:styleId="WW8Num11z3">
    <w:name w:val="WW8Num11z3"/>
    <w:qFormat/>
    <w:rPr/>
  </w:style>
  <w:style w:type="character" w:styleId="WW8Num11z2">
    <w:name w:val="WW8Num11z2"/>
    <w:qFormat/>
    <w:rPr/>
  </w:style>
  <w:style w:type="character" w:styleId="WW8Num11z1">
    <w:name w:val="WW8Num11z1"/>
    <w:qFormat/>
    <w:rPr/>
  </w:style>
  <w:style w:type="character" w:styleId="WW8Num11z0">
    <w:name w:val="WW8Num11z0"/>
    <w:qFormat/>
    <w:rPr>
      <w:sz w:val="24"/>
      <w:szCs w:val="24"/>
    </w:rPr>
  </w:style>
  <w:style w:type="character" w:styleId="WW8Num10z8">
    <w:name w:val="WW8Num10z8"/>
    <w:qFormat/>
    <w:rPr/>
  </w:style>
  <w:style w:type="character" w:styleId="WW8Num10z7">
    <w:name w:val="WW8Num10z7"/>
    <w:qFormat/>
    <w:rPr/>
  </w:style>
  <w:style w:type="character" w:styleId="WW8Num10z6">
    <w:name w:val="WW8Num10z6"/>
    <w:qFormat/>
    <w:rPr/>
  </w:style>
  <w:style w:type="character" w:styleId="WW8Num10z5">
    <w:name w:val="WW8Num10z5"/>
    <w:qFormat/>
    <w:rPr/>
  </w:style>
  <w:style w:type="character" w:styleId="WW8Num10z4">
    <w:name w:val="WW8Num10z4"/>
    <w:qFormat/>
    <w:rPr/>
  </w:style>
  <w:style w:type="character" w:styleId="WW8Num10z3">
    <w:name w:val="WW8Num10z3"/>
    <w:qFormat/>
    <w:rPr/>
  </w:style>
  <w:style w:type="character" w:styleId="WW8Num10z2">
    <w:name w:val="WW8Num10z2"/>
    <w:qFormat/>
    <w:rPr/>
  </w:style>
  <w:style w:type="character" w:styleId="WW8Num10z1">
    <w:name w:val="WW8Num10z1"/>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WW8Num10z0">
    <w:name w:val="WW8Num10z0"/>
    <w:qFormat/>
    <w:rPr>
      <w:sz w:val="24"/>
      <w:szCs w:val="24"/>
      <w:shd w:fill="C0C0C0" w:val="clear"/>
    </w:rPr>
  </w:style>
  <w:style w:type="character" w:styleId="WW8Num9z0">
    <w:name w:val="WW8Num9z0"/>
    <w:qFormat/>
    <w:rPr>
      <w:rFonts w:ascii="Symbol" w:hAnsi="Symbol" w:cs="Symbol"/>
    </w:rPr>
  </w:style>
  <w:style w:type="character" w:styleId="WW8Num8z0">
    <w:name w:val="WW8Num8z0"/>
    <w:qFormat/>
    <w:rPr>
      <w:rFonts w:ascii="Symbol" w:hAnsi="Symbol" w:cs="Symbol"/>
    </w:rPr>
  </w:style>
  <w:style w:type="character" w:styleId="WW8Num7z0">
    <w:name w:val="WW8Num7z0"/>
    <w:qFormat/>
    <w:rPr>
      <w:rFonts w:ascii="Symbol" w:hAnsi="Symbol" w:cs="Symbol"/>
    </w:rPr>
  </w:style>
  <w:style w:type="character" w:styleId="WW8Num6z0">
    <w:name w:val="WW8Num6z0"/>
    <w:qFormat/>
    <w:rPr>
      <w:rFonts w:ascii="Symbol" w:hAnsi="Symbol" w:cs="Symbol"/>
    </w:rPr>
  </w:style>
  <w:style w:type="character" w:styleId="WW8Num5z2">
    <w:name w:val="WW8Num5z2"/>
    <w:qFormat/>
    <w:rPr/>
  </w:style>
  <w:style w:type="character" w:styleId="WW8Num5z1">
    <w:name w:val="WW8Num5z1"/>
    <w:qFormat/>
    <w:rPr>
      <w:b w:val="false"/>
      <w:bCs/>
      <w:i w:val="false"/>
    </w:rPr>
  </w:style>
  <w:style w:type="character" w:styleId="WW8Num5z0">
    <w:name w:val="WW8Num5z0"/>
    <w:qFormat/>
    <w:rPr>
      <w:b/>
    </w:rPr>
  </w:style>
  <w:style w:type="character" w:styleId="WW8Num4z2">
    <w:name w:val="WW8Num4z2"/>
    <w:qFormat/>
    <w:rPr>
      <w:bCs/>
      <w:sz w:val="24"/>
      <w:shd w:fill="C0C0C0" w:val="clear"/>
      <w:lang w:val="en-US"/>
    </w:rPr>
  </w:style>
  <w:style w:type="character" w:styleId="WW8Num4z1">
    <w:name w:val="WW8Num4z1"/>
    <w:qFormat/>
    <w:rPr>
      <w:bCs/>
      <w:i w:val="false"/>
      <w:sz w:val="24"/>
      <w:shd w:fill="C0C0C0" w:val="clear"/>
    </w:rPr>
  </w:style>
  <w:style w:type="character" w:styleId="WW8Num4z0">
    <w:name w:val="WW8Num4z0"/>
    <w:qFormat/>
    <w:rPr>
      <w:b/>
      <w:bCs/>
    </w:rPr>
  </w:style>
  <w:style w:type="character" w:styleId="WW8Num2z0">
    <w:name w:val="WW8Num2z0"/>
    <w:qFormat/>
    <w:rPr>
      <w:rFonts w:ascii="Symbol" w:hAnsi="Symbol" w:cs="Symbol"/>
    </w:rPr>
  </w:style>
  <w:style w:type="paragraph" w:styleId="Style33">
    <w:name w:val="Заголовок"/>
    <w:basedOn w:val="Normal"/>
    <w:next w:val="Style34"/>
    <w:qFormat/>
    <w:pPr>
      <w:keepNext w:val="true"/>
      <w:spacing w:before="240" w:after="120"/>
    </w:pPr>
    <w:rPr>
      <w:rFonts w:ascii="Liberation Sans" w:hAnsi="Liberation Sans" w:eastAsia="WenQuanYi Zen Hei Sharp" w:cs="Lohit Devanagari"/>
      <w:sz w:val="28"/>
      <w:szCs w:val="28"/>
    </w:rPr>
  </w:style>
  <w:style w:type="paragraph" w:styleId="Style34">
    <w:name w:val="Body Text"/>
    <w:basedOn w:val="Normal"/>
    <w:rsid w:val="004b090f"/>
    <w:pPr>
      <w:spacing w:before="0" w:after="120"/>
    </w:pPr>
    <w:rPr/>
  </w:style>
  <w:style w:type="paragraph" w:styleId="Style35">
    <w:name w:val="List"/>
    <w:basedOn w:val="Style34"/>
    <w:pPr/>
    <w:rPr>
      <w:rFonts w:cs="Lohit Devanagari"/>
    </w:rPr>
  </w:style>
  <w:style w:type="paragraph" w:styleId="Style36">
    <w:name w:val="Caption"/>
    <w:basedOn w:val="Normal"/>
    <w:qFormat/>
    <w:pPr>
      <w:suppressLineNumbers/>
      <w:spacing w:before="120" w:after="120"/>
    </w:pPr>
    <w:rPr>
      <w:rFonts w:cs="Lohit Devanagari"/>
      <w:i/>
      <w:iCs/>
      <w:sz w:val="24"/>
      <w:szCs w:val="24"/>
    </w:rPr>
  </w:style>
  <w:style w:type="paragraph" w:styleId="Style37">
    <w:name w:val="Указатель"/>
    <w:basedOn w:val="Normal"/>
    <w:qFormat/>
    <w:pPr>
      <w:suppressLineNumbers/>
    </w:pPr>
    <w:rPr>
      <w:rFonts w:cs="Lohit Devanagari"/>
      <w:lang w:val="zxx" w:eastAsia="zxx" w:bidi="zxx"/>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38">
    <w:name w:val="Колонтитул"/>
    <w:basedOn w:val="Normal"/>
    <w:qFormat/>
    <w:pPr/>
    <w:rPr/>
  </w:style>
  <w:style w:type="paragraph" w:styleId="Style39">
    <w:name w:val="Header"/>
    <w:basedOn w:val="Normal"/>
    <w:rsid w:val="004b090f"/>
    <w:pPr>
      <w:tabs>
        <w:tab w:val="clear" w:pos="708"/>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40"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Style41">
    <w:name w:val="Footnote Text"/>
    <w:basedOn w:val="Normal"/>
    <w:link w:val="Style13"/>
    <w:uiPriority w:val="99"/>
    <w:rsid w:val="00d45657"/>
    <w:pPr>
      <w:spacing w:lineRule="auto" w:line="240"/>
      <w:ind w:hanging="0"/>
      <w:jc w:val="left"/>
    </w:pPr>
    <w:rPr>
      <w:sz w:val="20"/>
      <w:szCs w:val="20"/>
    </w:rPr>
  </w:style>
  <w:style w:type="paragraph" w:styleId="Style42"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2"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43"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44"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45" w:customStyle="1">
    <w:name w:val="Подпункт договора"/>
    <w:basedOn w:val="Normal"/>
    <w:qFormat/>
    <w:rsid w:val="00617a62"/>
    <w:pPr>
      <w:tabs>
        <w:tab w:val="clear" w:pos="708"/>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link w:val="Style16"/>
    <w:uiPriority w:val="34"/>
    <w:qFormat/>
    <w:rsid w:val="005f3f9e"/>
    <w:pPr>
      <w:spacing w:lineRule="auto" w:line="240" w:before="0" w:after="0"/>
      <w:ind w:left="720" w:hanging="0"/>
      <w:contextualSpacing/>
      <w:jc w:val="left"/>
    </w:pPr>
    <w:rPr>
      <w:sz w:val="24"/>
      <w:szCs w:val="24"/>
    </w:rPr>
  </w:style>
  <w:style w:type="paragraph" w:styleId="13" w:customStyle="1">
    <w:name w:val="1. Статья"/>
    <w:basedOn w:val="3"/>
    <w:link w:val="1"/>
    <w:qFormat/>
    <w:rsid w:val="005f4a86"/>
    <w:pPr>
      <w:keepNext w:val="false"/>
      <w:widowControl w:val="false"/>
      <w:tabs>
        <w:tab w:val="clear" w:pos="708"/>
        <w:tab w:val="left" w:pos="2340" w:leader="none"/>
      </w:tabs>
      <w:suppressAutoHyphens w:val="false"/>
      <w:overflowPunct w:val="true"/>
      <w:spacing w:before="0" w:after="0"/>
      <w:ind w:right="1462" w:hanging="0"/>
      <w:jc w:val="center"/>
      <w:textAlignment w:val="baseline"/>
    </w:pPr>
    <w:rPr>
      <w:b w:val="false"/>
      <w:sz w:val="24"/>
      <w:szCs w:val="24"/>
    </w:rPr>
  </w:style>
  <w:style w:type="paragraph" w:styleId="23" w:customStyle="1">
    <w:name w:val="2. Пункт"/>
    <w:basedOn w:val="3"/>
    <w:qFormat/>
    <w:rsid w:val="005f4a86"/>
    <w:pPr>
      <w:keepNext w:val="false"/>
      <w:widowControl w:val="false"/>
      <w:suppressAutoHyphens w:val="false"/>
      <w:overflowPunct w:val="true"/>
      <w:spacing w:before="0" w:after="0"/>
      <w:jc w:val="both"/>
      <w:textAlignment w:val="baseline"/>
    </w:pPr>
    <w:rPr>
      <w:b w:val="false"/>
      <w:sz w:val="24"/>
      <w:szCs w:val="24"/>
    </w:rPr>
  </w:style>
  <w:style w:type="paragraph" w:styleId="34" w:customStyle="1">
    <w:name w:val="3. Подпункт"/>
    <w:basedOn w:val="3"/>
    <w:link w:val="31"/>
    <w:qFormat/>
    <w:rsid w:val="005f4a86"/>
    <w:pPr>
      <w:keepNext w:val="false"/>
      <w:widowControl w:val="false"/>
      <w:tabs>
        <w:tab w:val="clear" w:pos="708"/>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00000A"/>
      <w:kern w:val="0"/>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link w:val="Style9"/>
    <w:qFormat/>
    <w:rsid w:val="00f50d64"/>
    <w:pPr/>
    <w:rPr>
      <w:b/>
      <w:bCs/>
    </w:rPr>
  </w:style>
  <w:style w:type="paragraph" w:styleId="Style46">
    <w:name w:val="Footer"/>
    <w:basedOn w:val="Normal"/>
    <w:link w:val="Style10"/>
    <w:uiPriority w:val="99"/>
    <w:rsid w:val="0043217c"/>
    <w:pPr>
      <w:tabs>
        <w:tab w:val="clear" w:pos="708"/>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Style47" w:customStyle="1">
    <w:name w:val="Title"/>
    <w:basedOn w:val="Normal"/>
    <w:link w:val="Style11"/>
    <w:qFormat/>
    <w:rsid w:val="00ae674d"/>
    <w:pPr>
      <w:widowControl w:val="false"/>
      <w:overflowPunct w:val="true"/>
      <w:spacing w:lineRule="auto" w:line="240" w:before="0" w:after="120"/>
      <w:ind w:hanging="0"/>
      <w:jc w:val="center"/>
      <w:textAlignment w:val="baseline"/>
    </w:pPr>
    <w:rPr>
      <w:b/>
      <w:bCs/>
      <w:sz w:val="32"/>
      <w:szCs w:val="20"/>
    </w:rPr>
  </w:style>
  <w:style w:type="paragraph" w:styleId="Style48">
    <w:name w:val="Body Text Indent"/>
    <w:basedOn w:val="Normal"/>
    <w:link w:val="Style12"/>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clear" w:pos="708"/>
        <w:tab w:val="left" w:pos="920" w:leader="none"/>
      </w:tabs>
      <w:overflowPunct w:val="true"/>
      <w:spacing w:lineRule="auto" w:line="240" w:before="240" w:after="240"/>
      <w:ind w:left="704" w:hanging="5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4"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Style49" w:customStyle="1">
    <w:name w:val="Контракт-раздел"/>
    <w:basedOn w:val="Normal"/>
    <w:qFormat/>
    <w:rsid w:val="00f43f0d"/>
    <w:pPr>
      <w:keepNext w:val="true"/>
      <w:keepLines/>
      <w:tabs>
        <w:tab w:val="clear" w:pos="708"/>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Style50" w:customStyle="1">
    <w:name w:val="Контракт-пункт"/>
    <w:basedOn w:val="Normal"/>
    <w:qFormat/>
    <w:rsid w:val="00f43f0d"/>
    <w:pPr/>
    <w:rPr/>
  </w:style>
  <w:style w:type="paragraph" w:styleId="Style51" w:customStyle="1">
    <w:name w:val="Контракт-подпункт"/>
    <w:basedOn w:val="Normal"/>
    <w:qFormat/>
    <w:rsid w:val="00f43f0d"/>
    <w:pPr/>
    <w:rPr/>
  </w:style>
  <w:style w:type="paragraph" w:styleId="Style52" w:customStyle="1">
    <w:name w:val="Контракт-подподпункт"/>
    <w:basedOn w:val="Normal"/>
    <w:qFormat/>
    <w:rsid w:val="00f43f0d"/>
    <w:pPr/>
    <w:rPr/>
  </w:style>
  <w:style w:type="paragraph" w:styleId="EndnoteSymbol">
    <w:name w:val="Endnote Symbol"/>
    <w:basedOn w:val="Normal"/>
    <w:link w:val="Style14"/>
    <w:uiPriority w:val="99"/>
    <w:semiHidden/>
    <w:unhideWhenUsed/>
    <w:qFormat/>
    <w:rsid w:val="008c02d8"/>
    <w:pPr/>
    <w:rPr>
      <w:sz w:val="20"/>
      <w:szCs w:val="20"/>
      <w:lang w:val="x-none" w:eastAsia="x-none"/>
    </w:rPr>
  </w:style>
  <w:style w:type="paragraph" w:styleId="ConsPlusNonformat" w:customStyle="1">
    <w:name w:val="ConsPlusNonformat"/>
    <w:qFormat/>
    <w:rsid w:val="00034243"/>
    <w:pPr>
      <w:widowControl w:val="false"/>
      <w:suppressAutoHyphens w:val="true"/>
      <w:bidi w:val="0"/>
      <w:spacing w:before="0" w:after="0"/>
      <w:jc w:val="left"/>
    </w:pPr>
    <w:rPr>
      <w:rFonts w:ascii="Courier New" w:hAnsi="Courier New" w:eastAsia="Times New Roman" w:cs="Courier New"/>
      <w:color w:val="00000A"/>
      <w:kern w:val="0"/>
      <w:sz w:val="20"/>
      <w:szCs w:val="20"/>
      <w:lang w:val="ru-RU" w:eastAsia="ru-RU" w:bidi="ar-SA"/>
    </w:rPr>
  </w:style>
  <w:style w:type="paragraph" w:styleId="Style53">
    <w:name w:val="Содержимое таблицы"/>
    <w:basedOn w:val="Normal"/>
    <w:qFormat/>
    <w:pPr>
      <w:widowControl w:val="false"/>
      <w:suppressLineNumbers/>
    </w:pPr>
    <w:rPr/>
  </w:style>
  <w:style w:type="paragraph" w:styleId="Style54">
    <w:name w:val="Заголовок таблицы"/>
    <w:basedOn w:val="Style53"/>
    <w:qFormat/>
    <w:pPr>
      <w:suppressLineNumbers/>
      <w:jc w:val="center"/>
    </w:pPr>
    <w:rPr>
      <w:b/>
      <w:bCs/>
    </w:rPr>
  </w:style>
  <w:style w:type="paragraph" w:styleId="15">
    <w:name w:val="Знак Знак Знак Знак Знак Знак Знак Знак Знак1"/>
    <w:basedOn w:val="Normal"/>
    <w:qFormat/>
    <w:pPr>
      <w:spacing w:lineRule="exact" w:line="240" w:before="0" w:after="160"/>
      <w:jc w:val="both"/>
    </w:pPr>
    <w:rPr>
      <w:rFonts w:ascii="Verdana" w:hAnsi="Verdana" w:cs="Verdana"/>
      <w:sz w:val="22"/>
      <w:szCs w:val="20"/>
      <w:lang w:val="en-US"/>
    </w:rPr>
  </w:style>
  <w:style w:type="paragraph" w:styleId="35">
    <w:name w:val="Основной текст 3"/>
    <w:basedOn w:val="Normal"/>
    <w:qFormat/>
    <w:pPr>
      <w:jc w:val="both"/>
    </w:pPr>
    <w:rPr>
      <w:color w:val="0000FF"/>
      <w:lang w:val="ru-RU"/>
    </w:rPr>
  </w:style>
  <w:style w:type="paragraph" w:styleId="Style55">
    <w:name w:val="Абзац списка"/>
    <w:basedOn w:val="Normal"/>
    <w:qFormat/>
    <w:pPr>
      <w:ind w:left="708" w:right="0" w:hanging="0"/>
    </w:pPr>
    <w:rPr/>
  </w:style>
  <w:style w:type="paragraph" w:styleId="U">
    <w:name w:val="u"/>
    <w:basedOn w:val="Normal"/>
    <w:qFormat/>
    <w:pPr>
      <w:ind w:left="0" w:right="0" w:firstLine="390"/>
      <w:jc w:val="both"/>
    </w:pPr>
    <w:rPr/>
  </w:style>
  <w:style w:type="paragraph" w:styleId="Style56">
    <w:name w:val="Текст выноски"/>
    <w:basedOn w:val="Normal"/>
    <w:qFormat/>
    <w:pPr/>
    <w:rPr>
      <w:rFonts w:ascii="Tahoma" w:hAnsi="Tahoma" w:cs="Tahoma"/>
      <w:sz w:val="16"/>
      <w:szCs w:val="16"/>
    </w:rPr>
  </w:style>
  <w:style w:type="paragraph" w:styleId="Style57">
    <w:name w:val="Рецензия"/>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Style58">
    <w:name w:val="Тема примечания"/>
    <w:basedOn w:val="Style59"/>
    <w:next w:val="Style59"/>
    <w:qFormat/>
    <w:pPr/>
    <w:rPr>
      <w:b/>
      <w:bCs/>
    </w:rPr>
  </w:style>
  <w:style w:type="paragraph" w:styleId="Style59">
    <w:name w:val="Текст примечания"/>
    <w:basedOn w:val="Normal"/>
    <w:qFormat/>
    <w:pPr/>
    <w:rPr>
      <w:sz w:val="20"/>
      <w:szCs w:val="20"/>
    </w:rPr>
  </w:style>
  <w:style w:type="paragraph" w:styleId="Preformat">
    <w:name w:val="Preformat"/>
    <w:qFormat/>
    <w:pPr>
      <w:widowControl/>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2">
    <w:name w:val="Caption12"/>
    <w:basedOn w:val="Normal"/>
    <w:qFormat/>
    <w:pPr>
      <w:suppressLineNumbers/>
      <w:spacing w:before="120" w:after="120"/>
    </w:pPr>
    <w:rPr>
      <w:rFonts w:cs="Lohit Devanagari"/>
      <w:i/>
      <w:iCs/>
      <w:sz w:val="24"/>
      <w:szCs w:val="24"/>
    </w:rPr>
  </w:style>
  <w:style w:type="paragraph" w:styleId="Caption2">
    <w:name w:val="Caption2"/>
    <w:basedOn w:val="Normal"/>
    <w:qFormat/>
    <w:pPr>
      <w:suppressLineNumbers/>
      <w:spacing w:before="120" w:after="120"/>
    </w:pPr>
    <w:rPr>
      <w:rFonts w:cs="Lohit Devanagari"/>
      <w:i/>
      <w:iCs/>
      <w:sz w:val="24"/>
      <w:szCs w:val="24"/>
    </w:rPr>
  </w:style>
  <w:style w:type="numbering" w:styleId="NoList" w:default="1">
    <w:name w:val="No List"/>
    <w:uiPriority w:val="99"/>
    <w:semiHidden/>
    <w:unhideWhenUsed/>
    <w:qFormat/>
  </w:style>
  <w:style w:type="numbering" w:styleId="WW8Num3">
    <w:name w:val="WW8Num3"/>
    <w:qFormat/>
  </w:style>
  <w:style w:type="numbering" w:styleId="WW8Num1">
    <w:name w:val="WW8Num1"/>
    <w:qFormat/>
  </w:style>
  <w:style w:type="numbering" w:styleId="WW8Num2">
    <w:name w:val="WW8Num2"/>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hyperlink" Target="http://www.asv.org.ru/" TargetMode="External"/><Relationship Id="rId7" Type="http://schemas.openxmlformats.org/officeDocument/2006/relationships/header" Target="header4.xml"/><Relationship Id="rId8" Type="http://schemas.openxmlformats.org/officeDocument/2006/relationships/footer" Target="footer2.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
</Relationships>
</file>

<file path=word/_rels/footnotes.xml.rels><?xml version="1.0" encoding="UTF-8"?>
<Relationships xmlns="http://schemas.openxmlformats.org/package/2006/relationships"><Relationship Id="rId1" Type="http://schemas.openxmlformats.org/officeDocument/2006/relationships/hyperlink" Target="https://drsk.ru/investors/disclosure/dokumenty/vnutrennie-dokumenty-obshchestva/inye-dokumenty/"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3.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4E2AD82-D1EB-4284-8D11-F3C9914CEAA4}">
  <ds:schemaRefs>
    <ds:schemaRef ds:uri="http://schemas.openxmlformats.org/officeDocument/2006/bibliography"/>
  </ds:schemaRefs>
</ds:datastoreItem>
</file>

<file path=customXml/itemProps5.xml><?xml version="1.0" encoding="utf-8"?>
<ds:datastoreItem xmlns:ds="http://schemas.openxmlformats.org/officeDocument/2006/customXml" ds:itemID="{D860E618-2792-4039-A106-AE9FF5A7B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Application>LibreOffice/7.1.8.1$Linux_X86_64 LibreOffice_project/10$Build-1</Application>
  <AppVersion>15.0000</AppVersion>
  <Pages>32</Pages>
  <Words>11151</Words>
  <Characters>80010</Characters>
  <CharactersWithSpaces>90870</CharactersWithSpaces>
  <Paragraphs>547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2022-11-01T07:37:00Z</dcterms:created>
  <dc:creator>UK VoHEC</dc:creator>
  <dc:description/>
  <dc:language>ru-RU</dc:language>
  <cp:lastModifiedBy/>
  <cp:lastPrinted>2020-03-18T05:20:00Z</cp:lastPrinted>
  <dcterms:modified xsi:type="dcterms:W3CDTF">2026-11-03T08:29:41Z</dcterms:modified>
  <cp:revision>71</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