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360" w:hanging="0"/>
        <w:jc w:val="right"/>
        <w:rPr>
          <w:b/>
          <w:szCs w:val="22"/>
        </w:rPr>
      </w:pPr>
      <w:r>
        <w:rPr>
          <w:b/>
          <w:szCs w:val="22"/>
        </w:rPr>
        <w:t>Приложение №1</w:t>
      </w:r>
    </w:p>
    <w:p>
      <w:pPr>
        <w:pStyle w:val="Normal"/>
        <w:ind w:left="360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360" w:hanging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 закупку</w:t>
      </w:r>
    </w:p>
    <w:p>
      <w:pPr>
        <w:pStyle w:val="Normal"/>
        <w:ind w:left="360" w:hanging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ОКПД2 95.11.10.000 Услуги по техническому обслуживанию и ремонт оргтехники для филиала АО «ДРСК» «Южно-Якутские электрические сети» </w:t>
      </w:r>
    </w:p>
    <w:p>
      <w:pPr>
        <w:pStyle w:val="Normal"/>
        <w:ind w:left="360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jc w:val="both"/>
        <w:rPr>
          <w:sz w:val="24"/>
        </w:rPr>
      </w:pPr>
      <w:r>
        <w:rPr>
          <w:b/>
          <w:bCs/>
          <w:sz w:val="24"/>
        </w:rPr>
        <w:t>Сроки (периоды) проведения работ</w:t>
      </w:r>
      <w:r>
        <w:rPr>
          <w:sz w:val="24"/>
        </w:rPr>
        <w:t>: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Работы будут осуществляться по заявкам Заказчика:</w:t>
      </w:r>
    </w:p>
    <w:p>
      <w:pPr>
        <w:pStyle w:val="Normal"/>
        <w:ind w:left="720" w:hanging="0"/>
        <w:jc w:val="both"/>
        <w:rPr/>
      </w:pPr>
      <w:r>
        <w:rPr>
          <w:sz w:val="24"/>
        </w:rPr>
        <w:t>- с 01.01.2027 по 31.12.2027;</w:t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306"/>
          <w:tab w:val="left" w:pos="7125" w:leader="none"/>
        </w:tabs>
        <w:spacing w:lineRule="auto" w:line="240"/>
        <w:ind w:left="714" w:hanging="357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Срок исполнения работ по техническому обслуживанию средств оргтехники (принтеров, МФУ, сканеров </w:t>
      </w:r>
      <w:r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 xml:space="preserve"> периферийного оборудования):</w:t>
      </w:r>
    </w:p>
    <w:tbl>
      <w:tblPr>
        <w:tblW w:w="9209" w:type="dxa"/>
        <w:jc w:val="left"/>
        <w:tblInd w:w="-25" w:type="dxa"/>
        <w:tblLayout w:type="fixed"/>
        <w:tblCellMar>
          <w:top w:w="0" w:type="dxa"/>
          <w:left w:w="78" w:type="dxa"/>
          <w:bottom w:w="0" w:type="dxa"/>
          <w:right w:w="108" w:type="dxa"/>
        </w:tblCellMar>
        <w:tblLook w:val="00a0" w:noVBand="0" w:noHBand="0" w:lastColumn="0" w:firstColumn="1" w:lastRow="0" w:firstRow="1"/>
      </w:tblPr>
      <w:tblGrid>
        <w:gridCol w:w="558"/>
        <w:gridCol w:w="2480"/>
        <w:gridCol w:w="3050"/>
        <w:gridCol w:w="3120"/>
      </w:tblGrid>
      <w:tr>
        <w:trPr>
          <w:trHeight w:val="1114" w:hRule="atLeast"/>
        </w:trPr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Начало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обслуживания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Окончание обслуживания</w:t>
            </w:r>
          </w:p>
        </w:tc>
      </w:tr>
      <w:tr>
        <w:trPr/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1 уровня сложности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заявке заказчика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3-х рабочих дней при наличии з/ч</w:t>
            </w:r>
          </w:p>
        </w:tc>
      </w:tr>
      <w:tr>
        <w:trPr/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2 уровня сложности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заявке заказчика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3-х рабочих дней при наличии з/ч</w:t>
            </w:r>
          </w:p>
        </w:tc>
      </w:tr>
      <w:tr>
        <w:trPr/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3 уровня сложности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заявке заказчика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3-х рабочих дней при наличии з/ч</w:t>
            </w:r>
          </w:p>
        </w:tc>
      </w:tr>
      <w:tr>
        <w:trPr/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 специалиста по обслуживанию техники на месте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(для управления Филиала </w:t>
            </w:r>
            <w:r>
              <w:rPr>
                <w:sz w:val="24"/>
                <w:szCs w:val="24"/>
              </w:rPr>
              <w:t>ЮЯ</w:t>
            </w:r>
            <w:r>
              <w:rPr>
                <w:sz w:val="24"/>
                <w:szCs w:val="24"/>
              </w:rPr>
              <w:t>ЭС)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заявке заказчика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рабочих часов</w:t>
            </w:r>
          </w:p>
        </w:tc>
      </w:tr>
    </w:tbl>
    <w:p>
      <w:pPr>
        <w:pStyle w:val="Normal"/>
        <w:spacing w:before="0" w:after="0"/>
        <w:ind w:left="72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ind w:left="72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1-й уровень сложности работ – замена конструктивно простых и легкосъёмных элементов, не связанная с разборкой  техники, тестирование, настройка пользовательского меню.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2-й уровень сложности работ – замена узлов и блоков вычислительной техники, работы, связанные с разборкой вычислительной техники, регулировка, тестирование узлов, работа в сервисном меню, 2 и более видов работ 1-го уровня.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3-й уровень сложности работ – замена конструктивно сложных элементов вычислительной техники, работы, производимые на детальном уровне, связанные с разборкой узлов и блоков вычислительной техники, замена электронных плат, регулировка, 2 и более видов работ 2-го уровня. 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306"/>
          <w:tab w:val="left" w:pos="7125" w:leader="none"/>
        </w:tabs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Срок исполнения работ по техническому обслуживанию картриджей:</w:t>
      </w:r>
    </w:p>
    <w:tbl>
      <w:tblPr>
        <w:tblW w:w="8953" w:type="dxa"/>
        <w:jc w:val="center"/>
        <w:tblInd w:w="0" w:type="dxa"/>
        <w:tblLayout w:type="fixed"/>
        <w:tblCellMar>
          <w:top w:w="0" w:type="dxa"/>
          <w:left w:w="78" w:type="dxa"/>
          <w:bottom w:w="0" w:type="dxa"/>
          <w:right w:w="108" w:type="dxa"/>
        </w:tblCellMar>
        <w:tblLook w:val="00a0" w:noVBand="0" w:noHBand="0" w:lastColumn="0" w:firstColumn="1" w:lastRow="0" w:firstRow="1"/>
      </w:tblPr>
      <w:tblGrid>
        <w:gridCol w:w="562"/>
        <w:gridCol w:w="2836"/>
        <w:gridCol w:w="2553"/>
        <w:gridCol w:w="3001"/>
      </w:tblGrid>
      <w:tr>
        <w:trPr>
          <w:trHeight w:val="870" w:hRule="atLeast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Начало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обслуживания</w:t>
            </w:r>
          </w:p>
        </w:tc>
        <w:tc>
          <w:tcPr>
            <w:tcW w:w="3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Окончание обслуживания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Заправка типового картриджа лазерного принтера (удаление отработанного тонера, чистка, заправка тонером)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заявке заказчика</w:t>
            </w:r>
          </w:p>
        </w:tc>
        <w:tc>
          <w:tcPr>
            <w:tcW w:w="3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часа</w:t>
            </w:r>
          </w:p>
        </w:tc>
      </w:tr>
      <w:tr>
        <w:trPr/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Восстановление картриджа лазерного принтера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заявке заказчика</w:t>
            </w:r>
          </w:p>
        </w:tc>
        <w:tc>
          <w:tcPr>
            <w:tcW w:w="3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часа</w:t>
            </w:r>
          </w:p>
        </w:tc>
      </w:tr>
    </w:tbl>
    <w:p>
      <w:pPr>
        <w:pStyle w:val="Normal"/>
        <w:ind w:left="720" w:hanging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2"/>
        </w:numPr>
        <w:jc w:val="both"/>
        <w:rPr>
          <w:b/>
          <w:bCs/>
          <w:sz w:val="24"/>
        </w:rPr>
      </w:pPr>
      <w:r>
        <w:rPr>
          <w:b/>
          <w:bCs/>
          <w:sz w:val="24"/>
        </w:rPr>
        <w:t>Условия проведения работ</w:t>
      </w:r>
      <w:r>
        <w:rPr>
          <w:sz w:val="24"/>
        </w:rPr>
        <w:t>: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в стоимость работ по техническому обслуживанию средств вычислительной техники и картриджей не включает в себя стоимость запасных частей и расходных материалов.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в понятие «техническое обслуживание» не входит установка и сопровождение прикладного программного обеспечения.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объем работ определяется по согласованию с Заказчиком.</w:t>
      </w:r>
    </w:p>
    <w:p>
      <w:pPr>
        <w:pStyle w:val="Normal"/>
        <w:ind w:left="720" w:hanging="0"/>
        <w:jc w:val="both"/>
        <w:rPr>
          <w:color w:val="FF0000"/>
          <w:sz w:val="24"/>
        </w:rPr>
      </w:pPr>
      <w:r>
        <w:rPr>
          <w:color w:val="FF0000"/>
          <w:sz w:val="24"/>
        </w:rPr>
      </w:r>
    </w:p>
    <w:p>
      <w:pPr>
        <w:pStyle w:val="Normal"/>
        <w:numPr>
          <w:ilvl w:val="0"/>
          <w:numId w:val="2"/>
        </w:numPr>
        <w:jc w:val="both"/>
        <w:rPr>
          <w:b/>
          <w:bCs/>
          <w:sz w:val="24"/>
        </w:rPr>
      </w:pPr>
      <w:r>
        <w:rPr>
          <w:b/>
          <w:bCs/>
          <w:sz w:val="24"/>
        </w:rPr>
        <w:t>Общие (обязательные) требования к используемым материалам и запасным частям: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материалы и запасные части должны обеспечивать полную совместимость с оборудованием и при использовании не влиять на прекращение (сокращение) гарантийных обязательств на оборудование и сокращение ресурса их работы, заявленные производителем оборудования.</w:t>
      </w:r>
    </w:p>
    <w:p>
      <w:pPr>
        <w:pStyle w:val="Normal"/>
        <w:ind w:left="720" w:hanging="0"/>
        <w:jc w:val="both"/>
        <w:rPr>
          <w:b/>
          <w:bCs/>
          <w:sz w:val="24"/>
        </w:rPr>
      </w:pPr>
      <w:r>
        <w:rPr>
          <w:sz w:val="24"/>
        </w:rPr>
        <w:t>- материалы и запасные части должны соответствовать требованиям, установленным законодательством Российской Федерации.</w:t>
      </w:r>
    </w:p>
    <w:p>
      <w:pPr>
        <w:pStyle w:val="Normal"/>
        <w:ind w:left="720" w:hanging="0"/>
        <w:jc w:val="both"/>
        <w:rPr>
          <w:b/>
          <w:bCs/>
          <w:sz w:val="24"/>
        </w:rPr>
      </w:pPr>
      <w:r>
        <w:rPr>
          <w:sz w:val="24"/>
        </w:rPr>
        <w:t>- поставляемый расходный материал не должен иметь дефектов, связанных с конструкцией, материалами или работой по их изготовлению;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категорически запрещается поставлять расходные материалы с просроченным сроком годности.</w:t>
      </w:r>
    </w:p>
    <w:p>
      <w:pPr>
        <w:pStyle w:val="Normal"/>
        <w:ind w:left="720" w:hanging="0"/>
        <w:jc w:val="both"/>
        <w:rPr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Normal"/>
        <w:numPr>
          <w:ilvl w:val="0"/>
          <w:numId w:val="2"/>
        </w:numPr>
        <w:jc w:val="both"/>
        <w:rPr>
          <w:b/>
          <w:bCs/>
          <w:sz w:val="24"/>
        </w:rPr>
      </w:pPr>
      <w:r>
        <w:rPr>
          <w:b/>
          <w:bCs/>
          <w:sz w:val="24"/>
        </w:rPr>
        <w:t>Требования по сроку гарантий качества</w:t>
      </w:r>
      <w:r>
        <w:rPr>
          <w:sz w:val="24"/>
        </w:rPr>
        <w:t>: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срок гарантии на произведенные работы должен быть не менее 6 месяцев.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0"/>
          <w:numId w:val="2"/>
        </w:numPr>
        <w:jc w:val="both"/>
        <w:rPr>
          <w:b/>
          <w:bCs/>
          <w:sz w:val="24"/>
        </w:rPr>
      </w:pPr>
      <w:r>
        <w:rPr>
          <w:b/>
          <w:bCs/>
          <w:sz w:val="24"/>
        </w:rPr>
        <w:t>Требования к Участнику закупки</w:t>
      </w:r>
      <w:r>
        <w:rPr>
          <w:i/>
          <w:iCs/>
          <w:sz w:val="24"/>
        </w:rPr>
        <w:t>: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в случае выхода из строя оргтехники по причине оказания некачественных услуг, все расходы по ремонту (замене) оргтехники несет Исполнитель.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 xml:space="preserve">- в составе своей заявки Участник предоставляет расчет стоимости единичных расценок, согласно таблице: </w:t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center"/>
        <w:rPr/>
      </w:pPr>
      <w:r>
        <w:rPr>
          <w:b/>
        </w:rPr>
        <w:t>Стоимость единичных расценок:</w:t>
      </w:r>
    </w:p>
    <w:p>
      <w:pPr>
        <w:pStyle w:val="Normal"/>
        <w:ind w:left="720" w:hanging="0"/>
        <w:jc w:val="center"/>
        <w:rPr>
          <w:b/>
        </w:rPr>
      </w:pPr>
      <w:r>
        <w:rPr/>
      </w:r>
    </w:p>
    <w:tbl>
      <w:tblPr>
        <w:tblW w:w="9813" w:type="dxa"/>
        <w:jc w:val="left"/>
        <w:tblInd w:w="108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738"/>
        <w:gridCol w:w="6350"/>
        <w:gridCol w:w="675"/>
        <w:gridCol w:w="625"/>
        <w:gridCol w:w="1425"/>
      </w:tblGrid>
      <w:tr>
        <w:trPr/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rFonts w:cs="Calibri" w:ascii="Calibri" w:hAnsi="Calibri"/>
                <w:b/>
                <w:bCs/>
                <w:color w:val="000000"/>
                <w:kern w:val="0"/>
                <w:sz w:val="20"/>
                <w:szCs w:val="24"/>
              </w:rPr>
              <w:t xml:space="preserve">№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0"/>
                <w:szCs w:val="24"/>
              </w:rPr>
              <w:t>п/п</w:t>
            </w:r>
          </w:p>
        </w:tc>
        <w:tc>
          <w:tcPr>
            <w:tcW w:w="6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>
              <w:rPr>
                <w:rFonts w:cs="Calibri" w:ascii="Calibri" w:hAnsi="Calibri"/>
                <w:b/>
                <w:bCs/>
                <w:color w:val="000000"/>
                <w:kern w:val="0"/>
                <w:sz w:val="20"/>
                <w:szCs w:val="24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>
              <w:rPr>
                <w:rFonts w:cs="Calibri" w:ascii="Calibri" w:hAnsi="Calibri"/>
                <w:b/>
                <w:bCs/>
                <w:color w:val="000000"/>
                <w:kern w:val="0"/>
                <w:sz w:val="20"/>
                <w:szCs w:val="24"/>
              </w:rPr>
              <w:t xml:space="preserve">Ед. </w:t>
              <w:br/>
              <w:t>изм.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>
              <w:rPr>
                <w:rFonts w:cs="Calibri" w:ascii="Calibri" w:hAnsi="Calibri"/>
                <w:b/>
                <w:bCs/>
                <w:color w:val="000000"/>
                <w:kern w:val="0"/>
                <w:sz w:val="20"/>
                <w:szCs w:val="24"/>
              </w:rPr>
              <w:t>Кол-во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>
              <w:rPr>
                <w:rFonts w:cs="Calibri" w:ascii="Calibri" w:hAnsi="Calibri"/>
                <w:b/>
                <w:bCs/>
                <w:color w:val="000000"/>
                <w:kern w:val="0"/>
                <w:sz w:val="20"/>
                <w:szCs w:val="24"/>
              </w:rPr>
              <w:t>Цена продукции (товары / работы / услуги</w:t>
              <w:br/>
              <w:t>руб. без НДС)</w:t>
            </w:r>
          </w:p>
        </w:tc>
      </w:tr>
      <w:tr>
        <w:trPr/>
        <w:tc>
          <w:tcPr>
            <w:tcW w:w="981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6"/>
              <w:jc w:val="center"/>
              <w:rPr>
                <w:rFonts w:ascii="Liberation Sans" w:hAnsi="Liberation Sans" w:cs="Calibri"/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b/>
                <w:bCs/>
                <w:i/>
                <w:iCs/>
                <w:color w:val="000000"/>
                <w:sz w:val="20"/>
                <w:szCs w:val="20"/>
              </w:rPr>
              <w:t>Вызов и диагностика</w:t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Вызов г. Алдан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Вызов пгт. Нижний Куранах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981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6"/>
              <w:jc w:val="center"/>
              <w:rPr>
                <w:rFonts w:ascii="Liberation Sans" w:hAnsi="Liberation Sans" w:cs="Calibri"/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b/>
                <w:bCs/>
                <w:i/>
                <w:iCs/>
                <w:color w:val="000000"/>
                <w:sz w:val="20"/>
                <w:szCs w:val="20"/>
              </w:rPr>
              <w:t>профилактика /диагностика</w:t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Профилактика лазерного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Профилактика лазерного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Диагностика лазерного принтера А4 при отказе от ремонта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Диагностика лазерного принтера А3 при отказе от ремонта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Диагностика лазерного МФУ А4 при отказе от ремонта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Диагностика лазерного МФУ А3 при отказе от ремонта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Профилактика ч/б лазерного принтера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Профилактика ч/б лазерного принтера А4 до 25 стр./мин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Расширенная профилактика ч/б лазерного принтера А4 до 25 стр./мин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981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6"/>
              <w:jc w:val="center"/>
              <w:rPr>
                <w:rFonts w:ascii="Liberation Sans" w:hAnsi="Liberation Sans" w:cs="Calibri"/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b/>
                <w:bCs/>
                <w:i/>
                <w:iCs/>
                <w:color w:val="000000"/>
                <w:sz w:val="20"/>
                <w:szCs w:val="20"/>
              </w:rPr>
              <w:t>Ремонт цветных лазерных принтеров и МФУ с лазерной печатью</w:t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Диагностика цветного лазерного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Диагностика цветного лазерного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Диагностика цветного лазерного принтера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Диагностика цветного лазерного принтера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Профилактика цветного лазерного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Профилактика цветного лазерного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Профилактика цветного лазерного принтера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Профилактика цветного лазерного принтера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Профилактика цветного лазерного принтера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Расширенная профилактика цветного лазерного принтера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Расширенная профилактика цветного лазерного принтера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узла цветного лазерного принтера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узла цветного лазерного принтера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Очистка (профилактика) блока лазера цветного принтера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981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6"/>
              <w:jc w:val="center"/>
              <w:rPr>
                <w:rFonts w:ascii="Liberation Sans" w:hAnsi="Liberation Sans" w:cs="Calibri"/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b/>
                <w:bCs/>
                <w:i/>
                <w:iCs/>
                <w:color w:val="000000"/>
                <w:sz w:val="20"/>
                <w:szCs w:val="20"/>
              </w:rPr>
              <w:t>Ремонт лазерных принтеров и МФУ A4</w:t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(замена роликов подачи бумаги)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узла регистрации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Замена фотобарабана в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блока лазера принтера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блока питания лазерного принтера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( замен магнитного вала)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(замена) кнопки копира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автоподатчика копира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блока питания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платы форматирования лазерного принтера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высоковольтного блока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узла проявки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узла сканирования лазерного МФУ А 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корпуса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механического узла копира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платы электроники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редуктора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узла закрепления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узла протяжки бумаги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электромагнитной муфты привода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Ремонт/замена датчика копира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Устранение кода ошибки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Устранение посторонних предметов, замятия бумаги в копире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узла охлаждения МФУ А4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981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6"/>
              <w:jc w:val="center"/>
              <w:rPr>
                <w:rFonts w:ascii="Liberation Sans" w:hAnsi="Liberation Sans" w:cs="Calibri"/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b/>
                <w:bCs/>
                <w:i/>
                <w:iCs/>
                <w:color w:val="000000"/>
                <w:sz w:val="20"/>
                <w:szCs w:val="20"/>
              </w:rPr>
              <w:t>Ремонт лазерных принтеров и  МФУ A3</w:t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(замена роликов подачи бумаги)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51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узла регистрации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Замена фотобарабана в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53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( замен магнитного вала)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(замена) кнопки копира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55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платы форматирования лазерного принтера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56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узла проявки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57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автоподатчика копира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блока питания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59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высоковольтного блока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корпуса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механического узла копира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62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платы электроники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редуктора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64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узла закрепления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узла протяжки бумаги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электромагнитной муфты привода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67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Ремонт/замена датчика копира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68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Устранение кода ошибки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69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Устранение посторонних предметов, замятия бумаги в копире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70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узла охлаждения МФУ А3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981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6"/>
              <w:jc w:val="center"/>
              <w:rPr>
                <w:rFonts w:ascii="Liberation Sans" w:hAnsi="Liberation Sans" w:cs="Calibri"/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b/>
                <w:bCs/>
                <w:i/>
                <w:iCs/>
                <w:color w:val="000000"/>
                <w:sz w:val="20"/>
                <w:szCs w:val="20"/>
              </w:rPr>
              <w:t xml:space="preserve">Ремонт, ТО и ЗИП широкоформатного оборудования, Форматов А0, А1, А2 </w:t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71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Диагностика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Диагностика широкоформатного оборудования А1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73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Диагностика широкоформатного оборудования А2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Техническое обслуживание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75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Техническое обслуживание широкоформатного оборудования А1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76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Техническое обслуживание широкоформатного оборудования А2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77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1 не требующий замены или восстановления узлов и деталей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78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2 требующий замены узлов или деталей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79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3 требующий замены и восстановления узлов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1 не требующий замены или восстановления узлов и деталей широкоформатного оборудования А1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81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2 требующий замены узлов или деталей широкоформатного оборудования А1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82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3 требующий замены и восстановления узлов широкоформатного оборудования А1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83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Замена роликов бумага протяжного механизма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84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Техническое обслуживание широкоформатного оборудования А1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85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Техническое обслуживание широкоформатного оборудования А2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86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Прочистка и калибровка печатающей головки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87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Прочистка и калибровка печатающей головки широкоформатного оборудования А1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88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Прочистка и калибровка печатающей головки широкоформатного оборудования А2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89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Устранение кода ошибки широкоформатного оборудования А0, А1, А2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90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Ролик подачи бумаги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91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Ролик подачи бумаги широкоформатного оборудования А1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92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Ролик подачи бумаги широкоформатного оборудования А2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93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блока питания широкоформатного оборудования А0, А1, А2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94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отрезчика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95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Ремонт отрезчика широкоформатного оборудования А1, А2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Замена памперса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97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Замена памперса широкоформатного оборудования А1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98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Замена памперса широкоформатного оборудования А2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Замена ремня каретке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Замена ремня каретки широкоформатного оборудования А1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Замена ремня каретки широкоформатного оборудования А2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Прижимной ролик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Прижимной ролик широкоформатного оборудования А1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Прижимной ролик широкоформатного оборудования А2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Тормозная площадка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Тормозная площадка широкоформатного оборудования А1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Тормозная площадка широкоформатного оборудования А2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Чистка СНПЧ широкоформатного оборудования А0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Чистка СНПЧ широкоформатного оборудования А1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73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6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Чистка СНПЧ широкоформатного оборудования А2</w:t>
            </w:r>
          </w:p>
        </w:tc>
        <w:tc>
          <w:tcPr>
            <w:tcW w:w="67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Style16"/>
              <w:jc w:val="right"/>
              <w:rPr>
                <w:rFonts w:ascii="Liberation Sans" w:hAnsi="Liberation Sans" w:cs="Calibri"/>
                <w:color w:val="000000"/>
                <w:sz w:val="20"/>
                <w:szCs w:val="20"/>
              </w:rPr>
            </w:pPr>
            <w:r>
              <w:rPr>
                <w:rFonts w:cs="Calibri" w:ascii="Liberation Sans" w:hAnsi="Liberation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rPr/>
        <w:tc>
          <w:tcPr>
            <w:tcW w:w="8388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fill="DDEBF7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</w:rPr>
            </w:pPr>
            <w:r>
              <w:rPr>
                <w:rFonts w:cs="Calibri" w:ascii="Calibri" w:hAnsi="Calibri"/>
                <w:b/>
                <w:bCs/>
                <w:color w:val="002060"/>
                <w:kern w:val="0"/>
                <w:sz w:val="20"/>
                <w:szCs w:val="24"/>
              </w:rPr>
              <w:t>ИТОГО без НДС, руб.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4"/>
              </w:rPr>
            </w:pPr>
            <w:r>
              <w:rPr>
                <w:rFonts w:cs="Calibri" w:ascii="Calibri" w:hAnsi="Calibri"/>
                <w:b/>
                <w:bCs/>
                <w:color w:val="000000"/>
                <w:kern w:val="0"/>
                <w:sz w:val="20"/>
                <w:szCs w:val="24"/>
              </w:rPr>
            </w:r>
          </w:p>
        </w:tc>
      </w:tr>
      <w:tr>
        <w:trPr/>
        <w:tc>
          <w:tcPr>
            <w:tcW w:w="8388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fill="DDEBF7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kern w:val="0"/>
                <w:sz w:val="20"/>
                <w:szCs w:val="24"/>
              </w:rPr>
              <w:t>Кроме того, НДС, руб. (22%)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cs="Calibri" w:ascii="Calibri" w:hAnsi="Calibri"/>
                <w:color w:val="000000"/>
                <w:kern w:val="0"/>
                <w:sz w:val="20"/>
                <w:szCs w:val="24"/>
              </w:rPr>
            </w:r>
          </w:p>
        </w:tc>
      </w:tr>
      <w:tr>
        <w:trPr/>
        <w:tc>
          <w:tcPr>
            <w:tcW w:w="8388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fill="DDEBF7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kern w:val="0"/>
                <w:sz w:val="20"/>
                <w:szCs w:val="24"/>
              </w:rPr>
              <w:t>ИТОГО с НДС, руб.</w:t>
            </w:r>
          </w:p>
        </w:tc>
        <w:tc>
          <w:tcPr>
            <w:tcW w:w="1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cs="Calibri" w:ascii="Calibri" w:hAnsi="Calibri"/>
                <w:color w:val="000000"/>
                <w:kern w:val="0"/>
                <w:sz w:val="20"/>
                <w:szCs w:val="24"/>
              </w:rPr>
            </w:r>
          </w:p>
        </w:tc>
      </w:tr>
    </w:tbl>
    <w:p>
      <w:pPr>
        <w:pStyle w:val="Normal"/>
        <w:ind w:left="720" w:hanging="0"/>
        <w:jc w:val="center"/>
        <w:rPr>
          <w:b/>
        </w:rPr>
      </w:pPr>
      <w:r>
        <w:rPr/>
      </w:r>
    </w:p>
    <w:p>
      <w:pPr>
        <w:pStyle w:val="Normal"/>
        <w:ind w:left="720" w:hanging="0"/>
        <w:jc w:val="center"/>
        <w:rPr>
          <w:b/>
        </w:rPr>
      </w:pPr>
      <w:r>
        <w:rPr/>
      </w:r>
    </w:p>
    <w:p>
      <w:pPr>
        <w:pStyle w:val="Normal"/>
        <w:ind w:left="720" w:hanging="0"/>
        <w:jc w:val="center"/>
        <w:rPr>
          <w:b/>
        </w:rPr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913" w:right="850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30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0120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сновной текст Знак"/>
    <w:basedOn w:val="DefaultParagraphFont"/>
    <w:qFormat/>
    <w:rsid w:val="00f0120e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0" w:customStyle="1">
    <w:name w:val="Абзац списка Знак"/>
    <w:uiPriority w:val="34"/>
    <w:qFormat/>
    <w:locked/>
    <w:rsid w:val="00b13833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1" w:customStyle="1">
    <w:name w:val="Текст выноски Знак"/>
    <w:basedOn w:val="DefaultParagraphFont"/>
    <w:uiPriority w:val="99"/>
    <w:semiHidden/>
    <w:qFormat/>
    <w:rsid w:val="00b9525b"/>
    <w:rPr>
      <w:rFonts w:ascii="Segoe UI" w:hAnsi="Segoe UI" w:eastAsia="Times New Roman" w:cs="Segoe UI"/>
      <w:sz w:val="18"/>
      <w:szCs w:val="18"/>
      <w:lang w:eastAsia="ru-RU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rsid w:val="00f0120e"/>
    <w:pPr>
      <w:jc w:val="both"/>
    </w:pPr>
    <w:rPr>
      <w:sz w:val="24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1" w:customStyle="1">
    <w:name w:val="Заголовок1"/>
    <w:basedOn w:val="Normal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b13833"/>
    <w:pPr>
      <w:spacing w:lineRule="auto" w:line="360"/>
      <w:ind w:left="708" w:firstLine="567"/>
      <w:jc w:val="both"/>
    </w:pPr>
    <w:rPr>
      <w:sz w:val="28"/>
    </w:rPr>
  </w:style>
  <w:style w:type="paragraph" w:styleId="BalloonText">
    <w:name w:val="Balloon Text"/>
    <w:basedOn w:val="Normal"/>
    <w:uiPriority w:val="99"/>
    <w:semiHidden/>
    <w:unhideWhenUsed/>
    <w:qFormat/>
    <w:rsid w:val="00b9525b"/>
    <w:pPr/>
    <w:rPr>
      <w:rFonts w:ascii="Segoe UI" w:hAnsi="Segoe UI" w:cs="Segoe UI"/>
      <w:sz w:val="18"/>
      <w:szCs w:val="18"/>
    </w:rPr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  <w:style w:type="paragraph" w:styleId="Style16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b13833"/>
    <w:rPr>
      <w:sz w:val="24"/>
      <w:szCs w:val="24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Application>AlterOffice/3.4.0.9$Linux_X86_64 LibreOffice_project/b8daf9e823b1a5463a2f48435ddc2e8696e7d4fc</Application>
  <AppVersion>15.0000</AppVersion>
  <Pages>6</Pages>
  <Words>1483</Words>
  <Characters>8402</Characters>
  <CharactersWithSpaces>9371</CharactersWithSpaces>
  <Paragraphs>517</Paragraphs>
  <Company>ОА ДРСК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2020-08-31T00:57:00Z</dcterms:created>
  <dc:creator>Кривобоков Денис Алексеевич</dc:creator>
  <dc:description/>
  <dc:language>ru-RU</dc:language>
  <cp:lastModifiedBy>ushakov_av</cp:lastModifiedBy>
  <cp:lastPrinted>2020-08-31T00:11:00Z</cp:lastPrinted>
  <dcterms:modified xsi:type="dcterms:W3CDTF">2026-11-05T11:49:38Z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