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left="4962"/>
        <w:jc w:val="both"/>
        <w:rPr>
          <w:sz w:val="26"/>
          <w:szCs w:val="26"/>
        </w:rPr>
      </w:pPr>
      <w:r>
        <w:rPr/>
      </w:r>
    </w:p>
    <w:p>
      <w:pPr>
        <w:pStyle w:val="Normal"/>
        <w:keepNext w:val="true"/>
        <w:keepLines/>
        <w:ind w:hanging="0" w:left="4962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"/>
      <w:bookmarkStart w:id="1" w:name="_Toc137554584"/>
      <w:bookmarkStart w:id="2" w:name="_Toc139856287"/>
      <w:bookmarkStart w:id="3" w:name="_Toc141696704"/>
      <w:bookmarkStart w:id="4" w:name="_Toc13755458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75545841"/>
      <w:bookmarkStart w:id="7" w:name="_Toc1416967041"/>
      <w:bookmarkStart w:id="8" w:name="_Toc1398562871"/>
      <w:bookmarkStart w:id="9" w:name="_Toc1375545841"/>
      <w:bookmarkStart w:id="10" w:name="_Toc1416967041"/>
      <w:bookmarkStart w:id="11" w:name="_Toc1398562871"/>
      <w:bookmarkEnd w:id="9"/>
      <w:bookmarkEnd w:id="10"/>
      <w:bookmarkEnd w:id="11"/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 w:ascii="Times New Roman;Times;serif" w:hAnsi="Times New Roman;Times;serif"/>
          <w:b/>
          <w:sz w:val="26"/>
          <w:szCs w:val="26"/>
        </w:rPr>
        <w:t>ОКПД 2: 49.41.20.000. Оказание транспортных услуг по аренде с экипажем автомобильного гидроподъемника (автовышки) с рабочей высотой подъема не менее 15 метров в Хабаровском крае для нужд Дальневосточного филиала АО "ТК РусГидро".</w:t>
      </w:r>
    </w:p>
    <w:p>
      <w:pPr>
        <w:pStyle w:val="Normal"/>
        <w:spacing w:before="300" w:after="75"/>
        <w:jc w:val="center"/>
        <w:rPr>
          <w:rFonts w:eastAsia="Calibri"/>
          <w:b/>
          <w:sz w:val="26"/>
          <w:szCs w:val="26"/>
        </w:rPr>
      </w:pPr>
      <w:r>
        <w:rPr>
          <w:b/>
          <w:bCs/>
        </w:rPr>
        <w:t>№</w:t>
      </w:r>
      <w:r>
        <w:rPr>
          <w:rFonts w:eastAsia="Calibri" w:ascii="Helvetica" w:hAnsi="Helvetica" w:eastAsiaTheme="minorHAnsi"/>
          <w:color w:val="4682B4"/>
          <w:sz w:val="45"/>
          <w:szCs w:val="45"/>
        </w:rPr>
        <w:t xml:space="preserve"> </w:t>
      </w:r>
      <w:r>
        <w:rPr>
          <w:b/>
          <w:color w:val="000000" w:themeColor="text1"/>
          <w:sz w:val="26"/>
          <w:szCs w:val="26"/>
          <w:shd w:fill="FFFFFF" w:val="clear"/>
        </w:rPr>
        <w:t>_________________________________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color w:val="000000"/>
          <w:sz w:val="26"/>
          <w:szCs w:val="26"/>
          <w:shd w:fill="FFFFFF" w:val="clear"/>
        </w:rPr>
      </w:pPr>
      <w:r>
        <w:rPr>
          <w:rFonts w:eastAsia="Calibri"/>
          <w:b/>
          <w:color w:val="000000"/>
          <w:sz w:val="26"/>
          <w:szCs w:val="26"/>
          <w:shd w:fill="FFFFFF" w:val="clear"/>
        </w:rPr>
      </w:r>
    </w:p>
    <w:p>
      <w:pPr>
        <w:pStyle w:val="Normal"/>
        <w:jc w:val="center"/>
        <w:rPr>
          <w:rFonts w:eastAsia="Calibri"/>
          <w:b/>
          <w:sz w:val="26"/>
          <w:szCs w:val="26"/>
          <w:shd w:fill="FFFF00" w:val="clear"/>
        </w:rPr>
      </w:pPr>
      <w:r>
        <w:rPr>
          <w:rFonts w:eastAsia="Calibri"/>
          <w:b/>
          <w:sz w:val="26"/>
          <w:szCs w:val="26"/>
          <w:shd w:fill="FFFF00" w:val="clear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12" w:name="_Toc150444132"/>
      <w:bookmarkStart w:id="13" w:name="_Toc190946759"/>
      <w:r>
        <w:rPr>
          <w:lang w:val="ru-RU"/>
        </w:rPr>
        <w:t>Общие сведения</w:t>
      </w:r>
      <w:bookmarkEnd w:id="12"/>
      <w:bookmarkEnd w:id="13"/>
    </w:p>
    <w:p>
      <w:pPr>
        <w:pStyle w:val="Heading4"/>
        <w:numPr>
          <w:ilvl w:val="1"/>
          <w:numId w:val="3"/>
        </w:numPr>
        <w:ind w:hanging="432" w:left="1141"/>
        <w:rPr/>
      </w:pPr>
      <w:bookmarkStart w:id="14" w:name="_Toc130396882"/>
      <w:bookmarkStart w:id="15" w:name="_Toc46743505"/>
      <w:bookmarkStart w:id="16" w:name="_Toc150444133"/>
      <w:bookmarkStart w:id="17" w:name="_Toc190946760"/>
      <w:r>
        <w:rPr/>
        <w:t>Обозначения и сокращения</w:t>
      </w:r>
      <w:bookmarkEnd w:id="14"/>
      <w:bookmarkEnd w:id="15"/>
      <w:bookmarkEnd w:id="16"/>
      <w:bookmarkEnd w:id="17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Транспортное средство, специализированная и грузовая техника</w:t>
            </w:r>
          </w:p>
        </w:tc>
      </w:tr>
    </w:tbl>
    <w:p>
      <w:pPr>
        <w:pStyle w:val="Heading4"/>
        <w:numPr>
          <w:ilvl w:val="1"/>
          <w:numId w:val="3"/>
        </w:numPr>
        <w:ind w:hanging="432" w:left="1141"/>
        <w:rPr>
          <w:sz w:val="26"/>
          <w:szCs w:val="26"/>
        </w:rPr>
      </w:pPr>
      <w:bookmarkStart w:id="18" w:name="_Toc46743506"/>
      <w:bookmarkStart w:id="19" w:name="_Toc130396883"/>
      <w:bookmarkStart w:id="20" w:name="_Toc150444134"/>
      <w:bookmarkStart w:id="21" w:name="_Toc190946761"/>
      <w:r>
        <w:rPr>
          <w:sz w:val="26"/>
          <w:szCs w:val="26"/>
        </w:rPr>
        <w:t>Наименование закупаемой продукции</w:t>
      </w:r>
      <w:bookmarkEnd w:id="18"/>
      <w:bookmarkEnd w:id="19"/>
      <w:bookmarkEnd w:id="20"/>
      <w:bookmarkEnd w:id="21"/>
    </w:p>
    <w:p>
      <w:pPr>
        <w:pStyle w:val="Normal"/>
        <w:tabs>
          <w:tab w:val="clear" w:pos="708"/>
        </w:tabs>
        <w:ind w:hanging="0" w:left="0"/>
        <w:jc w:val="both"/>
        <w:rPr/>
      </w:pPr>
      <w:r>
        <w:rPr>
          <w:b w:val="false"/>
          <w:bCs w:val="false"/>
          <w:sz w:val="26"/>
          <w:szCs w:val="26"/>
          <w:lang w:val="ru-RU"/>
        </w:rPr>
        <w:t>ОКПД 2: 49.41.20.000. Оказание транспортных услуг по аренде с экипажем автомобильного гидроподъемника (автовышки) с рабочей высотой подъема не менее 15 метров в Хабаровском крае для нужд Дальневосточного филиала АО "ТК РусГидро".</w:t>
      </w:r>
      <w:bookmarkStart w:id="22" w:name="_Toc130396884"/>
      <w:bookmarkStart w:id="23" w:name="_Toc150444135"/>
      <w:bookmarkStart w:id="24" w:name="_Toc46743507"/>
    </w:p>
    <w:p>
      <w:pPr>
        <w:pStyle w:val="Heading4"/>
        <w:numPr>
          <w:ilvl w:val="1"/>
          <w:numId w:val="3"/>
        </w:numPr>
        <w:ind w:hanging="432" w:left="1141"/>
        <w:rPr>
          <w:i/>
          <w:i/>
          <w:shd w:fill="FFFF99" w:val="clear"/>
        </w:rPr>
      </w:pPr>
      <w:bookmarkStart w:id="25" w:name="_Toc190946763"/>
      <w:r>
        <w:rPr/>
        <w:t xml:space="preserve">Цель </w:t>
      </w:r>
      <w:bookmarkEnd w:id="24"/>
      <w:r>
        <w:rPr>
          <w:sz w:val="26"/>
          <w:szCs w:val="26"/>
        </w:rPr>
        <w:t>оказания</w:t>
      </w:r>
      <w:r>
        <w:rPr/>
        <w:t xml:space="preserve"> услуг</w:t>
      </w:r>
      <w:bookmarkEnd w:id="22"/>
      <w:bookmarkEnd w:id="23"/>
      <w:bookmarkEnd w:id="25"/>
      <w:r>
        <w:rPr/>
        <w:t xml:space="preserve"> 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b w:val="false"/>
          <w:bCs/>
          <w:sz w:val="26"/>
          <w:szCs w:val="26"/>
          <w:lang w:val="ru-RU"/>
        </w:rPr>
      </w:pPr>
      <w:bookmarkStart w:id="26" w:name="__RefHeading___Toc7977_238034913"/>
      <w:bookmarkStart w:id="27" w:name="_Toc150444137"/>
      <w:bookmarkEnd w:id="26"/>
      <w:r>
        <w:rPr>
          <w:b w:val="false"/>
          <w:bCs/>
          <w:sz w:val="26"/>
          <w:szCs w:val="26"/>
          <w:lang w:val="ru-RU"/>
        </w:rPr>
        <w:tab/>
        <w:t>Автомобильный гидроподъемник (автовышка)</w:t>
      </w:r>
      <w:bookmarkStart w:id="28" w:name="_Toc190946764"/>
      <w:r>
        <w:rPr>
          <w:b w:val="false"/>
          <w:bCs/>
          <w:sz w:val="26"/>
          <w:szCs w:val="26"/>
          <w:lang w:val="ru-RU"/>
        </w:rPr>
        <w:t xml:space="preserve"> арендуется с целью исполнения обязательств по доходному договору № 35/ХЭС от 10.02.2025.</w:t>
      </w:r>
      <w:bookmarkEnd w:id="2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bookmarkStart w:id="29" w:name="_Toc19094676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27"/>
      <w:bookmarkEnd w:id="29"/>
    </w:p>
    <w:tbl>
      <w:tblPr>
        <w:tblW w:w="10344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17"/>
        <w:gridCol w:w="2864"/>
        <w:gridCol w:w="2126"/>
        <w:gridCol w:w="2537"/>
        <w:gridCol w:w="2000"/>
      </w:tblGrid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</w:tabs>
              <w:ind w:hanging="0" w:left="0"/>
              <w:rPr>
                <w:rFonts w:eastAsia="Calibri"/>
                <w:b w:val="false"/>
                <w:bCs/>
                <w:sz w:val="26"/>
                <w:szCs w:val="26"/>
                <w:lang w:val="ru-RU" w:eastAsia="x-none"/>
              </w:rPr>
            </w:pPr>
            <w:r>
              <w:rPr>
                <w:rFonts w:eastAsia="Calibri"/>
                <w:b w:val="false"/>
                <w:bCs/>
                <w:sz w:val="26"/>
                <w:szCs w:val="26"/>
                <w:lang w:val="ru-RU" w:eastAsia="x-none"/>
              </w:rPr>
              <w:t>ОКПД 2: 49.41.20.000. Оказание транспортных услуг по аренде с экипажем автомобильного гидроподъемника (автовышки) с рабочей высотой подъема не менее 15 метров в Хабаровском крае для нужд Дальневосточного филиала АО "ТК РусГидро".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iCs/>
                <w:sz w:val="24"/>
                <w:szCs w:val="24"/>
              </w:rPr>
              <w:t>Хабаровский край, г. Хабаровск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Расчистка линии ВЛ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30" w:name="_Toc150444138"/>
      <w:bookmarkStart w:id="31" w:name="_Toc51339693"/>
      <w:bookmarkStart w:id="32" w:name="_Toc190946766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30"/>
      <w:bookmarkEnd w:id="31"/>
      <w:bookmarkEnd w:id="32"/>
    </w:p>
    <w:p>
      <w:pPr>
        <w:pStyle w:val="Heading4"/>
        <w:numPr>
          <w:ilvl w:val="1"/>
          <w:numId w:val="3"/>
        </w:numPr>
        <w:ind w:hanging="432" w:left="1141"/>
        <w:rPr/>
      </w:pPr>
      <w:bookmarkStart w:id="33" w:name="_Toc150444139"/>
      <w:bookmarkStart w:id="34" w:name="_Toc130396890"/>
      <w:bookmarkStart w:id="35" w:name="_Toc190946767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33"/>
      <w:bookmarkEnd w:id="34"/>
      <w:bookmarkEnd w:id="35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6" w:name="_Toc150444140"/>
      <w:bookmarkStart w:id="37" w:name="_Toc190946768"/>
      <w:bookmarkStart w:id="38" w:name="_Toc130396891"/>
      <w:r>
        <w:rPr>
          <w:lang w:val="ru-RU"/>
        </w:rPr>
        <w:t>Требования к перечню и объему услуг</w:t>
      </w:r>
      <w:bookmarkEnd w:id="36"/>
      <w:bookmarkEnd w:id="37"/>
      <w:bookmarkEnd w:id="3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9" w:name="_Toc54643705"/>
      <w:bookmarkStart w:id="40" w:name="_Toc150444141"/>
      <w:bookmarkStart w:id="41" w:name="_Toc190946769"/>
      <w:bookmarkStart w:id="42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42"/>
      <w:r>
        <w:rPr>
          <w:sz w:val="24"/>
          <w:szCs w:val="24"/>
          <w:lang w:val="ru-RU"/>
        </w:rPr>
        <w:t>и объем оказываемых услуг</w:t>
      </w:r>
      <w:bookmarkEnd w:id="39"/>
      <w:bookmarkEnd w:id="40"/>
      <w:bookmarkEnd w:id="41"/>
    </w:p>
    <w:tbl>
      <w:tblPr>
        <w:tblW w:w="10241" w:type="dxa"/>
        <w:jc w:val="left"/>
        <w:tblInd w:w="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0"/>
        <w:gridCol w:w="3290"/>
        <w:gridCol w:w="1830"/>
        <w:gridCol w:w="2281"/>
        <w:gridCol w:w="1990"/>
      </w:tblGrid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ТС</w:t>
            </w:r>
            <w:r>
              <w:rPr>
                <w:color w:val="000000" w:themeColor="text1"/>
                <w:sz w:val="24"/>
                <w:szCs w:val="24"/>
              </w:rPr>
              <w:t>, не менее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часов*,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jc w:val="center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9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обеспечению специализированной техникой</w:t>
            </w:r>
          </w:p>
        </w:tc>
      </w:tr>
      <w:tr>
        <w:trPr/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  <w:p>
            <w:pPr>
              <w:pStyle w:val="Normal"/>
              <w:widowControl w:val="false"/>
              <w:spacing w:before="0" w:after="0"/>
              <w:ind w:hanging="0" w:left="3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lang w:val="ru-RU" w:eastAsia="ru-RU" w:bidi="ar-SA"/>
              </w:rPr>
              <w:t>Автогидроподъемник (автовышка) телескопического или коленчато-телескопического типа на автомобильном шасси.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Маш.-час.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9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</w:t>
            </w:r>
            <w:r>
              <w:rPr>
                <w:i/>
                <w:sz w:val="24"/>
                <w:szCs w:val="24"/>
              </w:rPr>
              <w:t>153</w:t>
            </w:r>
          </w:p>
        </w:tc>
      </w:tr>
    </w:tbl>
    <w:p>
      <w:pPr>
        <w:pStyle w:val="Heading3"/>
        <w:rPr>
          <w:lang w:val="ru-RU"/>
        </w:rPr>
      </w:pPr>
      <w:bookmarkStart w:id="43" w:name="__RefHeading___Toc7989_238034913"/>
      <w:bookmarkStart w:id="44" w:name="_Toc190946770"/>
      <w:bookmarkEnd w:id="43"/>
      <w:r>
        <w:rPr>
          <w:lang w:val="ru-RU"/>
        </w:rPr>
        <w:t>*</w:t>
      </w:r>
      <w:r>
        <w:rPr>
          <w:b w:val="false"/>
          <w:bCs/>
          <w:sz w:val="26"/>
          <w:szCs w:val="26"/>
          <w:lang w:val="ru-RU"/>
        </w:rPr>
        <w:t>Объем продукции является ориентировочным, и Заказчик не несет ответственность за неполную выборку продукции на общую сумму договора.</w:t>
      </w:r>
      <w:bookmarkEnd w:id="44"/>
      <w:r>
        <w:rPr>
          <w:b w:val="false"/>
          <w:bCs/>
          <w:sz w:val="26"/>
          <w:szCs w:val="26"/>
          <w:lang w:val="ru-RU"/>
        </w:rPr>
        <w:t xml:space="preserve"> </w:t>
      </w:r>
      <w:r>
        <w:rPr>
          <w:lang w:val="ru-RU"/>
        </w:rPr>
        <w:t xml:space="preserve"> </w:t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45" w:name="__RefHeading___Toc7991_238034913"/>
      <w:bookmarkStart w:id="46" w:name="_Toc150444142"/>
      <w:bookmarkStart w:id="47" w:name="_Toc130396892"/>
      <w:bookmarkStart w:id="48" w:name="_Toc190946771"/>
      <w:bookmarkStart w:id="49" w:name="_Toc51339696"/>
      <w:bookmarkEnd w:id="45"/>
      <w:r>
        <w:rPr>
          <w:lang w:val="ru-RU"/>
        </w:rPr>
        <w:t xml:space="preserve">Требования </w:t>
      </w:r>
      <w:bookmarkEnd w:id="49"/>
      <w:r>
        <w:rPr>
          <w:lang w:val="ru-RU"/>
        </w:rPr>
        <w:t>к срокам оказания услуг</w:t>
      </w:r>
      <w:bookmarkEnd w:id="46"/>
      <w:bookmarkEnd w:id="47"/>
      <w:bookmarkEnd w:id="4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50" w:name="_Toc190946772"/>
      <w:bookmarkStart w:id="51" w:name="_Toc150444143"/>
      <w:bookmarkStart w:id="52" w:name="_Toc51339697"/>
      <w:bookmarkStart w:id="53" w:name="_Toc5012512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5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52"/>
      <w:bookmarkEnd w:id="53"/>
      <w:bookmarkEnd w:id="54"/>
      <w:r>
        <w:rPr>
          <w:sz w:val="24"/>
          <w:szCs w:val="24"/>
          <w:lang w:val="ru-RU"/>
        </w:rPr>
        <w:t>оказания услуг</w:t>
      </w:r>
      <w:bookmarkEnd w:id="50"/>
      <w:bookmarkEnd w:id="51"/>
    </w:p>
    <w:tbl>
      <w:tblPr>
        <w:tblW w:w="10320" w:type="dxa"/>
        <w:jc w:val="left"/>
        <w:tblInd w:w="2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6"/>
        <w:gridCol w:w="3128"/>
        <w:gridCol w:w="1996"/>
        <w:gridCol w:w="2100"/>
        <w:gridCol w:w="2500"/>
      </w:tblGrid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Fonts w:ascii="Times New Roman;Times;serif" w:hAnsi="Times New Roman;Times;serif"/>
                <w:sz w:val="24"/>
                <w:szCs w:val="24"/>
              </w:rPr>
              <w:t>ОКПД 2: 49.41.20.000. Оказание транспортных услуг по аренде с экипажем автомобильного гидроподъемника (автовышки) с рабочей высотой подъема не менее 15 метров в Хабаровском крае для нужд Дальневосточного филиала АО "ТК РусГидро".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1"/>
          <w:numId w:val="3"/>
        </w:numPr>
        <w:ind w:hanging="432" w:left="1141"/>
        <w:rPr>
          <w:lang w:val="ru-RU"/>
        </w:rPr>
      </w:pPr>
      <w:bookmarkStart w:id="55" w:name="_Toc150444144"/>
      <w:bookmarkStart w:id="56" w:name="_Toc130396894"/>
      <w:bookmarkStart w:id="57" w:name="_Toc190946773"/>
      <w:r>
        <w:rPr>
          <w:lang w:val="ru-RU"/>
        </w:rPr>
        <w:t xml:space="preserve">Требования </w:t>
      </w:r>
      <w:r>
        <w:rPr/>
        <w:t xml:space="preserve">к </w:t>
      </w:r>
      <w:r>
        <w:rPr>
          <w:lang w:val="ru-RU"/>
        </w:rPr>
        <w:t>качеству услуг</w:t>
      </w:r>
      <w:bookmarkEnd w:id="55"/>
      <w:bookmarkEnd w:id="56"/>
      <w:bookmarkEnd w:id="57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58" w:name="_Toc150444145"/>
      <w:bookmarkStart w:id="59" w:name="_Toc190946774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bookmarkEnd w:id="58"/>
      <w:bookmarkEnd w:id="59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6"/>
          <w:szCs w:val="26"/>
        </w:rPr>
      </w:pPr>
      <w:r>
        <w:rPr>
          <w:b/>
          <w:bCs/>
          <w:sz w:val="24"/>
          <w:szCs w:val="24"/>
        </w:rPr>
        <w:t>Наименование услуг/этапа услуг:</w:t>
      </w:r>
      <w:r>
        <w:rPr>
          <w:iCs/>
          <w:color w:val="000000"/>
          <w:sz w:val="24"/>
          <w:szCs w:val="24"/>
        </w:rPr>
        <w:t xml:space="preserve"> </w:t>
      </w:r>
      <w:r>
        <w:rPr>
          <w:rFonts w:ascii="Times New Roman;Times;serif" w:hAnsi="Times New Roman;Times;serif"/>
          <w:iCs/>
          <w:color w:val="000000"/>
          <w:sz w:val="26"/>
          <w:szCs w:val="26"/>
        </w:rPr>
        <w:t>ОКПД 2: 49.41.20.000. Оказание транспортных услуг по аренде с экипажем автомобильного гидроподъемника (автовышки) с рабочей высотой подъема не менее 15 метров в Хабаровском крае для нужд Дальневосточного филиала АО "ТК РусГидро".</w:t>
      </w:r>
    </w:p>
    <w:tbl>
      <w:tblPr>
        <w:tblStyle w:val="affff8"/>
        <w:tblW w:w="15168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23"/>
        <w:gridCol w:w="2480"/>
        <w:gridCol w:w="4637"/>
        <w:gridCol w:w="2054"/>
        <w:gridCol w:w="2669"/>
        <w:gridCol w:w="2404"/>
      </w:tblGrid>
      <w:tr>
        <w:trPr/>
        <w:tc>
          <w:tcPr>
            <w:tcW w:w="92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8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63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723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40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92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48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63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0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4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4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92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1.1.1</w:t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lang w:val="ru-RU" w:eastAsia="ru-RU" w:bidi="ar-SA"/>
              </w:rPr>
              <w:t>Автогидроподъемник (автовышка) телескопического или коленчато-телескопического типа на автомобильном шасси.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bookmarkStart w:id="60" w:name="_GoBack"/>
            <w:bookmarkEnd w:id="60"/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8"/>
                <w:lang w:val="ru-RU" w:eastAsia="ru-RU" w:bidi="ar-SA"/>
              </w:rPr>
              <w:t>Телескопический или коленчатый;</w:t>
              <w:br/>
              <w:t>• Высота подъема стрелы: не менее 15 метров;</w:t>
              <w:br/>
              <w:t xml:space="preserve">• Грузоподъемность люльки: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kern w:val="0"/>
                <w:sz w:val="24"/>
                <w:szCs w:val="28"/>
                <w:lang w:val="ru-RU" w:eastAsia="ru-RU" w:bidi="ar-SA"/>
              </w:rPr>
              <w:t>не менее 200 кг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8"/>
                <w:lang w:val="ru-RU" w:eastAsia="ru-RU" w:bidi="ar-SA"/>
              </w:rPr>
              <w:t>;</w:t>
              <w:br/>
              <w:t xml:space="preserve">• Электроизоляция люльки: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kern w:val="0"/>
                <w:sz w:val="24"/>
                <w:szCs w:val="28"/>
                <w:lang w:val="ru-RU" w:eastAsia="ru-RU" w:bidi="ar-SA"/>
              </w:rPr>
              <w:t>до 1000 В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8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8"/>
                <w:lang w:val="ru-RU" w:eastAsia="ru-RU" w:bidi="ar-SA"/>
              </w:rPr>
              <w:t>для проведения работ по подрезке крон в охранной зоне ВЛ</w:t>
            </w:r>
          </w:p>
        </w:tc>
        <w:tc>
          <w:tcPr>
            <w:tcW w:w="205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205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должны быть оказаны в соответствии с Федеральным законом от 21.07.1997 N 116-ФЗ "О промышленной безопасности опасных производственных объектов", с Приказом Ростехнадзора от 26.11.2020 N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подъемные сооружения", и в соответствии с Приказом Ростехнадзора от 20.10.2020 N 420 "Об утверждении федеральных норм и правил в области промышленной безопасности "Правила проведения экспертизы промышленной безопасности".</w:t>
            </w:r>
            <w:bookmarkStart w:id="61" w:name="_GoBack1"/>
            <w:bookmarkEnd w:id="61"/>
          </w:p>
        </w:tc>
        <w:tc>
          <w:tcPr>
            <w:tcW w:w="205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используемым запасным частям и материалам для содержания транспортного средства в исправном состоянии:  р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асходы по техническому содержанию указанного ТС несет Исполнитель.</w:t>
            </w:r>
          </w:p>
        </w:tc>
        <w:tc>
          <w:tcPr>
            <w:tcW w:w="20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Исполнитель обязан обеспечить заправку транспорта топливом, контролировать бесперебойный подвоз и заправку техники.</w:t>
            </w:r>
          </w:p>
        </w:tc>
        <w:tc>
          <w:tcPr>
            <w:tcW w:w="20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0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Спецтехника не должна иметь недостатков и неисправностей, при наличии которых в соответствии с нормативными правовыми актами РФ эксплуатация запрещена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Спецтехника должна быть укомплектована знаком аварийной остановки, огнетушителем, штатным инструментом, поставляемым заводом-изготовителем</w:t>
            </w:r>
          </w:p>
        </w:tc>
        <w:tc>
          <w:tcPr>
            <w:tcW w:w="205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Ежедневное прохождение медицинского осмотра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Прохождение водительским составом ежедневного предрейсового и послерейсового медицинского осмотра перед выездом на линию (и по возвращении с нее), с обязательным оформлением и заполнением путевых листов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Водительский стаж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3 лет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Наличие опыта, необходимых категорий и квалификации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Машинисты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Ростехнадзора от 26.11.2020 N 461.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Аренда специализированной строительной техники</w:t>
            </w:r>
          </w:p>
        </w:tc>
        <w:tc>
          <w:tcPr>
            <w:tcW w:w="463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необходимой техники в срок по заявкам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Спецтехника должна быть в технически исправном состоянии, соответствующем требованиям: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 Постановление Правительства РФ от 23.10.1993 N 1090 (последняя редакция)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Технический регламент Таможенного союза ТР ТС 010/2011 «О безопасности машин и оборудования», утвержденный Решением Комиссии Таможенного союза от 18.10.2011 N 823 (последняя редакция).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x-none"/>
              </w:rPr>
            </w:pPr>
            <w:r>
              <w:rPr>
                <w:b/>
                <w:sz w:val="24"/>
                <w:szCs w:val="24"/>
                <w:lang w:val="x-none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счет на оплату после оказания услуги.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x-none"/>
              </w:rPr>
            </w:pPr>
            <w:r>
              <w:rPr>
                <w:b/>
                <w:sz w:val="24"/>
                <w:szCs w:val="24"/>
                <w:lang w:val="x-none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счет-фактуру (если Исполнитель является плательщиком НДС)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  <w:lang w:val="x-none"/>
              </w:rPr>
            </w:pPr>
            <w:r>
              <w:rPr>
                <w:b/>
                <w:sz w:val="24"/>
                <w:szCs w:val="24"/>
                <w:lang w:val="x-none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2.4.4.</w:t>
            </w:r>
          </w:p>
        </w:tc>
        <w:tc>
          <w:tcPr>
            <w:tcW w:w="24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Копии путевых листов</w:t>
            </w:r>
          </w:p>
        </w:tc>
        <w:tc>
          <w:tcPr>
            <w:tcW w:w="46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копии путевых листов со всеми отметками для подтверждения фактического времени использования ТС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66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40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337" w:hRule="atLeast"/>
        </w:trPr>
        <w:tc>
          <w:tcPr>
            <w:tcW w:w="923" w:type="dxa"/>
            <w:tcBorders/>
          </w:tcPr>
          <w:p>
            <w:pPr>
              <w:pStyle w:val="Normal"/>
              <w:widowControl w:val="false"/>
              <w:numPr>
                <w:ilvl w:val="2"/>
                <w:numId w:val="6"/>
              </w:numPr>
              <w:suppressAutoHyphens w:val="true"/>
              <w:spacing w:before="0" w:after="0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17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Транспортные средства должны быть укомплектованы в соответствии с требованиями Регламента от 09.12.2011 N 877  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(огнетушителями, аварийными знаками, аптечками с медикаментами, пр.), прошедшими ежегодный государственный технический осмотр, застрахованными (ОСАГО) в соответствии с действующим Законодательством, обеспечены путевой документацией, установленных форм, оформленной в соответствии с требованиями Приказа Минтранса России от 28.09.2022 N 390 (ред. от 05.05.2023)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проверки», используемым для производственных, коммерческих целей в соответствии с их конструктивным назначением, пригодными, для перевозки грузов и отвечающие санитарным требованиям, а также отвечать требованиям Регламента от 09.12.2011 N 877 «О принятии технического регламента Таможенного союза «О безопасности колесных транспортных средств» (вместе с «ТР ТС 018/2011. Технический регламент Таможенного союза. О безопасности колесных транспортных средств»), Правилам дорожного движения</w:t>
            </w:r>
          </w:p>
        </w:tc>
        <w:tc>
          <w:tcPr>
            <w:tcW w:w="205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66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</w:t>
            </w:r>
          </w:p>
        </w:tc>
        <w:tc>
          <w:tcPr>
            <w:tcW w:w="24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  <w:lang w:val="x-none"/>
              </w:rPr>
            </w:pPr>
            <w:r>
              <w:rPr>
                <w:b/>
                <w:sz w:val="24"/>
                <w:szCs w:val="24"/>
                <w:lang w:val="x-none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  <w:r>
        <w:br w:type="page"/>
      </w:r>
    </w:p>
    <w:p>
      <w:pPr>
        <w:pStyle w:val="Heading1"/>
        <w:keepLines/>
        <w:ind w:hanging="0" w:left="1247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keepLines/>
        <w:ind w:hanging="0" w:left="0"/>
        <w:jc w:val="center"/>
        <w:rPr>
          <w:lang w:val="ru-RU"/>
        </w:rPr>
      </w:pPr>
      <w:bookmarkStart w:id="62" w:name="__RefHeading___Toc8011_238034913"/>
      <w:bookmarkStart w:id="63" w:name="_Toc190946775"/>
      <w:bookmarkEnd w:id="62"/>
      <w:r>
        <w:rPr>
          <w:lang w:val="ru-RU"/>
        </w:rPr>
        <w:t xml:space="preserve">3. </w:t>
      </w:r>
      <w:bookmarkStart w:id="64" w:name="_Toc150444158"/>
      <w:bookmarkStart w:id="65" w:name="_Toc54281228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63"/>
      <w:bookmarkEnd w:id="64"/>
      <w:bookmarkEnd w:id="65"/>
    </w:p>
    <w:p>
      <w:pPr>
        <w:pStyle w:val="Normal"/>
        <w:keepNext w:val="true"/>
        <w:keepLines/>
        <w:numPr>
          <w:ilvl w:val="0"/>
          <w:numId w:val="0"/>
        </w:numPr>
        <w:suppressAutoHyphens w:val="false"/>
        <w:spacing w:before="120" w:after="60"/>
        <w:ind w:hanging="0" w:left="357"/>
        <w:jc w:val="both"/>
        <w:outlineLvl w:val="0"/>
        <w:rPr/>
      </w:pPr>
      <w:bookmarkStart w:id="66" w:name="__RefHeading___Toc8013_238034913"/>
      <w:bookmarkStart w:id="67" w:name="_Toc190946776"/>
      <w:bookmarkEnd w:id="66"/>
      <w:r>
        <w:rPr>
          <w:rFonts w:eastAsia="Calibri"/>
          <w:lang w:eastAsia="x-none"/>
        </w:rPr>
        <w:t>3</w:t>
      </w:r>
      <w:bookmarkStart w:id="68" w:name="_Toc152142190"/>
      <w:r>
        <w:rPr>
          <w:rFonts w:eastAsia="Calibri"/>
          <w:lang w:eastAsia="x-none"/>
        </w:rPr>
        <w:t>.1.</w:t>
      </w:r>
      <w:r>
        <w:rPr>
          <w:rFonts w:eastAsia="Calibri"/>
          <w:b/>
          <w:lang w:eastAsia="x-none"/>
        </w:rPr>
        <w:tab/>
      </w:r>
      <w:bookmarkStart w:id="69" w:name="_Toc152142192"/>
      <w:bookmarkEnd w:id="68"/>
      <w:r>
        <w:rPr>
          <w:rFonts w:eastAsia="Calibri"/>
          <w:lang w:eastAsia="x-none"/>
        </w:rPr>
        <w:t>Цена Договора включает в себя прибыль Исполнителя, а также все расходы и затраты Исполнителя на закупку материально-технических ресурсов, необходимых для оказания Услуг по Договору,  подлежащие уплате налоги, сборы и пошлины; заработную плату; накладные и командировочные расходы, перемещение и размещение персонала Исполнителя; все прочие затраты и расходы Исполнителя, связанные с оказанием Услуг и исполнением иных обязательств по Договору, а также все прочие расходы, которые могут возникнуть у Исполнителя в течение срока действия Договора.</w:t>
      </w:r>
      <w:bookmarkEnd w:id="67"/>
      <w:bookmarkEnd w:id="69"/>
    </w:p>
    <w:p>
      <w:pPr>
        <w:pStyle w:val="Normal"/>
        <w:numPr>
          <w:ilvl w:val="0"/>
          <w:numId w:val="0"/>
        </w:numPr>
        <w:suppressAutoHyphens w:val="false"/>
        <w:spacing w:before="120" w:after="60"/>
        <w:ind w:hanging="0" w:left="357"/>
        <w:jc w:val="both"/>
        <w:outlineLvl w:val="0"/>
        <w:rPr>
          <w:rFonts w:eastAsia="Calibri"/>
          <w:lang w:eastAsia="x-none"/>
        </w:rPr>
      </w:pPr>
      <w:r>
        <w:rPr>
          <w:rFonts w:eastAsia="Calibri"/>
          <w:lang w:eastAsia="x-none"/>
        </w:rPr>
      </w:r>
    </w:p>
    <w:p>
      <w:pPr>
        <w:pStyle w:val="Normal"/>
        <w:rPr>
          <w:iCs/>
          <w:sz w:val="26"/>
          <w:szCs w:val="26"/>
        </w:rPr>
      </w:pPr>
      <w:r>
        <w:rPr/>
      </w:r>
    </w:p>
    <w:p>
      <w:pPr>
        <w:pStyle w:val="Normal"/>
        <w:rPr>
          <w:iCs/>
          <w:sz w:val="26"/>
          <w:szCs w:val="26"/>
        </w:rPr>
      </w:pPr>
      <w:r>
        <w:rPr>
          <w:iCs/>
          <w:sz w:val="26"/>
          <w:szCs w:val="26"/>
        </w:rPr>
      </w:r>
    </w:p>
    <w:sectPr>
      <w:headerReference w:type="default" r:id="rId7"/>
      <w:headerReference w:type="first" r:id="rId8"/>
      <w:type w:val="nextPage"/>
      <w:pgSz w:w="11906" w:h="16838"/>
      <w:pgMar w:left="851" w:right="851" w:gutter="0" w:header="680" w:top="737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Helvetica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44E18B3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44E18B3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 xml:space="preserve">  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0"/>
      <w:numFmt w:val="decimal"/>
      <w:lvlText w:val="%1.%2."/>
      <w:lvlJc w:val="left"/>
      <w:pPr>
        <w:tabs>
          <w:tab w:val="num" w:pos="0"/>
        </w:tabs>
        <w:ind w:left="840" w:hanging="48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d0ba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1134" w:left="124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ind w:hanging="0" w:left="1141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9a3ad7"/>
    <w:rPr>
      <w:color w:val="0563C1" w:themeColor="hyperlink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Pr/>
  </w:style>
  <w:style w:type="character" w:styleId="13" w:customStyle="1">
    <w:name w:val="Номер строки1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14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14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14"/>
    <w:qFormat/>
    <w:pPr/>
    <w:rPr/>
  </w:style>
  <w:style w:type="paragraph" w:styleId="Caption11111111" w:customStyle="1">
    <w:name w:val="caption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8f0d34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Default" w:customStyle="1">
    <w:name w:val="Default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C264B-E79B-42C9-8115-EA8A5D601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1183</TotalTime>
  <Application>AlterOffice/2026.2.0.0$Linux_X86_64 LibreOffice_project/bc4ef1adf80b36c7a6365f8ed6cbf29021361edd</Application>
  <AppVersion>15.0000</AppVersion>
  <Pages>8</Pages>
  <Words>1284</Words>
  <Characters>8688</Characters>
  <CharactersWithSpaces>9769</CharactersWithSpaces>
  <Paragraphs>218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2025-10-28T08:04:00Z</dcterms:created>
  <dc:creator>Быстров Олег Геннадьевич</dc:creator>
  <dc:description/>
  <dc:language>ru-RU</dc:language>
  <cp:lastModifiedBy>melnikovoi@corp.gidroogk.com</cp:lastModifiedBy>
  <dcterms:modified xsi:type="dcterms:W3CDTF">2026-11-05T15:06:23Z</dcterms:modified>
  <cp:revision>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