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ind w:left="5954" w:hanging="0"/>
        <w:rPr>
          <w:rStyle w:val="Style14"/>
          <w:caps w:val="false"/>
          <w:smallCaps w:val="false"/>
          <w:sz w:val="24"/>
          <w:szCs w:val="24"/>
        </w:rPr>
      </w:pPr>
      <w:r>
        <w:rPr/>
      </w:r>
    </w:p>
    <w:p>
      <w:pPr>
        <w:pStyle w:val="NoSpacing"/>
        <w:ind w:left="5529" w:firstLine="844"/>
        <w:rPr/>
      </w:pPr>
      <w:r>
        <w:rPr/>
      </w:r>
    </w:p>
    <w:p>
      <w:pPr>
        <w:pStyle w:val="NoSpacing"/>
        <w:ind w:left="5529" w:firstLine="844"/>
        <w:rPr/>
      </w:pPr>
      <w:r>
        <w:rPr/>
      </w:r>
    </w:p>
    <w:p>
      <w:pPr>
        <w:pStyle w:val="NoSpacing"/>
        <w:ind w:left="5529" w:firstLine="844"/>
        <w:rPr/>
      </w:pPr>
      <w:r>
        <w:rPr/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ТЕХНИЧЕСКИЕ ТРЕБОВАНИЯ</w:t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Heading1"/>
        <w:keepNext w:val="true"/>
        <w:numPr>
          <w:ilvl w:val="0"/>
        </w:numPr>
        <w:tabs>
          <w:tab w:val="clear" w:pos="0"/>
          <w:tab w:val="left" w:pos="900" w:leader="none"/>
        </w:tabs>
        <w:spacing w:lineRule="auto" w:line="276"/>
        <w:ind w:left="0" w:hanging="0"/>
        <w:jc w:val="center"/>
        <w:rPr>
          <w:color w:val="000000"/>
        </w:rPr>
      </w:pP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ОКПД 2: 28.13.13.120 — 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Модернизация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en-US"/>
        </w:rPr>
        <w:t xml:space="preserve"> насосного агрегата для подачи рабочей жидкости с необходимым давлением 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для выполнения работ на Нижегородской ГЭС</w:t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111"/>
        <w:shd w:val="clear" w:color="auto" w:fill="auto"/>
        <w:spacing w:lineRule="exact" w:line="331" w:before="0" w:after="263"/>
        <w:ind w:left="60" w:hanging="0"/>
        <w:jc w:val="center"/>
        <w:rPr/>
      </w:pPr>
      <w:r>
        <w:rPr>
          <w:rFonts w:eastAsia="Calibri"/>
          <w:b w:val="false"/>
          <w:bCs w:val="false"/>
          <w:sz w:val="24"/>
          <w:szCs w:val="24"/>
        </w:rPr>
        <w:t xml:space="preserve">Лот № </w:t>
      </w:r>
      <w:r>
        <w:rPr>
          <w:rStyle w:val="Style8"/>
          <w:rFonts w:eastAsia="Calibri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shd w:fill="auto" w:val="clear"/>
        </w:rPr>
        <w:t>0092-ТПИР ОБСЛ ДОХ-2026-ГРВКК-СШФ</w:t>
      </w:r>
    </w:p>
    <w:p>
      <w:pPr>
        <w:pStyle w:val="111"/>
        <w:shd w:val="clear" w:color="auto" w:fill="auto"/>
        <w:spacing w:lineRule="exact" w:line="331" w:before="0" w:after="263"/>
        <w:ind w:left="60" w:hanging="0"/>
        <w:jc w:val="center"/>
        <w:rPr>
          <w:rStyle w:val="Style8"/>
          <w:rFonts w:eastAsia="Calibri"/>
          <w:b w:val="false"/>
          <w:bCs w:val="false"/>
          <w:i w:val="false"/>
          <w:i w:val="false"/>
          <w:sz w:val="24"/>
          <w:szCs w:val="24"/>
          <w:shd w:fill="auto" w:val="clear"/>
        </w:rPr>
      </w:pPr>
      <w:r>
        <w:rPr>
          <w:rFonts w:eastAsia="Calibri"/>
          <w:b w:val="false"/>
          <w:bCs w:val="false"/>
          <w:i w:val="false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СОДЕРЖАНИЕ.</w:t>
      </w:r>
    </w:p>
    <w:p>
      <w:pPr>
        <w:pStyle w:val="Normal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/>
      </w:pPr>
      <w:hyperlink w:anchor="_Toc54643694">
        <w:r>
          <w:rPr>
            <w:b w:val="false"/>
            <w:bCs w:val="false"/>
          </w:rPr>
          <w:t>1.</w:t>
        </w:r>
        <w:r>
          <w:rPr>
            <w:rFonts w:eastAsia="" w:cs="" w:ascii="Calibri" w:hAnsi="Calibri" w:asciiTheme="minorHAnsi" w:cstheme="minorBidi" w:eastAsiaTheme="minorEastAsia" w:hAnsiTheme="minorHAnsi"/>
            <w:b w:val="false"/>
            <w:bCs w:val="false"/>
          </w:rPr>
          <w:tab/>
        </w:r>
        <w:r>
          <w:rPr>
            <w:b w:val="false"/>
            <w:bCs w:val="false"/>
          </w:rPr>
          <w:t>Общие сведения</w:t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_Toc54643694 \h</w:instrText>
        </w:r>
        <w:r>
          <w:rPr>
            <w:webHidden/>
          </w:rPr>
          <w:fldChar w:fldCharType="separate"/>
        </w:r>
        <w:r>
          <w:rPr>
            <w:b w:val="false"/>
            <w:bCs w:val="false"/>
            <w:vanish/>
          </w:rPr>
          <w:fldChar w:fldCharType="begin"/>
        </w:r>
        <w:r>
          <w:rPr>
            <w:webHidden/>
          </w:rPr>
          <w:fldChar w:fldCharType="end"/>
        </w:r>
        <w:r>
          <w:rPr>
            <w:b w:val="false"/>
            <w:bCs w:val="false"/>
            <w:vanish/>
          </w:rPr>
          <w:instrText xml:space="preserve"> PAGEREF _Toc54643694 \h </w:instrText>
        </w:r>
        <w:r>
          <w:rPr>
            <w:b w:val="false"/>
            <w:bCs w:val="false"/>
            <w:vanish/>
          </w:rPr>
          <w:fldChar w:fldCharType="separate"/>
        </w:r>
        <w:r>
          <w:rPr>
            <w:b w:val="false"/>
            <w:bCs w:val="false"/>
            <w:vanish/>
          </w:rPr>
          <w:t>Ошибка: источник перекрёстной ссылки не найден</w:t>
        </w:r>
        <w:r>
          <w:rPr>
            <w:b w:val="false"/>
            <w:bCs w:val="false"/>
            <w:vanish/>
          </w:rPr>
          <w:fldChar w:fldCharType="end"/>
        </w:r>
      </w:hyperlink>
    </w:p>
    <w:p>
      <w:pPr>
        <w:pStyle w:val="TOC4"/>
        <w:ind w:left="0" w:hanging="0"/>
        <w:rPr/>
      </w:pPr>
      <w:hyperlink w:anchor="_Toc54643696">
        <w:r>
          <w:rPr>
            <w:b w:val="false"/>
            <w:bCs w:val="false"/>
            <w:iCs/>
            <w:sz w:val="24"/>
            <w:szCs w:val="24"/>
          </w:rPr>
          <w:t>1.1.</w:t>
        </w:r>
        <w:r>
          <w:rPr>
            <w:rFonts w:eastAsia="" w:cs="" w:ascii="Calibri" w:hAnsi="Calibri" w:asciiTheme="minorHAnsi" w:cstheme="minorBidi" w:eastAsiaTheme="minorEastAsia" w:hAnsiTheme="minorHAnsi"/>
            <w:b w:val="false"/>
            <w:bCs w:val="false"/>
            <w:iCs/>
            <w:sz w:val="24"/>
            <w:szCs w:val="24"/>
          </w:rPr>
          <w:t xml:space="preserve"> </w:t>
        </w:r>
        <w:r>
          <w:rPr>
            <w:b w:val="false"/>
            <w:bCs w:val="false"/>
            <w:sz w:val="24"/>
            <w:szCs w:val="24"/>
          </w:rPr>
          <w:t>Наименование закупаемой продукции………………………………………...……………..……</w:t>
        </w:r>
      </w:hyperlink>
      <w:r>
        <w:rPr>
          <w:b w:val="false"/>
          <w:bCs w:val="false"/>
          <w:sz w:val="24"/>
          <w:szCs w:val="24"/>
        </w:rPr>
        <w:t>..3</w:t>
      </w:r>
    </w:p>
    <w:p>
      <w:pPr>
        <w:pStyle w:val="TOC4"/>
        <w:ind w:left="0" w:hanging="0"/>
        <w:rPr/>
      </w:pPr>
      <w:hyperlink w:anchor="_Toc54643696">
        <w:r>
          <w:rPr>
            <w:b w:val="false"/>
            <w:bCs w:val="false"/>
            <w:iCs/>
            <w:sz w:val="24"/>
            <w:szCs w:val="24"/>
          </w:rPr>
          <w:t>1.2.</w:t>
        </w:r>
        <w:r>
          <w:rPr>
            <w:rFonts w:eastAsia="" w:cs="" w:ascii="Calibri" w:hAnsi="Calibri" w:asciiTheme="minorHAnsi" w:cstheme="minorBidi" w:eastAsiaTheme="minorEastAsia" w:hAnsiTheme="minorHAnsi"/>
            <w:b w:val="false"/>
            <w:bCs w:val="false"/>
            <w:iCs/>
            <w:sz w:val="24"/>
            <w:szCs w:val="24"/>
          </w:rPr>
          <w:t xml:space="preserve"> </w:t>
        </w:r>
        <w:r>
          <w:rPr>
            <w:b w:val="false"/>
            <w:bCs w:val="false"/>
            <w:iCs/>
            <w:sz w:val="24"/>
            <w:szCs w:val="24"/>
          </w:rPr>
          <w:t>Цель использования закупаемой продукции…..</w:t>
        </w:r>
        <w:r>
          <w:rPr>
            <w:b w:val="false"/>
            <w:bCs w:val="false"/>
            <w:sz w:val="24"/>
            <w:szCs w:val="24"/>
          </w:rPr>
          <w:t>……………………………....……………..……</w:t>
        </w:r>
      </w:hyperlink>
      <w:r>
        <w:rPr>
          <w:b w:val="false"/>
          <w:bCs w:val="false"/>
          <w:sz w:val="24"/>
          <w:szCs w:val="24"/>
        </w:rPr>
        <w:t>..3</w:t>
      </w:r>
    </w:p>
    <w:p>
      <w:pPr>
        <w:pStyle w:val="TOC4"/>
        <w:ind w:left="0" w:hanging="0"/>
        <w:rPr/>
      </w:pPr>
      <w:hyperlink w:anchor="_Toc54643696">
        <w:r>
          <w:rPr>
            <w:b w:val="false"/>
            <w:bCs w:val="false"/>
            <w:iCs/>
            <w:sz w:val="24"/>
            <w:szCs w:val="24"/>
          </w:rPr>
          <w:t>1.3. Существующее положение……..</w:t>
        </w:r>
        <w:r>
          <w:rPr>
            <w:b w:val="false"/>
            <w:bCs w:val="false"/>
            <w:sz w:val="24"/>
            <w:szCs w:val="24"/>
          </w:rPr>
          <w:t>……………………………………………...……………...……</w:t>
        </w:r>
      </w:hyperlink>
      <w:r>
        <w:rPr>
          <w:b w:val="false"/>
          <w:bCs w:val="false"/>
          <w:sz w:val="24"/>
          <w:szCs w:val="24"/>
        </w:rPr>
        <w:t>..3</w:t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/>
      </w:pPr>
      <w:hyperlink w:anchor="_Toc54643702">
        <w:r>
          <w:rPr>
            <w:b w:val="false"/>
            <w:bCs w:val="false"/>
          </w:rPr>
          <w:t>2.</w:t>
        </w:r>
        <w:r>
          <w:rPr>
            <w:rFonts w:eastAsia="" w:cs="" w:ascii="Calibri" w:hAnsi="Calibri" w:asciiTheme="minorHAnsi" w:cstheme="minorBidi" w:eastAsiaTheme="minorEastAsia" w:hAnsiTheme="minorHAnsi"/>
            <w:b w:val="false"/>
            <w:bCs w:val="false"/>
          </w:rPr>
          <w:tab/>
        </w:r>
        <w:r>
          <w:rPr>
            <w:b w:val="false"/>
            <w:bCs w:val="false"/>
            <w:iCs/>
          </w:rPr>
          <w:t>Требования к продукции</w:t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fldChar w:fldCharType="begin"/>
        </w:r>
        <w:r>
          <w:rPr>
            <w:b w:val="false"/>
            <w:iCs/>
            <w:bCs w:val="false"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separate"/>
        </w:r>
        <w:r>
          <w:rPr>
            <w:b w:val="false"/>
            <w:bCs w:val="false"/>
            <w:iCs/>
          </w:rPr>
        </w:r>
        <w:r>
          <w:rPr>
            <w:b w:val="false"/>
            <w:bCs w:val="false"/>
            <w:iCs/>
          </w:rPr>
        </w:r>
        <w:r>
          <w:rPr>
            <w:b w:val="false"/>
            <w:iCs/>
            <w:bCs w:val="false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_Toc54643702 \h</w:instrText>
        </w:r>
        <w:r>
          <w:rPr>
            <w:webHidden/>
          </w:rPr>
          <w:fldChar w:fldCharType="separate"/>
        </w:r>
        <w:r>
          <w:rPr>
            <w:b w:val="false"/>
            <w:bCs w:val="false"/>
            <w:vanish/>
          </w:rPr>
          <w:fldChar w:fldCharType="begin"/>
        </w:r>
        <w:r>
          <w:rPr>
            <w:webHidden/>
          </w:rPr>
          <w:fldChar w:fldCharType="end"/>
        </w:r>
        <w:r>
          <w:rPr>
            <w:b w:val="false"/>
            <w:bCs w:val="false"/>
            <w:vanish/>
          </w:rPr>
          <w:instrText xml:space="preserve"> PAGEREF _Toc54643702 \h </w:instrText>
        </w:r>
        <w:r>
          <w:rPr>
            <w:b w:val="false"/>
            <w:bCs w:val="false"/>
            <w:vanish/>
          </w:rPr>
          <w:fldChar w:fldCharType="separate"/>
        </w:r>
        <w:r>
          <w:rPr>
            <w:b w:val="false"/>
            <w:bCs w:val="false"/>
            <w:vanish/>
          </w:rPr>
          <w:t>Ошибка: источник перекрёстной ссылки не найден</w:t>
        </w:r>
        <w:r>
          <w:rPr>
            <w:b w:val="false"/>
            <w:bCs w:val="false"/>
            <w:vanish/>
          </w:rPr>
          <w:fldChar w:fldCharType="end"/>
        </w:r>
      </w:hyperlink>
    </w:p>
    <w:p>
      <w:pPr>
        <w:pStyle w:val="TOC4"/>
        <w:ind w:left="0" w:hanging="0"/>
        <w:rPr/>
      </w:pPr>
      <w:hyperlink w:anchor="_Toc54643703">
        <w:r>
          <w:rPr>
            <w:b w:val="false"/>
            <w:bCs w:val="false"/>
            <w:iCs/>
            <w:sz w:val="24"/>
            <w:szCs w:val="24"/>
          </w:rPr>
          <w:t>2.1.</w:t>
        </w:r>
        <w:r>
          <w:rPr>
            <w:rFonts w:eastAsia="" w:cs="" w:ascii="Calibri" w:hAnsi="Calibri" w:asciiTheme="minorHAnsi" w:cstheme="minorBidi" w:eastAsiaTheme="minorEastAsia" w:hAnsiTheme="minorHAnsi"/>
            <w:b w:val="false"/>
            <w:bCs w:val="false"/>
            <w:iCs/>
            <w:sz w:val="24"/>
            <w:szCs w:val="24"/>
          </w:rPr>
          <w:t xml:space="preserve"> </w:t>
        </w:r>
        <w:r>
          <w:rPr>
            <w:b w:val="false"/>
            <w:bCs w:val="false"/>
            <w:sz w:val="24"/>
            <w:szCs w:val="24"/>
          </w:rPr>
          <w:t>Требования к объемам и срокам поставки..…………………………………………………...……</w:t>
        </w:r>
      </w:hyperlink>
      <w:r>
        <w:rPr>
          <w:b w:val="false"/>
          <w:bCs w:val="false"/>
          <w:sz w:val="24"/>
          <w:szCs w:val="24"/>
        </w:rPr>
        <w:t>3</w:t>
      </w:r>
    </w:p>
    <w:p>
      <w:pPr>
        <w:pStyle w:val="TOC3"/>
        <w:tabs>
          <w:tab w:val="clear" w:pos="708"/>
          <w:tab w:val="left" w:pos="1120" w:leader="none"/>
          <w:tab w:val="right" w:pos="9911" w:leader="dot"/>
        </w:tabs>
        <w:ind w:left="0" w:hanging="0"/>
        <w:rPr/>
      </w:pPr>
      <w:hyperlink w:anchor="_Toc54643704">
        <w:r>
          <w:rPr>
            <w:b w:val="false"/>
            <w:bCs w:val="false"/>
            <w:sz w:val="24"/>
            <w:szCs w:val="24"/>
          </w:rPr>
          <w:t>2.1.1.</w:t>
        </w:r>
        <w:r>
          <w:rPr>
            <w:rFonts w:eastAsia="" w:cs="" w:ascii="Calibri" w:hAnsi="Calibri" w:asciiTheme="minorHAnsi" w:cstheme="minorBidi" w:eastAsiaTheme="minorEastAsia" w:hAnsiTheme="minorHAnsi"/>
            <w:b w:val="false"/>
            <w:bCs w:val="false"/>
            <w:sz w:val="24"/>
            <w:szCs w:val="24"/>
          </w:rPr>
          <w:t xml:space="preserve"> </w:t>
        </w:r>
        <w:r>
          <w:rPr>
            <w:b w:val="false"/>
            <w:bCs w:val="false"/>
            <w:sz w:val="24"/>
            <w:szCs w:val="24"/>
          </w:rPr>
          <w:t>Перечень и объем закупаемой продукции………………………………………………………...3</w:t>
        </w:r>
        <w:r>
          <w:rPr>
            <w:b w:val="false"/>
            <w:bCs w:val="false"/>
            <w:vanish/>
            <w:sz w:val="24"/>
            <w:szCs w:val="24"/>
          </w:rPr>
          <w:t>3</w:t>
        </w:r>
      </w:hyperlink>
      <w:r>
        <w:rPr>
          <w:b w:val="false"/>
          <w:bCs w:val="false"/>
          <w:vanish/>
          <w:sz w:val="24"/>
          <w:szCs w:val="24"/>
        </w:rPr>
        <w:t>3</w:t>
      </w:r>
    </w:p>
    <w:p>
      <w:pPr>
        <w:pStyle w:val="TOC3"/>
        <w:tabs>
          <w:tab w:val="clear" w:pos="708"/>
          <w:tab w:val="left" w:pos="1120" w:leader="none"/>
          <w:tab w:val="right" w:pos="9911" w:leader="dot"/>
        </w:tabs>
        <w:ind w:left="0" w:hanging="0"/>
        <w:rPr/>
      </w:pPr>
      <w:hyperlink w:anchor="_Toc54643704">
        <w:r>
          <w:rPr>
            <w:b w:val="false"/>
            <w:bCs w:val="false"/>
            <w:sz w:val="24"/>
            <w:szCs w:val="24"/>
          </w:rPr>
          <w:t>2.1.2.</w:t>
        </w:r>
        <w:r>
          <w:rPr>
            <w:rFonts w:eastAsia="" w:cs="" w:ascii="Calibri" w:hAnsi="Calibri" w:asciiTheme="minorHAnsi" w:cstheme="minorBidi" w:eastAsiaTheme="minorEastAsia" w:hAnsiTheme="minorHAnsi"/>
            <w:b w:val="false"/>
            <w:bCs w:val="false"/>
            <w:sz w:val="24"/>
            <w:szCs w:val="24"/>
          </w:rPr>
          <w:t xml:space="preserve"> </w:t>
        </w:r>
        <w:r>
          <w:rPr>
            <w:b w:val="false"/>
            <w:bCs w:val="false"/>
            <w:sz w:val="24"/>
            <w:szCs w:val="24"/>
          </w:rPr>
          <w:t>Требования к срокам поставки продукции…..……………………………………………………3</w:t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bCs w:val="false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separate"/>
        </w:r>
        <w:r>
          <w:rPr>
            <w:b w:val="false"/>
            <w:bCs w:val="false"/>
            <w:sz w:val="24"/>
            <w:szCs w:val="24"/>
          </w:rPr>
        </w:r>
        <w:r>
          <w:rPr>
            <w:b w:val="false"/>
            <w:bCs w:val="false"/>
            <w:sz w:val="24"/>
            <w:szCs w:val="24"/>
          </w:rPr>
        </w:r>
        <w:r>
          <w:rPr>
            <w:sz w:val="24"/>
            <w:b w:val="false"/>
            <w:szCs w:val="24"/>
            <w:bCs w:val="false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_Toc54643704 \h</w:instrText>
        </w:r>
        <w:r>
          <w:rPr>
            <w:webHidden/>
          </w:rPr>
          <w:fldChar w:fldCharType="separate"/>
        </w:r>
        <w:r>
          <w:rPr>
            <w:b w:val="false"/>
            <w:bCs w:val="false"/>
            <w:vanish/>
            <w:sz w:val="24"/>
            <w:szCs w:val="24"/>
          </w:rPr>
          <w:fldChar w:fldCharType="begin"/>
        </w:r>
        <w:r>
          <w:rPr>
            <w:webHidden/>
          </w:rPr>
          <w:fldChar w:fldCharType="end"/>
        </w:r>
        <w:r>
          <w:rPr>
            <w:sz w:val="24"/>
            <w:b w:val="false"/>
            <w:szCs w:val="24"/>
            <w:bCs w:val="false"/>
            <w:vanish/>
          </w:rPr>
          <w:instrText xml:space="preserve"> PAGEREF _Toc54643704 \h </w:instrText>
        </w:r>
        <w:r>
          <w:rPr>
            <w:sz w:val="24"/>
            <w:b w:val="false"/>
            <w:szCs w:val="24"/>
            <w:bCs w:val="false"/>
            <w:vanish/>
          </w:rPr>
          <w:fldChar w:fldCharType="separate"/>
        </w:r>
        <w:r>
          <w:rPr>
            <w:sz w:val="24"/>
            <w:b w:val="false"/>
            <w:szCs w:val="24"/>
            <w:bCs w:val="false"/>
            <w:vanish/>
          </w:rPr>
          <w:t>Ошибка: источник перекрёстной ссылки не найден</w:t>
        </w:r>
        <w:r>
          <w:rPr>
            <w:sz w:val="24"/>
            <w:b w:val="false"/>
            <w:szCs w:val="24"/>
            <w:bCs w:val="false"/>
            <w:vanish/>
          </w:rPr>
          <w:fldChar w:fldCharType="end"/>
        </w:r>
      </w:hyperlink>
    </w:p>
    <w:p>
      <w:pPr>
        <w:pStyle w:val="TOC4"/>
        <w:tabs>
          <w:tab w:val="clear" w:pos="708"/>
          <w:tab w:val="right" w:pos="9911" w:leader="dot"/>
        </w:tabs>
        <w:ind w:left="0" w:hanging="0"/>
        <w:rPr/>
      </w:pPr>
      <w:hyperlink w:anchor="_Toc54643703"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  <w:t>2.2. Требования к качеству продукции………………………………………………….……………….4</w:t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separate"/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rFonts w:cs="Calibri Light (Заголовки)"/>
            <w:b w:val="false"/>
            <w:bCs w:val="false"/>
            <w:iCs/>
            <w:sz w:val="24"/>
            <w:szCs w:val="24"/>
          </w:rPr>
        </w:r>
        <w:r>
          <w:rPr>
            <w:sz w:val="24"/>
            <w:b w:val="false"/>
            <w:szCs w:val="24"/>
            <w:iCs/>
            <w:bCs w:val="false"/>
            <w:rFonts w:cs="Calibri Light (Заголовки)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_Toc54643703 \h</w:instrText>
        </w:r>
        <w:r>
          <w:rPr>
            <w:webHidden/>
          </w:rPr>
          <w:fldChar w:fldCharType="separate"/>
        </w:r>
        <w:r>
          <w:rPr>
            <w:b w:val="false"/>
            <w:bCs w:val="false"/>
            <w:vanish/>
            <w:sz w:val="24"/>
            <w:szCs w:val="24"/>
          </w:rPr>
          <w:fldChar w:fldCharType="begin"/>
        </w:r>
        <w:r>
          <w:rPr>
            <w:webHidden/>
          </w:rPr>
          <w:fldChar w:fldCharType="end"/>
        </w:r>
        <w:r>
          <w:rPr>
            <w:sz w:val="24"/>
            <w:b w:val="false"/>
            <w:szCs w:val="24"/>
            <w:bCs w:val="false"/>
            <w:vanish/>
          </w:rPr>
          <w:instrText xml:space="preserve"> PAGEREF _Toc54643703 \h </w:instrText>
        </w:r>
        <w:r>
          <w:rPr>
            <w:sz w:val="24"/>
            <w:b w:val="false"/>
            <w:szCs w:val="24"/>
            <w:bCs w:val="false"/>
            <w:vanish/>
          </w:rPr>
          <w:fldChar w:fldCharType="separate"/>
        </w:r>
        <w:r>
          <w:rPr>
            <w:sz w:val="24"/>
            <w:b w:val="false"/>
            <w:szCs w:val="24"/>
            <w:bCs w:val="false"/>
            <w:vanish/>
          </w:rPr>
          <w:t>Ошибка: источник перекрёстной ссылки не найден</w:t>
        </w:r>
        <w:r>
          <w:rPr>
            <w:sz w:val="24"/>
            <w:b w:val="false"/>
            <w:szCs w:val="24"/>
            <w:bCs w:val="false"/>
            <w:vanish/>
          </w:rPr>
          <w:fldChar w:fldCharType="end"/>
        </w:r>
      </w:hyperlink>
    </w:p>
    <w:p>
      <w:pPr>
        <w:pStyle w:val="Heading4"/>
        <w:tabs>
          <w:tab w:val="clear" w:pos="0"/>
        </w:tabs>
        <w:ind w:left="1224" w:hanging="0"/>
        <w:rPr>
          <w:lang w:val="ru-RU"/>
        </w:rPr>
      </w:pPr>
      <w:r>
        <w:rPr>
          <w:vanish/>
          <w:sz w:val="24"/>
          <w:szCs w:val="24"/>
          <w:lang w:val="ru-RU"/>
        </w:rPr>
        <w:t>к документации по ценообразованию на этапе закупки</w:t>
      </w:r>
    </w:p>
    <w:p>
      <w:pPr>
        <w:pStyle w:val="Heading4"/>
        <w:tabs>
          <w:tab w:val="clear" w:pos="0"/>
        </w:tabs>
        <w:ind w:left="1224" w:hanging="0"/>
        <w:rPr>
          <w:lang w:val="ru-RU"/>
        </w:rPr>
      </w:pPr>
      <w:bookmarkStart w:id="0" w:name="_Toc54279844_Копия_1"/>
      <w:bookmarkStart w:id="1" w:name="_Toc54785625_Копия_1"/>
      <w:r>
        <w:rPr>
          <w:vanish/>
          <w:sz w:val="24"/>
          <w:szCs w:val="24"/>
          <w:lang w:val="ru-RU"/>
        </w:rPr>
        <w:t>Требования к документации по ценообразованию на этапе закупки</w:t>
      </w:r>
      <w:bookmarkEnd w:id="0"/>
      <w:bookmarkEnd w:id="1"/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/>
      </w:pPr>
      <w:r>
        <w:rPr>
          <w:b w:val="false"/>
          <w:bCs w:val="false"/>
          <w:vanish/>
        </w:rPr>
        <w:t>3</w:t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/>
      </w:pPr>
      <w:r>
        <w:rPr>
          <w:b w:val="false"/>
          <w:bCs w:val="false"/>
        </w:rPr>
        <w:t>4</w:t>
      </w:r>
      <w:hyperlink w:anchor="_Toc54643712">
        <w:r>
          <w:rPr>
            <w:b w:val="false"/>
            <w:bCs w:val="false"/>
          </w:rPr>
          <w:t>.</w:t>
        </w:r>
        <w:r>
          <w:rPr>
            <w:rFonts w:eastAsia="" w:cs="" w:ascii="Calibri" w:hAnsi="Calibri" w:asciiTheme="minorHAnsi" w:cstheme="minorBidi" w:eastAsiaTheme="minorEastAsia" w:hAnsiTheme="minorHAnsi"/>
            <w:b w:val="false"/>
            <w:bCs w:val="false"/>
          </w:rPr>
          <w:tab/>
        </w:r>
        <w:r>
          <w:rPr>
            <w:b w:val="false"/>
            <w:bCs w:val="false"/>
            <w:iCs/>
          </w:rPr>
          <w:t>Приложения…………………………………………………………………………….</w:t>
        </w:r>
        <w:r>
          <w:rPr>
            <w:b w:val="false"/>
            <w:bCs w:val="false"/>
            <w:iCs/>
            <w:lang w:val="en-US"/>
          </w:rPr>
          <w:t>….</w:t>
        </w:r>
        <w:r>
          <w:rPr>
            <w:b w:val="false"/>
            <w:bCs w:val="false"/>
            <w:iCs/>
          </w:rPr>
          <w:t>….……</w:t>
        </w:r>
      </w:hyperlink>
      <w:r>
        <w:rPr>
          <w:b w:val="false"/>
          <w:bCs w:val="false"/>
          <w:iCs/>
        </w:rPr>
        <w:t>..5</w:t>
      </w:r>
    </w:p>
    <w:p>
      <w:pPr>
        <w:pStyle w:val="TOC1"/>
        <w:tabs>
          <w:tab w:val="clear" w:pos="708"/>
          <w:tab w:val="right" w:pos="9911" w:leader="dot"/>
        </w:tabs>
        <w:rPr/>
      </w:pPr>
      <w:r>
        <w:rPr>
          <w:b w:val="false"/>
          <w:bCs w:val="false"/>
        </w:rPr>
        <w:t xml:space="preserve">Приложение №1 </w:t>
      </w:r>
      <w:hyperlink w:anchor="_Toc54643709">
        <w:r>
          <w:rPr>
            <w:b w:val="false"/>
            <w:bCs w:val="false"/>
          </w:rPr>
          <w:t>Таблица 1. Требования к продукции…………….………………………..……….…5</w:t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fldChar w:fldCharType="begin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separate"/>
        </w:r>
        <w:r>
          <w:rPr>
            <w:b w:val="false"/>
            <w:bCs w:val="false"/>
          </w:rPr>
        </w:r>
        <w:r>
          <w:rPr>
            <w:b w:val="false"/>
            <w:bCs w:val="false"/>
          </w:rPr>
        </w:r>
        <w:r>
          <w:rPr>
            <w:b w:val="false"/>
            <w:bCs w:val="false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_Toc54643709 \h</w:instrText>
        </w:r>
        <w:r>
          <w:rPr>
            <w:webHidden/>
          </w:rPr>
          <w:fldChar w:fldCharType="separate"/>
        </w:r>
        <w:r>
          <w:rPr>
            <w:b w:val="false"/>
            <w:bCs w:val="false"/>
            <w:vanish/>
          </w:rPr>
          <w:fldChar w:fldCharType="begin"/>
        </w:r>
        <w:r>
          <w:rPr>
            <w:webHidden/>
          </w:rPr>
          <w:fldChar w:fldCharType="end"/>
        </w:r>
        <w:r>
          <w:rPr>
            <w:b w:val="false"/>
            <w:bCs w:val="false"/>
            <w:vanish/>
          </w:rPr>
          <w:instrText xml:space="preserve"> PAGEREF _Toc54643709 \h </w:instrText>
        </w:r>
        <w:r>
          <w:rPr>
            <w:b w:val="false"/>
            <w:bCs w:val="false"/>
            <w:vanish/>
          </w:rPr>
          <w:fldChar w:fldCharType="separate"/>
        </w:r>
        <w:r>
          <w:rPr>
            <w:b w:val="false"/>
            <w:bCs w:val="false"/>
            <w:vanish/>
          </w:rPr>
          <w:t>Ошибка: источник перекрёстной ссылки не найден</w:t>
        </w:r>
        <w:r>
          <w:rPr>
            <w:b w:val="false"/>
            <w:bCs w:val="false"/>
            <w:vanish/>
          </w:rPr>
          <w:fldChar w:fldCharType="end"/>
        </w:r>
      </w:hyperlink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2" w:name="_Toc46743506"/>
      <w:bookmarkStart w:id="3" w:name="_Toc75446568"/>
      <w:r>
        <w:rPr/>
        <w:t>Наименование модифицируемой продукции</w:t>
      </w:r>
      <w:bookmarkEnd w:id="2"/>
      <w:bookmarkEnd w:id="3"/>
      <w:r>
        <w:rPr/>
        <w:t>.</w:t>
      </w:r>
    </w:p>
    <w:p>
      <w:pPr>
        <w:pStyle w:val="Normal"/>
        <w:bidi w:val="0"/>
        <w:jc w:val="left"/>
        <w:rPr/>
      </w:pPr>
      <w:r>
        <w:rPr>
          <w:rFonts w:eastAsia="Calibri" w:cs="Times New Roman"/>
          <w:color w:val="auto"/>
          <w:kern w:val="0"/>
          <w:sz w:val="24"/>
          <w:szCs w:val="24"/>
          <w:lang w:val="ru-RU" w:eastAsia="x-none" w:bidi="ar-SA"/>
        </w:rPr>
        <w:t>Насосный агрегат ЛГК232.01.00.00.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>использования закупаемой продукции</w:t>
      </w:r>
      <w:bookmarkEnd w:id="4"/>
      <w:r>
        <w:rPr>
          <w:lang w:val="ru-RU"/>
        </w:rPr>
        <w:t>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FFFFFF" w:val="clear"/>
        </w:rPr>
      </w:pPr>
      <w:r>
        <w:rPr>
          <w:rStyle w:val="Style8"/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Модернизация а</w:t>
      </w:r>
      <w:r>
        <w:rPr>
          <w:rStyle w:val="Style8"/>
          <w:rFonts w:eastAsia="Calibri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г</w:t>
      </w:r>
      <w:r>
        <w:rPr>
          <w:rStyle w:val="Style8"/>
          <w:rFonts w:eastAsia="Calibri" w:cs="Times New Roman"/>
          <w:b w:val="false"/>
          <w:bCs/>
          <w:i w:val="false"/>
          <w:color w:val="000000"/>
          <w:kern w:val="0"/>
          <w:sz w:val="24"/>
          <w:szCs w:val="24"/>
          <w:shd w:fill="FFFFFF" w:val="clear"/>
          <w:lang w:val="ru-RU" w:eastAsia="x-none" w:bidi="ar-SA"/>
        </w:rPr>
        <w:t>регата насосного ЛГК232.01.00.00 происходит</w:t>
      </w: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 для более эффективного выполнения работ по капитальному ремонту МНУ </w:t>
      </w:r>
      <w:r>
        <w:rPr>
          <w:rStyle w:val="Style8"/>
          <w:rFonts w:eastAsia="Times New Roman" w:cs="Times New Roman"/>
          <w:b w:val="false"/>
          <w:bCs/>
          <w:i w:val="false"/>
          <w:color w:val="000000"/>
          <w:kern w:val="0"/>
          <w:sz w:val="24"/>
          <w:szCs w:val="24"/>
          <w:shd w:fill="FFFFFF" w:val="clear"/>
          <w:lang w:val="ru-RU" w:eastAsia="ru-RU" w:bidi="ar-SA"/>
        </w:rPr>
        <w:t>аварийных затворов</w:t>
      </w:r>
      <w:r>
        <w:rPr>
          <w:rStyle w:val="Style8"/>
          <w:rFonts w:ascii="Arial" w:hAnsi="Arial"/>
          <w:b w:val="false"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FFFFFF" w:val="clear"/>
          <w:em w:val="none"/>
        </w:rPr>
        <w:t xml:space="preserve"> </w:t>
      </w: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>гидроагрегата ст. № 7 филиала ПАО «РусГидро» - «Нижегородская ГЭС».</w:t>
      </w:r>
    </w:p>
    <w:p>
      <w:pPr>
        <w:pStyle w:val="Heading4"/>
        <w:numPr>
          <w:ilvl w:val="1"/>
          <w:numId w:val="3"/>
        </w:numPr>
        <w:rPr>
          <w:rStyle w:val="Style8"/>
          <w:b/>
          <w:bCs w:val="false"/>
          <w:i w:val="false"/>
          <w:i w:val="false"/>
          <w:shd w:fill="FFFFFF" w:val="clear"/>
        </w:rPr>
      </w:pPr>
      <w:bookmarkStart w:id="6" w:name="_Toc46743508"/>
      <w:r>
        <w:rPr/>
        <w:t>Существующее положение</w:t>
      </w:r>
      <w:bookmarkEnd w:id="6"/>
      <w:r>
        <w:rPr>
          <w:rStyle w:val="Style8"/>
          <w:b/>
          <w:bCs w:val="false"/>
          <w:i w:val="false"/>
          <w:shd w:fill="FFFFFF" w:val="clear"/>
        </w:rPr>
        <w:t>.</w:t>
      </w:r>
    </w:p>
    <w:p>
      <w:pPr>
        <w:pStyle w:val="Normal"/>
        <w:widowControl w:val="false"/>
        <w:shd w:val="clear" w:color="auto" w:fill="FFFFFF" w:themeFill="background1"/>
        <w:tabs>
          <w:tab w:val="clear" w:pos="708"/>
          <w:tab w:val="left" w:pos="426" w:leader="none"/>
        </w:tabs>
        <w:spacing w:before="120" w:after="0"/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FFFFFF" w:val="clear"/>
        </w:rPr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>Модернизация осуществляется для исполнения:</w:t>
      </w:r>
    </w:p>
    <w:p>
      <w:pPr>
        <w:pStyle w:val="Normal"/>
        <w:widowControl w:val="false"/>
        <w:shd w:val="clear" w:color="auto" w:fill="FFFFFF" w:themeFill="background1"/>
        <w:tabs>
          <w:tab w:val="clear" w:pos="708"/>
          <w:tab w:val="left" w:pos="426" w:leader="none"/>
        </w:tabs>
        <w:spacing w:before="120" w:after="0"/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FFFFFF" w:val="clear"/>
        </w:rPr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>- договора подряда № 1240-129-2021 от 28.06.2021 г. на выполнение строительно-монтажных и пусконаладочных работ по замене гидроагрегатов ст. № 1, 4, 7 Нижегородской ГЭС.</w:t>
      </w:r>
    </w:p>
    <w:p>
      <w:pPr>
        <w:pStyle w:val="Normal"/>
        <w:widowControl w:val="false"/>
        <w:shd w:val="clear" w:color="auto" w:fill="FFFFFF" w:themeFill="background1"/>
        <w:tabs>
          <w:tab w:val="clear" w:pos="708"/>
          <w:tab w:val="left" w:pos="426" w:leader="none"/>
        </w:tabs>
        <w:spacing w:before="120" w:after="0"/>
        <w:jc w:val="both"/>
        <w:rPr>
          <w:b w:val="false"/>
          <w:bCs/>
          <w:i w:val="false"/>
          <w:i w:val="false"/>
          <w:sz w:val="12"/>
          <w:szCs w:val="12"/>
          <w:shd w:fill="FFFFFF" w:val="clear"/>
        </w:rPr>
      </w:pPr>
      <w:r>
        <w:rPr>
          <w:b w:val="false"/>
          <w:bCs/>
          <w:i w:val="false"/>
          <w:sz w:val="12"/>
          <w:szCs w:val="12"/>
          <w:shd w:fill="FFFFFF" w:val="clear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7" w:name="_Toc51339693"/>
      <w:bookmarkStart w:id="8" w:name="_Toc75446573"/>
      <w:bookmarkStart w:id="9" w:name="_Toc50125126"/>
      <w:bookmarkEnd w:id="9"/>
      <w:r>
        <w:rPr>
          <w:iCs/>
          <w:sz w:val="24"/>
          <w:szCs w:val="24"/>
        </w:rPr>
        <w:t>Требования к продукции</w:t>
      </w:r>
      <w:bookmarkEnd w:id="7"/>
      <w:bookmarkEnd w:id="8"/>
      <w:r>
        <w:rPr>
          <w:iCs/>
          <w:caps/>
          <w:sz w:val="24"/>
          <w:szCs w:val="24"/>
          <w:lang w:val="ru-RU"/>
        </w:rPr>
        <w:t>.</w:t>
      </w:r>
    </w:p>
    <w:p>
      <w:pPr>
        <w:pStyle w:val="Normal"/>
        <w:ind w:left="357" w:hanging="357"/>
        <w:jc w:val="center"/>
        <w:rPr>
          <w:iCs/>
          <w:caps/>
          <w:sz w:val="12"/>
          <w:szCs w:val="12"/>
          <w:lang w:val="ru-RU"/>
        </w:rPr>
      </w:pPr>
      <w:r>
        <w:rPr>
          <w:iCs/>
          <w:caps/>
          <w:sz w:val="12"/>
          <w:szCs w:val="12"/>
          <w:lang w:val="ru-RU"/>
        </w:rPr>
      </w:r>
    </w:p>
    <w:p>
      <w:pPr>
        <w:pStyle w:val="Heading4"/>
        <w:numPr>
          <w:ilvl w:val="1"/>
          <w:numId w:val="3"/>
        </w:numPr>
        <w:rPr/>
      </w:pPr>
      <w:bookmarkStart w:id="10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0"/>
      <w:r>
        <w:rPr>
          <w:lang w:val="ru-RU"/>
        </w:rPr>
        <w:t>.</w:t>
      </w:r>
    </w:p>
    <w:p>
      <w:pPr>
        <w:pStyle w:val="Heading3"/>
        <w:numPr>
          <w:ilvl w:val="2"/>
          <w:numId w:val="3"/>
        </w:numPr>
        <w:rPr/>
      </w:pPr>
      <w:bookmarkStart w:id="11" w:name="_Toc75446575"/>
      <w:r>
        <w:rPr>
          <w:lang w:val="ru-RU"/>
        </w:rPr>
        <w:t>Перечень и объем закупаемой продукции</w:t>
      </w:r>
      <w:bookmarkEnd w:id="11"/>
      <w:r>
        <w:rPr>
          <w:lang w:val="ru-RU"/>
        </w:rPr>
        <w:t>.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2" w:name="_Toc75446576"/>
      <w:bookmarkStart w:id="13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3"/>
      <w:r>
        <w:rPr>
          <w:sz w:val="24"/>
          <w:szCs w:val="24"/>
          <w:lang w:val="ru-RU"/>
        </w:rPr>
        <w:t>и объем закупаемой продукции</w:t>
      </w:r>
      <w:bookmarkEnd w:id="12"/>
      <w:r>
        <w:rPr>
          <w:sz w:val="24"/>
          <w:szCs w:val="24"/>
          <w:lang w:val="ru-RU"/>
        </w:rPr>
        <w:t>.</w:t>
      </w:r>
    </w:p>
    <w:tbl>
      <w:tblPr>
        <w:tblW w:w="10214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37"/>
        <w:gridCol w:w="6140"/>
        <w:gridCol w:w="1578"/>
        <w:gridCol w:w="1658"/>
      </w:tblGrid>
      <w:tr>
        <w:trPr/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0" w:after="0"/>
              <w:ind w:left="283" w:right="57" w:hanging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keepNext w:val="true"/>
              <w:widowControl w:val="false"/>
              <w:numPr>
                <w:ilvl w:val="0"/>
              </w:numPr>
              <w:tabs>
                <w:tab w:val="clear" w:pos="0"/>
                <w:tab w:val="left" w:pos="900" w:leader="none"/>
              </w:tabs>
              <w:spacing w:lineRule="auto" w:line="276" w:before="120" w:after="60"/>
              <w:ind w:left="0" w:hanging="0"/>
              <w:jc w:val="left"/>
              <w:rPr>
                <w:color w:val="000000"/>
              </w:rPr>
            </w:pPr>
            <w:r>
              <w:rPr>
                <w:rFonts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ОКПД 2: 28.13.13.120 — Модернизация</w:t>
            </w:r>
            <w:r>
              <w:rPr>
                <w:rFonts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en-US"/>
              </w:rPr>
              <w:t xml:space="preserve"> насосного агрегата для подачи рабочей жидкости с необходимым давлением </w:t>
            </w:r>
            <w:r>
              <w:rPr>
                <w:rFonts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для выполнения работ на Нижегородской ГЭС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/>
            </w:pPr>
            <w:r>
              <w:rPr/>
              <w:t>1.1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Гидропанель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/>
            </w:pPr>
            <w:r>
              <w:rPr/>
              <w:t>1.2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Крышка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/>
            </w:pPr>
            <w:r>
              <w:rPr/>
              <w:t>1.3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Фланец насоса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/>
            </w:pPr>
            <w:r>
              <w:rPr/>
              <w:t>1.4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Фланец опорный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/>
            </w:pPr>
            <w:r>
              <w:rPr/>
              <w:t>1.5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Клапан обратный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/>
            </w:pPr>
            <w:r>
              <w:rPr/>
              <w:t>1.6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Контрольная точка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/>
            </w:pPr>
            <w:r>
              <w:rPr/>
              <w:t>1.7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Полуфланец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/>
            </w:pPr>
            <w:r>
              <w:rPr/>
              <w:t>1.8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Стакан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/>
            </w:pPr>
            <w:r>
              <w:rPr/>
              <w:t>1.9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Полумуфта насоса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/>
            </w:pPr>
            <w:r>
              <w:rPr/>
              <w:t>1.10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Полумуфта эл/двигателя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center"/>
              <w:rPr/>
            </w:pPr>
            <w:r>
              <w:rPr/>
              <w:t>1.11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Звездочка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</w:tr>
    </w:tbl>
    <w:p>
      <w:pPr>
        <w:pStyle w:val="Heading1"/>
        <w:ind w:left="0" w:hanging="0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4" w:name="_Toc75446578"/>
      <w:bookmarkStart w:id="15" w:name="_Toc51339696"/>
      <w:r>
        <w:rPr>
          <w:lang w:val="ru-RU"/>
        </w:rPr>
        <w:t xml:space="preserve">Требования </w:t>
      </w:r>
      <w:bookmarkEnd w:id="15"/>
      <w:r>
        <w:rPr>
          <w:lang w:val="ru-RU"/>
        </w:rPr>
        <w:t xml:space="preserve">к срокам поставки продукции. </w:t>
      </w:r>
      <w:bookmarkEnd w:id="1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6" w:name="_Toc75446579"/>
      <w:bookmarkStart w:id="17" w:name="_Toc50125127"/>
      <w:bookmarkStart w:id="18" w:name="_Toc51339697"/>
      <w:bookmarkStart w:id="19" w:name="_Toc501251261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3.</w:t>
      </w:r>
      <w:r>
        <w:rPr>
          <w:sz w:val="24"/>
          <w:szCs w:val="24"/>
        </w:rPr>
        <w:t xml:space="preserve"> </w:t>
      </w:r>
      <w:bookmarkStart w:id="20" w:name="_Hlk50465284"/>
      <w:r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поставки продукции</w:t>
      </w:r>
      <w:bookmarkEnd w:id="16"/>
      <w:r>
        <w:rPr>
          <w:sz w:val="24"/>
          <w:szCs w:val="24"/>
          <w:lang w:val="ru-RU"/>
        </w:rPr>
        <w:t xml:space="preserve">. </w:t>
      </w:r>
    </w:p>
    <w:tbl>
      <w:tblPr>
        <w:tblpPr w:bottomFromText="0" w:horzAnchor="text" w:leftFromText="180" w:rightFromText="180" w:tblpX="137" w:tblpY="1" w:topFromText="0" w:vertAnchor="text"/>
        <w:tblW w:w="991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50"/>
        <w:gridCol w:w="3336"/>
        <w:gridCol w:w="2471"/>
        <w:gridCol w:w="3255"/>
      </w:tblGrid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1" w:name="_Toc46743510"/>
            <w:r>
              <w:rPr>
                <w:b/>
                <w:sz w:val="24"/>
                <w:szCs w:val="24"/>
              </w:rPr>
              <w:t>4</w:t>
            </w:r>
            <w:bookmarkEnd w:id="21"/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1"/>
              <w:keepNext w:val="true"/>
              <w:widowControl w:val="false"/>
              <w:numPr>
                <w:ilvl w:val="0"/>
              </w:numPr>
              <w:tabs>
                <w:tab w:val="clear" w:pos="0"/>
                <w:tab w:val="left" w:pos="900" w:leader="none"/>
              </w:tabs>
              <w:spacing w:lineRule="auto" w:line="276" w:before="120" w:after="60"/>
              <w:ind w:left="0" w:hanging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</w:pPr>
            <w:r>
              <w:rPr>
                <w:rFonts w:eastAsia="Arial Unicode MS" w:cs="Times New Roman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ОКПД 2: 28.13.13.120 — </w:t>
            </w:r>
            <w:r>
              <w:rPr>
                <w:rFonts w:eastAsia="Arial Unicode MS" w:cs="Times New Roman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kern w:val="0"/>
                <w:sz w:val="24"/>
                <w:szCs w:val="24"/>
                <w:lang w:val="ru-RU" w:eastAsia="ru-RU" w:bidi="ar-SA"/>
              </w:rPr>
              <w:t>Модернизация</w:t>
            </w:r>
            <w:r>
              <w:rPr>
                <w:rFonts w:eastAsia="Arial Unicode MS" w:cs="Times New Roman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kern w:val="0"/>
                <w:sz w:val="24"/>
                <w:szCs w:val="24"/>
                <w:lang w:val="ru-RU" w:eastAsia="en-US" w:bidi="ar-SA"/>
              </w:rPr>
              <w:t xml:space="preserve"> насосного агрегата для подачи рабочей жидкости с необходимым давлением </w:t>
            </w:r>
            <w:r>
              <w:rPr>
                <w:rFonts w:eastAsia="Arial Unicode MS" w:cs="Times New Roman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kern w:val="0"/>
                <w:sz w:val="24"/>
                <w:szCs w:val="24"/>
                <w:lang w:val="ru-RU" w:eastAsia="ru-RU" w:bidi="ar-SA"/>
              </w:rPr>
              <w:t>для выполнения работ на Нижегородской ГЭС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31.12.2026</w:t>
            </w:r>
          </w:p>
        </w:tc>
      </w:tr>
    </w:tbl>
    <w:p>
      <w:pPr>
        <w:pStyle w:val="Heading1"/>
        <w:tabs>
          <w:tab w:val="clear" w:pos="0"/>
        </w:tabs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>
          <w:lang w:val="ru-RU"/>
        </w:rPr>
      </w:pPr>
      <w:bookmarkStart w:id="22" w:name="_Toc75446581"/>
      <w:bookmarkStart w:id="23" w:name="_Toc46743511"/>
      <w:bookmarkStart w:id="24" w:name="_Toc51339698"/>
      <w:bookmarkEnd w:id="24"/>
      <w:r>
        <w:rPr/>
        <w:t xml:space="preserve">Требования к </w:t>
      </w:r>
      <w:bookmarkEnd w:id="23"/>
      <w:r>
        <w:rPr>
          <w:lang w:val="ru-RU"/>
        </w:rPr>
        <w:t>качеству продукции</w:t>
      </w:r>
      <w:bookmarkEnd w:id="22"/>
      <w:r>
        <w:rPr>
          <w:lang w:val="ru-RU"/>
        </w:rPr>
        <w:t>.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2.2.1 Позиции № 1.1-1.</w:t>
      </w:r>
      <w:r>
        <w:rPr>
          <w:sz w:val="24"/>
          <w:szCs w:val="24"/>
          <w:lang w:eastAsia="x-none"/>
        </w:rPr>
        <w:t>11</w:t>
      </w:r>
      <w:r>
        <w:rPr>
          <w:sz w:val="24"/>
          <w:szCs w:val="24"/>
          <w:lang w:eastAsia="x-none"/>
        </w:rPr>
        <w:t xml:space="preserve"> таблицы 1.1 </w:t>
      </w:r>
      <w:r>
        <w:rPr>
          <w:rFonts w:eastAsia="Arial Unicode MS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4"/>
          <w:lang w:val="ru-RU" w:eastAsia="ru-RU" w:bidi="ar-SA"/>
        </w:rPr>
        <w:t>Модернизация</w:t>
      </w:r>
      <w:r>
        <w:rPr>
          <w:rFonts w:eastAsia="Arial Unicode MS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4"/>
          <w:lang w:val="ru-RU" w:eastAsia="en-US" w:bidi="ar-SA"/>
        </w:rPr>
        <w:t xml:space="preserve"> насосного агрегата для подачи рабочей жидкости с необходимым давлением </w:t>
      </w:r>
      <w:r>
        <w:rPr>
          <w:rFonts w:eastAsia="Arial Unicode MS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4"/>
          <w:lang w:val="ru-RU" w:eastAsia="ru-RU" w:bidi="ar-SA"/>
        </w:rPr>
        <w:t xml:space="preserve">для выполнения работ на Нижегородской ГЭС </w:t>
      </w:r>
      <w:r>
        <w:rPr>
          <w:sz w:val="24"/>
          <w:szCs w:val="24"/>
          <w:lang w:eastAsia="x-none"/>
        </w:rPr>
        <w:t xml:space="preserve">в соответствии с приложением </w:t>
      </w:r>
      <w:r>
        <w:rPr>
          <w:sz w:val="24"/>
          <w:szCs w:val="24"/>
          <w:shd w:fill="FFFFFF" w:val="clear"/>
          <w:lang w:eastAsia="x-none"/>
        </w:rPr>
        <w:t>№1 к Техническим требованиям.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4"/>
        <w:tabs>
          <w:tab w:val="clear" w:pos="0"/>
        </w:tabs>
        <w:ind w:left="1224" w:hanging="0"/>
        <w:rPr>
          <w:lang w:val="ru-RU"/>
        </w:rPr>
      </w:pPr>
      <w:bookmarkStart w:id="25" w:name="_Toc513396981"/>
      <w:bookmarkEnd w:id="25"/>
      <w:r>
        <w:rPr>
          <w:lang w:val="ru-RU"/>
        </w:rPr>
        <w:t xml:space="preserve">3. </w:t>
      </w:r>
      <w:bookmarkStart w:id="26" w:name="_Toc54785625"/>
      <w:bookmarkStart w:id="27" w:name="_Toc54279844"/>
      <w:r>
        <w:rPr>
          <w:lang w:val="ru-RU"/>
        </w:rPr>
        <w:t>Требования к документации по ценообразованию на этапе закупки</w:t>
      </w:r>
      <w:bookmarkEnd w:id="26"/>
      <w:bookmarkEnd w:id="27"/>
      <w:r>
        <w:rPr>
          <w:lang w:val="ru-RU"/>
        </w:rPr>
        <w:t>.</w:t>
      </w:r>
    </w:p>
    <w:p>
      <w:pPr>
        <w:pStyle w:val="ListParagraph"/>
        <w:ind w:left="1080" w:hanging="0"/>
        <w:rPr>
          <w:lang w:eastAsia="x-none"/>
        </w:rPr>
      </w:pPr>
      <w:r>
        <w:rPr>
          <w:lang w:eastAsia="x-none"/>
        </w:rPr>
      </w:r>
    </w:p>
    <w:p>
      <w:pPr>
        <w:pStyle w:val="Normal"/>
        <w:spacing w:before="0" w:after="120"/>
        <w:ind w:left="142" w:hanging="420"/>
        <w:jc w:val="both"/>
        <w:rPr>
          <w:sz w:val="24"/>
          <w:szCs w:val="24"/>
        </w:rPr>
      </w:pPr>
      <w:r>
        <w:rPr>
          <w:bCs/>
          <w:sz w:val="24"/>
          <w:szCs w:val="24"/>
          <w:lang w:eastAsia="x-none"/>
        </w:rPr>
        <w:t xml:space="preserve">     </w:t>
      </w:r>
      <w:r>
        <w:rPr>
          <w:bCs/>
          <w:sz w:val="24"/>
          <w:szCs w:val="24"/>
          <w:lang w:eastAsia="x-none"/>
        </w:rPr>
        <w:t xml:space="preserve">3.1. В обоснование стоимости своей заявки Участник предоставляет Коммерческое предложение по форме </w:t>
      </w:r>
      <w:bookmarkStart w:id="28" w:name="_Hlk88325985"/>
      <w:r>
        <w:rPr>
          <w:bCs/>
          <w:sz w:val="24"/>
          <w:szCs w:val="24"/>
          <w:lang w:eastAsia="x-none"/>
        </w:rPr>
        <w:t>(с учетом прилагаемой к ней инструкции по заполнению)</w:t>
      </w:r>
      <w:bookmarkEnd w:id="28"/>
      <w:r>
        <w:rPr>
          <w:bCs/>
          <w:sz w:val="24"/>
          <w:szCs w:val="24"/>
          <w:lang w:eastAsia="x-none"/>
        </w:rPr>
        <w:t>, приведенной в Документации о закупке.</w:t>
      </w:r>
    </w:p>
    <w:p>
      <w:pPr>
        <w:sectPr>
          <w:footerReference w:type="default" r:id="rId2"/>
          <w:type w:val="nextPage"/>
          <w:pgSz w:w="11906" w:h="16838"/>
          <w:pgMar w:left="851" w:right="851" w:gutter="0" w:header="0" w:top="567" w:footer="992" w:bottom="1597"/>
          <w:pgNumType w:fmt="decimal"/>
          <w:formProt w:val="false"/>
          <w:titlePg/>
          <w:textDirection w:val="lrTb"/>
          <w:docGrid w:type="default" w:linePitch="100" w:charSpace="0"/>
        </w:sectPr>
        <w:pStyle w:val="Normal"/>
        <w:spacing w:before="0" w:after="120"/>
        <w:ind w:left="-278" w:hanging="0"/>
        <w:jc w:val="both"/>
        <w:rPr>
          <w:sz w:val="24"/>
          <w:szCs w:val="24"/>
        </w:rPr>
      </w:pPr>
      <w:r>
        <w:rPr>
          <w:bCs/>
          <w:sz w:val="24"/>
          <w:szCs w:val="24"/>
          <w:lang w:eastAsia="x-none"/>
        </w:rPr>
        <w:t xml:space="preserve">3.2. </w:t>
      </w:r>
      <w:bookmarkStart w:id="29" w:name="_Hlk88327292"/>
      <w:r>
        <w:rPr>
          <w:bCs/>
          <w:sz w:val="24"/>
          <w:szCs w:val="24"/>
          <w:lang w:eastAsia="x-none"/>
        </w:rPr>
        <w:t>Дополнительные документы по цено</w:t>
      </w:r>
      <w:bookmarkEnd w:id="29"/>
      <w:r>
        <w:rPr>
          <w:bCs/>
          <w:sz w:val="24"/>
          <w:szCs w:val="24"/>
          <w:lang w:eastAsia="x-none"/>
        </w:rPr>
        <w:t>образованию в состав заявки не включаются.</w:t>
      </w:r>
    </w:p>
    <w:p>
      <w:pPr>
        <w:pStyle w:val="Normal"/>
        <w:ind w:left="10490" w:hanging="0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eastAsia="x-none"/>
        </w:rPr>
        <w:t>4.</w:t>
        <w:tab/>
        <w:t>Приложения.</w:t>
      </w:r>
    </w:p>
    <w:p>
      <w:pPr>
        <w:pStyle w:val="Normal"/>
        <w:ind w:left="10490" w:hanging="0"/>
        <w:rPr>
          <w:sz w:val="22"/>
          <w:szCs w:val="22"/>
        </w:rPr>
      </w:pPr>
      <w:r>
        <w:rPr>
          <w:sz w:val="22"/>
          <w:szCs w:val="22"/>
          <w:lang w:eastAsia="x-none"/>
        </w:rPr>
        <w:t>Приложение № 1 к Техническим требованиям</w:t>
      </w:r>
    </w:p>
    <w:p>
      <w:pPr>
        <w:pStyle w:val="Normal"/>
        <w:spacing w:before="0" w:after="120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val="x-none"/>
        </w:rPr>
        <w:t xml:space="preserve">Таблица 1.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>Наименование продукции: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ОКПД 2: 28.13.13.120 — 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Модернизация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en-US"/>
        </w:rPr>
        <w:t xml:space="preserve"> насосного агрегата для подачи рабочей жидкости с необходимым давлением 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для выполнения работ на Нижегородской ГЭС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tbl>
      <w:tblPr>
        <w:tblStyle w:val="affff6"/>
        <w:tblW w:w="5000" w:type="pct"/>
        <w:jc w:val="left"/>
        <w:tblInd w:w="67" w:type="dxa"/>
        <w:tblLayout w:type="fixed"/>
        <w:tblCellMar>
          <w:top w:w="0" w:type="dxa"/>
          <w:left w:w="57" w:type="dxa"/>
          <w:bottom w:w="0" w:type="dxa"/>
          <w:right w:w="28" w:type="dxa"/>
        </w:tblCellMar>
        <w:tblLook w:noVBand="1" w:val="04a0" w:noHBand="0" w:lastColumn="0" w:firstColumn="1" w:lastRow="0" w:firstRow="1"/>
      </w:tblPr>
      <w:tblGrid>
        <w:gridCol w:w="1057"/>
        <w:gridCol w:w="5033"/>
        <w:gridCol w:w="5650"/>
        <w:gridCol w:w="3538"/>
      </w:tblGrid>
      <w:tr>
        <w:trPr>
          <w:tblHeader w:val="true"/>
        </w:trPr>
        <w:tc>
          <w:tcPr>
            <w:tcW w:w="105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503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6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5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blHeader w:val="true"/>
        </w:trPr>
        <w:tc>
          <w:tcPr>
            <w:tcW w:w="105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0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6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>
          <w:trHeight w:val="283" w:hRule="atLeast"/>
        </w:trPr>
        <w:tc>
          <w:tcPr>
            <w:tcW w:w="105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1068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538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650" w:hRule="atLeast"/>
        </w:trPr>
        <w:tc>
          <w:tcPr>
            <w:tcW w:w="105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1.1.</w:t>
            </w:r>
          </w:p>
        </w:tc>
        <w:tc>
          <w:tcPr>
            <w:tcW w:w="5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</w:p>
        </w:tc>
        <w:tc>
          <w:tcPr>
            <w:tcW w:w="56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Насосный агрегат вертикального исполнения с клапанным блоком ограничения давления и электрической разгрузкой.</w:t>
            </w:r>
          </w:p>
        </w:tc>
        <w:tc>
          <w:tcPr>
            <w:tcW w:w="3538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провести модернизацию,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1.2.</w:t>
            </w:r>
          </w:p>
        </w:tc>
        <w:tc>
          <w:tcPr>
            <w:tcW w:w="5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Назначение</w:t>
            </w:r>
          </w:p>
        </w:tc>
        <w:tc>
          <w:tcPr>
            <w:tcW w:w="56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Насосный агрегат предназначен для подачи рабочей жидкости с необходимым давлением.</w:t>
            </w:r>
          </w:p>
        </w:tc>
        <w:tc>
          <w:tcPr>
            <w:tcW w:w="353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87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1.3.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Модель насоса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PWOF055#6ARWF3WF400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04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1.4.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Модель электродвигателя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А250 S2 БУ3 380/660 IM2011 IP65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1.5.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Клапан предохранительный с разгрузкой КП1+КД1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AGAM-32/10/210-IX 24DC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1.6.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Клапан обратный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RHV42LREDOMDCF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1.7.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Давление на выходе максимальное, МПа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1.8.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Производительность насоса. л/мин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1.9.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Мощность электродвигателя, кВт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1.10.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Частота вращения, об/мин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2965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1.11.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питания, В/Гц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~</w:t>
            </w:r>
            <w:r>
              <w:rPr>
                <w:sz w:val="24"/>
                <w:szCs w:val="24"/>
              </w:rPr>
              <w:t>380/50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1.12.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Габаритные размеры: дл. х шир. х выс., мм.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750х650х2450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1.13.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Масса, кг.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1.14.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защиты электродвигателя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 65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1.15.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питания электромагнита клапана управления разгрузкой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постоянного тока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1.16.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жидкость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минеральное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чистоты рабочей жидкости по ГОСТ 17216-2001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3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b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2.</w:t>
            </w:r>
          </w:p>
        </w:tc>
        <w:tc>
          <w:tcPr>
            <w:tcW w:w="1068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Требования к доставке, транспортировке, приемке.</w:t>
            </w:r>
          </w:p>
        </w:tc>
        <w:tc>
          <w:tcPr>
            <w:tcW w:w="353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5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56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Филиал ПАО «РусГидро» - «Нижегородская ГЭС», РФ, 606520, Нижегородская обл., г. Заволжье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, ул. Привокзальная д.14.</w:t>
            </w:r>
          </w:p>
        </w:tc>
        <w:tc>
          <w:tcPr>
            <w:tcW w:w="353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2.2.</w:t>
            </w:r>
          </w:p>
        </w:tc>
        <w:tc>
          <w:tcPr>
            <w:tcW w:w="5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Поставка</w:t>
            </w:r>
          </w:p>
        </w:tc>
        <w:tc>
          <w:tcPr>
            <w:tcW w:w="56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en-US" w:bidi="ar-SA"/>
              </w:rPr>
              <w:t>Сроки поставки на объект согласно пункту 2.1.2</w:t>
            </w:r>
          </w:p>
        </w:tc>
        <w:tc>
          <w:tcPr>
            <w:tcW w:w="353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поставки</w:t>
            </w:r>
          </w:p>
        </w:tc>
        <w:tc>
          <w:tcPr>
            <w:tcW w:w="565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 понедельника по четверг: с 8-00 до 12-00 и с 13-00 до 16-00 (по местному времени, МСК), в пятницу: с 8-00 до 12-00 и с 13-00 до 15-00 (по местному времени, МСК ).</w:t>
            </w:r>
          </w:p>
        </w:tc>
        <w:tc>
          <w:tcPr>
            <w:tcW w:w="353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2.4.</w:t>
            </w:r>
          </w:p>
        </w:tc>
        <w:tc>
          <w:tcPr>
            <w:tcW w:w="5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</w:t>
            </w:r>
          </w:p>
        </w:tc>
        <w:tc>
          <w:tcPr>
            <w:tcW w:w="56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en-US" w:bidi="ar-SA"/>
              </w:rPr>
              <w:t>Соответствие продукции и представленных документов договору и техническим требованиям.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en-US" w:bidi="ar-SA"/>
              </w:rPr>
              <w:t>Продукция должна быть новой, ранее не использовавшейся.</w:t>
            </w:r>
          </w:p>
        </w:tc>
        <w:tc>
          <w:tcPr>
            <w:tcW w:w="353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2.5.</w:t>
            </w:r>
          </w:p>
        </w:tc>
        <w:tc>
          <w:tcPr>
            <w:tcW w:w="50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информации о транспорте, на котором осуществляется доставка</w:t>
            </w:r>
          </w:p>
        </w:tc>
        <w:tc>
          <w:tcPr>
            <w:tcW w:w="56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позднее, чем за 2 рабочих дня, предшествующих дню поставки.</w:t>
            </w:r>
          </w:p>
        </w:tc>
        <w:tc>
          <w:tcPr>
            <w:tcW w:w="353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b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3.</w:t>
            </w:r>
          </w:p>
        </w:tc>
        <w:tc>
          <w:tcPr>
            <w:tcW w:w="1068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53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523" w:hRule="atLeast"/>
        </w:trPr>
        <w:tc>
          <w:tcPr>
            <w:tcW w:w="105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5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Гарантия, не менее</w:t>
            </w:r>
          </w:p>
        </w:tc>
        <w:tc>
          <w:tcPr>
            <w:tcW w:w="56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12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 месяцев с момента ввода в эксплуатацию.</w:t>
            </w:r>
          </w:p>
        </w:tc>
        <w:tc>
          <w:tcPr>
            <w:tcW w:w="353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b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4.</w:t>
            </w:r>
          </w:p>
        </w:tc>
        <w:tc>
          <w:tcPr>
            <w:tcW w:w="1068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53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4.1.</w:t>
            </w:r>
          </w:p>
        </w:tc>
        <w:tc>
          <w:tcPr>
            <w:tcW w:w="5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Насосный агрегат ЛГК2323.01.00.00 — 1 компл.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ЛГК2323.01.00.00ПС —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Паспорт электродвигателя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А250 S2 БУЗ 380/660 IM2011 IP65 ДТ.520205.014 РЭ —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Руководство по эксплуатации электродвигателя ДТ.520205.014 РЭ — 1 шт.</w:t>
            </w:r>
          </w:p>
        </w:tc>
        <w:tc>
          <w:tcPr>
            <w:tcW w:w="56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en-US" w:bidi="ar-SA"/>
              </w:rPr>
              <w:t>При поставке продукция должна быть укомплектована документами на русском языке, удостоверяющими качество продукции и гарантийные обязательства производителя, выданными производителем продукции.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en-US" w:bidi="ar-SA"/>
              </w:rPr>
              <w:t>Предоставляется при поставке продукции: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uppressAutoHyphens w:val="true"/>
              <w:spacing w:before="0" w:after="0"/>
              <w:jc w:val="left"/>
              <w:rPr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en-US" w:bidi="ar-SA"/>
              </w:rPr>
              <w:t>- Паспорт и руководство (инструкция) по эксплуатации на русском языке;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en-US" w:bidi="ar-SA"/>
              </w:rPr>
              <w:t>- Гарантийный талон или другой документ, выполнение требований которого является условием выполнения гарантийных обязательств производителя или поставщика;</w:t>
            </w:r>
          </w:p>
        </w:tc>
        <w:tc>
          <w:tcPr>
            <w:tcW w:w="353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05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4.2.</w:t>
            </w:r>
          </w:p>
        </w:tc>
        <w:tc>
          <w:tcPr>
            <w:tcW w:w="5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Поставка оборудования выполняется в таком объёме, которая позволяет начать его использование без доработки и закупки дополнительных комплектующих, расходных материалов и изделий</w:t>
            </w:r>
          </w:p>
        </w:tc>
        <w:tc>
          <w:tcPr>
            <w:tcW w:w="56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Обязательно</w:t>
            </w:r>
          </w:p>
        </w:tc>
        <w:tc>
          <w:tcPr>
            <w:tcW w:w="353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right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  <w:lang w:eastAsia="x-none"/>
        </w:rPr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992" w:right="567" w:gutter="0" w:header="0" w:top="284" w:footer="567" w:bottom="117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suff w:val="nothing"/>
      <w:lvlText w:val="%1."/>
      <w:lvlJc w:val="center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suff w:val="nothing"/>
      <w:lvlText w:val="%1."/>
      <w:lvlJc w:val="center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0"/>
        <w:sz w:val="0"/>
        <w:spacing w:val="0"/>
        <w:i w:val="false"/>
        <w:shadow w:val="false"/>
        <w:u w:val="none" w:color="000000"/>
        <w:b w:val="false"/>
        <w:kern w:val="0"/>
        <w:effect w:val="none"/>
        <w:shd w:fill="000000" w:val="clear"/>
        <w:szCs w:val="0"/>
        <w:iCs w:val="false"/>
        <w:bCs w:val="false"/>
        <w:em w:val="none"/>
        <w:w w:val="100"/>
        <w:emboss w:val="false"/>
        <w:imprint w:val="false"/>
        <w:vanish w:val="false"/>
        <w:rFonts w:ascii="Times New Roman" w:hAnsi="Times New Roman" w:cs="Times New Roman"/>
        <w:color w:val="000000"/>
        <w:lang w:val="x-none" w:eastAsia="x-none" w:bidi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semiHidden="1" w:unhideWhenUsed="1" w:qFormat="1"/>
    <w:lsdException w:name="heading 3" w:uiPriority="99" w:semiHidden="1" w:unhideWhenUsed="1" w:qFormat="1"/>
    <w:lsdException w:name="heading 4" w:uiPriority="9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54ab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uiPriority w:val="99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uiPriority w:val="99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uiPriority w:val="99"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uiPriority w:val="99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 w:customStyle="1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uiPriority w:val="99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uiPriority w:val="99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uiPriority w:val="99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Основной текст + Малые прописные"/>
    <w:uiPriority w:val="99"/>
    <w:qFormat/>
    <w:rsid w:val="00155dc1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5" w:customStyle="1">
    <w:name w:val="Основной текст_"/>
    <w:link w:val="111"/>
    <w:uiPriority w:val="99"/>
    <w:qFormat/>
    <w:locked/>
    <w:rsid w:val="00155dc1"/>
    <w:rPr>
      <w:sz w:val="28"/>
      <w:szCs w:val="28"/>
      <w:shd w:fill="FFFFFF" w:val="clear"/>
    </w:rPr>
  </w:style>
  <w:style w:type="character" w:styleId="Tabschars-list-item-value" w:customStyle="1">
    <w:name w:val="tabs__chars-list-item-value"/>
    <w:basedOn w:val="DefaultParagraphFont"/>
    <w:qFormat/>
    <w:rsid w:val="005131a7"/>
    <w:rPr/>
  </w:style>
  <w:style w:type="character" w:styleId="14" w:customStyle="1">
    <w:name w:val="Заголовок1"/>
    <w:basedOn w:val="DefaultParagraphFont"/>
    <w:qFormat/>
    <w:rsid w:val="004272c4"/>
    <w:rPr/>
  </w:style>
  <w:style w:type="character" w:styleId="Style16" w:customStyle="1">
    <w:name w:val="Ссылка указателя"/>
    <w:qFormat/>
    <w:rPr/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99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1" w:customStyle="1">
    <w:name w:val="Основной текст1"/>
    <w:basedOn w:val="Normal"/>
    <w:link w:val="Style15"/>
    <w:uiPriority w:val="99"/>
    <w:qFormat/>
    <w:rsid w:val="00155dc1"/>
    <w:pPr>
      <w:widowControl w:val="false"/>
      <w:shd w:val="clear" w:color="auto" w:fill="FFFFFF"/>
      <w:spacing w:lineRule="exact" w:line="302"/>
    </w:pPr>
    <w:rPr/>
  </w:style>
  <w:style w:type="paragraph" w:styleId="37" w:customStyle="1">
    <w:name w:val="Абзац списка3"/>
    <w:basedOn w:val="Normal"/>
    <w:qFormat/>
    <w:rsid w:val="00dc37e2"/>
    <w:pPr>
      <w:widowControl w:val="false"/>
      <w:spacing w:lineRule="auto" w:line="276" w:before="0" w:after="200"/>
      <w:contextualSpacing/>
    </w:pPr>
    <w:rPr>
      <w:sz w:val="22"/>
      <w:szCs w:val="22"/>
      <w:lang w:eastAsia="en-US"/>
    </w:rPr>
  </w:style>
  <w:style w:type="paragraph" w:styleId="ListNumber">
    <w:name w:val="List Number"/>
    <w:basedOn w:val="Normal"/>
    <w:qFormat/>
    <w:rsid w:val="004820fc"/>
    <w:pPr>
      <w:numPr>
        <w:ilvl w:val="0"/>
        <w:numId w:val="9"/>
      </w:numPr>
      <w:spacing w:lineRule="auto" w:line="276" w:before="0" w:after="0"/>
      <w:contextualSpacing/>
      <w:jc w:val="center"/>
    </w:pPr>
    <w:rPr>
      <w:b/>
      <w:sz w:val="24"/>
      <w:szCs w:val="22"/>
      <w:lang w:eastAsia="zh-CN"/>
    </w:rPr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6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6"/>
    <w:uiPriority w:val="39"/>
    <w:rsid w:val="003f4294"/>
    <w:rPr>
      <w:rFonts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730DD-A77D-4805-90CA-2A7B65F86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3128</TotalTime>
  <Application>AlterOffice/3.4.0.9$Linux_X86_64 LibreOffice_project/b8daf9e823b1a5463a2f48435ddc2e8696e7d4fc</Application>
  <AppVersion>15.0000</AppVersion>
  <Pages>7</Pages>
  <Words>847</Words>
  <Characters>5865</Characters>
  <CharactersWithSpaces>6202</CharactersWithSpaces>
  <Paragraphs>204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2023-11-10T10:14:00Z</dcterms:created>
  <dc:creator>Быстров Олег Геннадьевич</dc:creator>
  <dc:description/>
  <dc:language>ru-RU</dc:language>
  <cp:lastModifiedBy>kudryavtsevaen@corp.gidroogk.com</cp:lastModifiedBy>
  <cp:lastPrinted>2026-09-24T14:50:34Z</cp:lastPrinted>
  <dcterms:modified xsi:type="dcterms:W3CDTF">2026-11-05T15:34:25Z</dcterms:modified>
  <cp:revision>55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