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0" w:after="0"/>
        <w:contextualSpacing/>
        <w:jc w:val="left"/>
        <w:rPr>
          <w:rFonts w:ascii="Arial" w:hAnsi="Arial" w:eastAsia="Times New Roman" w:cs="Arial"/>
          <w:color w:val="000000"/>
          <w:sz w:val="10"/>
          <w:szCs w:val="10"/>
        </w:rPr>
      </w:pPr>
      <w:r>
        <w:rPr>
          <w:rFonts w:eastAsia="Times New Roman" w:cs="Arial" w:ascii="Arial" w:hAnsi="Arial"/>
          <w:color w:val="000000"/>
          <w:sz w:val="10"/>
          <w:szCs w:val="10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2331720</wp:posOffset>
            </wp:positionH>
            <wp:positionV relativeFrom="paragraph">
              <wp:posOffset>635</wp:posOffset>
            </wp:positionV>
            <wp:extent cx="1499870" cy="539750"/>
            <wp:effectExtent l="0" t="0" r="0" b="0"/>
            <wp:wrapThrough wrapText="bothSides">
              <wp:wrapPolygon edited="0">
                <wp:start x="2758" y="0"/>
                <wp:lineTo x="1115" y="99"/>
                <wp:lineTo x="-128" y="5429"/>
                <wp:lineTo x="-128" y="13843"/>
                <wp:lineTo x="1392" y="19930"/>
                <wp:lineTo x="1939" y="19930"/>
                <wp:lineTo x="5508" y="19930"/>
                <wp:lineTo x="10448" y="19930"/>
                <wp:lineTo x="20048" y="14589"/>
                <wp:lineTo x="20600" y="4684"/>
                <wp:lineTo x="18678" y="3162"/>
                <wp:lineTo x="4410" y="0"/>
                <wp:lineTo x="2758" y="0"/>
              </wp:wrapPolygon>
            </wp:wrapThrough>
            <wp:docPr id="1" name="Рисунок 1" descr="C:\Users\portyanaya_vg\Desktop\ДРСК_РусГидро_30сентября_2019_без полос_горизонталь_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portyanaya_vg\Desktop\ДРСК_РусГидро_30сентября_2019_без полос_горизонталь_png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6575" t="14636" r="0" b="16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ind w:left="0" w:hanging="0"/>
        <w:jc w:val="center"/>
        <w:outlineLvl w:val="0"/>
        <w:rPr>
          <w:rFonts w:ascii="Arial" w:hAnsi="Arial" w:eastAsia="Times New Roman" w:cs="Arial"/>
          <w:b/>
          <w:bCs/>
          <w:sz w:val="10"/>
          <w:szCs w:val="10"/>
        </w:rPr>
      </w:pPr>
      <w:r>
        <w:rPr>
          <w:rFonts w:eastAsia="Times New Roman" w:cs="Arial" w:ascii="Arial" w:hAnsi="Arial"/>
          <w:b/>
          <w:bCs/>
          <w:sz w:val="10"/>
          <w:szCs w:val="10"/>
        </w:rPr>
      </w:r>
    </w:p>
    <w:tbl>
      <w:tblPr>
        <w:tblStyle w:val="af1"/>
        <w:tblW w:w="101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74"/>
      </w:tblGrid>
      <w:tr>
        <w:trPr/>
        <w:tc>
          <w:tcPr>
            <w:tcW w:w="101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b/>
                <w:bCs/>
                <w:kern w:val="0"/>
                <w:sz w:val="18"/>
                <w:szCs w:val="18"/>
                <w:lang w:val="ru-RU" w:bidi="ar-SA"/>
              </w:rPr>
              <w:t>АКЦИОНЕРНОЕ ОБЩЕСТВО «ДАЛЬНЕВОСТОЧНАЯ РАСПРЕДЕЛИТЕЛЬНАЯ СЕТЕВАЯ КОМПАНИЯ»</w:t>
            </w:r>
          </w:p>
        </w:tc>
      </w:tr>
      <w:tr>
        <w:trPr>
          <w:trHeight w:val="87" w:hRule="atLeast"/>
        </w:trPr>
        <w:tc>
          <w:tcPr>
            <w:tcW w:w="101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Arial" w:hAnsi="Arial" w:eastAsia="Times New Roman" w:cs="Arial"/>
                <w:b/>
                <w:bCs/>
                <w:sz w:val="2"/>
                <w:szCs w:val="2"/>
              </w:rPr>
            </w:pPr>
            <w:r>
              <w:rPr>
                <w:rFonts w:eastAsia="Times New Roman" w:cs="Arial" w:ascii="Arial" w:hAnsi="Arial"/>
                <w:b/>
                <w:bCs/>
                <w:sz w:val="2"/>
                <w:szCs w:val="2"/>
              </w:rPr>
            </w:r>
          </w:p>
        </w:tc>
      </w:tr>
      <w:tr>
        <w:trPr>
          <w:trHeight w:val="227" w:hRule="atLeast"/>
        </w:trPr>
        <w:tc>
          <w:tcPr>
            <w:tcW w:w="10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kern w:val="0"/>
                <w:sz w:val="18"/>
                <w:szCs w:val="16"/>
                <w:lang w:val="ru-RU" w:bidi="ar-SA"/>
              </w:rPr>
              <w:t>ул. Шевченко, 32., г. Благовещенск, Амурская область, Российская Федерация, 675004</w:t>
            </w:r>
          </w:p>
        </w:tc>
      </w:tr>
      <w:tr>
        <w:trPr>
          <w:trHeight w:val="283" w:hRule="atLeast"/>
        </w:trPr>
        <w:tc>
          <w:tcPr>
            <w:tcW w:w="10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kern w:val="0"/>
                <w:sz w:val="18"/>
                <w:szCs w:val="18"/>
                <w:lang w:val="ru-RU" w:bidi="ar-SA"/>
              </w:rPr>
              <w:t>факс: +7(4162) 397</w:t>
            </w:r>
            <w:r>
              <w:rPr>
                <w:rFonts w:eastAsia="Times New Roman" w:cs="Arial" w:ascii="Arial" w:hAnsi="Arial"/>
                <w:kern w:val="0"/>
                <w:sz w:val="18"/>
                <w:szCs w:val="18"/>
                <w:lang w:val="en-US" w:bidi="ar-SA"/>
              </w:rPr>
              <w:t>-902</w:t>
            </w:r>
            <w:r>
              <w:rPr>
                <w:rFonts w:eastAsia="Times New Roman" w:cs="Arial" w:ascii="Arial" w:hAnsi="Arial"/>
                <w:kern w:val="0"/>
                <w:sz w:val="18"/>
                <w:szCs w:val="18"/>
                <w:lang w:val="ru-RU" w:bidi="ar-SA"/>
              </w:rPr>
              <w:t xml:space="preserve"> / +7(4162) 397</w:t>
            </w:r>
            <w:r>
              <w:rPr>
                <w:rFonts w:eastAsia="Times New Roman" w:cs="Arial" w:ascii="Arial" w:hAnsi="Arial"/>
                <w:kern w:val="0"/>
                <w:sz w:val="18"/>
                <w:szCs w:val="18"/>
                <w:lang w:val="en-US" w:bidi="ar-SA"/>
              </w:rPr>
              <w:t>-903</w:t>
            </w:r>
            <w:r>
              <w:rPr>
                <w:rFonts w:eastAsia="Times New Roman" w:cs="Arial" w:ascii="Arial" w:hAnsi="Arial"/>
                <w:kern w:val="0"/>
                <w:sz w:val="18"/>
                <w:szCs w:val="18"/>
                <w:lang w:val="ru-RU" w:bidi="ar-SA"/>
              </w:rPr>
              <w:t>; тел: +7(4162) 39-73-59</w:t>
            </w:r>
          </w:p>
        </w:tc>
      </w:tr>
      <w:tr>
        <w:trPr>
          <w:trHeight w:val="80" w:hRule="atLeast"/>
        </w:trPr>
        <w:tc>
          <w:tcPr>
            <w:tcW w:w="10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Style w:val="Hyperlink"/>
                <w:rFonts w:ascii="Arial" w:hAnsi="Arial" w:eastAsia="Times New Roman" w:cs="Arial"/>
                <w:sz w:val="18"/>
                <w:szCs w:val="18"/>
              </w:rPr>
            </w:pPr>
            <w:hyperlink r:id="rId3">
              <w:r>
                <w:rPr>
                  <w:rStyle w:val="Hyperlink"/>
                  <w:rFonts w:eastAsia="Times New Roman" w:cs="Arial" w:ascii="Arial" w:hAnsi="Arial"/>
                  <w:kern w:val="0"/>
                  <w:sz w:val="18"/>
                  <w:szCs w:val="18"/>
                  <w:lang w:val="en-US" w:bidi="ar-SA"/>
                </w:rPr>
                <w:t>doc</w:t>
              </w:r>
              <w:r>
                <w:rPr>
                  <w:rStyle w:val="Hyperlink"/>
                  <w:rFonts w:eastAsia="Times New Roman" w:cs="Arial" w:ascii="Arial" w:hAnsi="Arial"/>
                  <w:kern w:val="0"/>
                  <w:sz w:val="18"/>
                  <w:szCs w:val="18"/>
                  <w:lang w:val="ru-RU" w:bidi="ar-SA"/>
                </w:rPr>
                <w:t>@</w:t>
              </w:r>
              <w:r>
                <w:rPr>
                  <w:rStyle w:val="Hyperlink"/>
                  <w:rFonts w:eastAsia="Times New Roman" w:cs="Arial" w:ascii="Arial" w:hAnsi="Arial"/>
                  <w:kern w:val="0"/>
                  <w:sz w:val="18"/>
                  <w:szCs w:val="18"/>
                  <w:lang w:val="en-US" w:bidi="ar-SA"/>
                </w:rPr>
                <w:t>drsk</w:t>
              </w:r>
              <w:r>
                <w:rPr>
                  <w:rStyle w:val="Hyperlink"/>
                  <w:rFonts w:eastAsia="Times New Roman" w:cs="Arial" w:ascii="Arial" w:hAnsi="Arial"/>
                  <w:kern w:val="0"/>
                  <w:sz w:val="18"/>
                  <w:szCs w:val="18"/>
                  <w:lang w:val="ru-RU" w:bidi="ar-SA"/>
                </w:rPr>
                <w:t>.</w:t>
              </w:r>
              <w:r>
                <w:rPr>
                  <w:rStyle w:val="Hyperlink"/>
                  <w:rFonts w:eastAsia="Times New Roman" w:cs="Arial" w:ascii="Arial" w:hAnsi="Arial"/>
                  <w:kern w:val="0"/>
                  <w:sz w:val="18"/>
                  <w:szCs w:val="18"/>
                  <w:lang w:val="en-US" w:bidi="ar-SA"/>
                </w:rPr>
                <w:t>ru</w:t>
              </w:r>
            </w:hyperlink>
            <w:r>
              <w:rPr>
                <w:rStyle w:val="Hyperlink"/>
                <w:rFonts w:eastAsia="Times New Roman" w:cs="Arial" w:ascii="Arial" w:hAnsi="Arial"/>
                <w:kern w:val="0"/>
                <w:sz w:val="18"/>
                <w:szCs w:val="18"/>
                <w:lang w:val="ru-RU" w:bidi="ar-SA"/>
              </w:rPr>
              <w:t xml:space="preserve">; </w:t>
            </w:r>
            <w:hyperlink r:id="rId4">
              <w:r>
                <w:rPr>
                  <w:rStyle w:val="Hyperlink"/>
                  <w:rFonts w:eastAsia="Times New Roman" w:cs="Arial" w:ascii="Arial" w:hAnsi="Arial"/>
                  <w:kern w:val="0"/>
                  <w:sz w:val="18"/>
                  <w:szCs w:val="18"/>
                  <w:lang w:val="en-US" w:bidi="ar-SA"/>
                </w:rPr>
                <w:t>www</w:t>
              </w:r>
              <w:r>
                <w:rPr>
                  <w:rStyle w:val="Hyperlink"/>
                  <w:rFonts w:eastAsia="Times New Roman" w:cs="Arial" w:ascii="Arial" w:hAnsi="Arial"/>
                  <w:kern w:val="0"/>
                  <w:sz w:val="18"/>
                  <w:szCs w:val="18"/>
                  <w:lang w:val="ru-RU" w:bidi="ar-SA"/>
                </w:rPr>
                <w:t>.</w:t>
              </w:r>
              <w:r>
                <w:rPr>
                  <w:rStyle w:val="Hyperlink"/>
                  <w:rFonts w:eastAsia="Times New Roman" w:cs="Arial" w:ascii="Arial" w:hAnsi="Arial"/>
                  <w:kern w:val="0"/>
                  <w:sz w:val="18"/>
                  <w:szCs w:val="18"/>
                  <w:lang w:val="en-US" w:bidi="ar-SA"/>
                </w:rPr>
                <w:t>drsk</w:t>
              </w:r>
              <w:r>
                <w:rPr>
                  <w:rStyle w:val="Hyperlink"/>
                  <w:rFonts w:eastAsia="Times New Roman" w:cs="Arial" w:ascii="Arial" w:hAnsi="Arial"/>
                  <w:kern w:val="0"/>
                  <w:sz w:val="18"/>
                  <w:szCs w:val="18"/>
                  <w:lang w:val="ru-RU" w:bidi="ar-SA"/>
                </w:rPr>
                <w:t>.</w:t>
              </w:r>
              <w:r>
                <w:rPr>
                  <w:rStyle w:val="Hyperlink"/>
                  <w:rFonts w:eastAsia="Times New Roman" w:cs="Arial" w:ascii="Arial" w:hAnsi="Arial"/>
                  <w:kern w:val="0"/>
                  <w:sz w:val="18"/>
                  <w:szCs w:val="18"/>
                  <w:lang w:val="en-US" w:bidi="ar-SA"/>
                </w:rPr>
                <w:t>ru</w:t>
              </w:r>
            </w:hyperlink>
          </w:p>
        </w:tc>
      </w:tr>
    </w:tbl>
    <w:p>
      <w:pPr>
        <w:pStyle w:val="Normal"/>
        <w:widowControl w:val="false"/>
        <w:jc w:val="left"/>
        <w:rPr>
          <w:rStyle w:val="Hyperlink"/>
          <w:rFonts w:ascii="Arial" w:hAnsi="Arial" w:eastAsia="Times New Roman" w:cs="Arial"/>
          <w:sz w:val="10"/>
          <w:szCs w:val="10"/>
        </w:rPr>
      </w:pPr>
      <w:r>
        <w:rPr>
          <w:rFonts w:eastAsia="Times New Roman" w:cs="Arial" w:ascii="Arial" w:hAnsi="Arial"/>
          <w:sz w:val="10"/>
          <w:szCs w:val="10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outlineLvl w:val="9"/>
        <w:rPr>
          <w:sz w:val="23"/>
          <w:szCs w:val="23"/>
        </w:rPr>
      </w:pPr>
      <w:r>
        <w:rPr/>
      </w:r>
    </w:p>
    <w:p>
      <w:pPr>
        <w:pStyle w:val="11"/>
        <w:numPr>
          <w:ilvl w:val="0"/>
          <w:numId w:val="0"/>
        </w:numPr>
        <w:spacing w:before="0" w:after="0"/>
        <w:ind w:left="0" w:hanging="0"/>
        <w:outlineLvl w:val="9"/>
        <w:rPr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Запрос технико-коммерческих предложений в рамках Упрощенной закупки в электронной форме по лоту № </w:t>
      </w:r>
      <w:r>
        <w:rPr>
          <w:rFonts w:ascii="Times New Roman" w:hAnsi="Times New Roman"/>
          <w:color w:val="000000"/>
          <w:sz w:val="23"/>
          <w:szCs w:val="23"/>
          <w:lang w:eastAsia="en-US"/>
        </w:rPr>
        <w:t>16601-ЭКСП ПРОД-2026-ДРСК</w:t>
      </w:r>
      <w:r>
        <w:rPr>
          <w:rFonts w:ascii="Times New Roman" w:hAnsi="Times New Roman"/>
          <w:sz w:val="23"/>
          <w:szCs w:val="23"/>
        </w:rPr>
        <w:t xml:space="preserve"> ОКПД2 22.29.29.121 Поставка пломбировочных материалов в рамках инвестиционной и эксплуатационных программ для филиалов АО «ДРСК» «Амурские электрические сети», «Приморские электрические сети», «Хабаровские электрические сети», «Электрические сети Еврейской автономной области», «Южно-Якутские электрические сети»</w:t>
      </w:r>
    </w:p>
    <w:p>
      <w:pPr>
        <w:pStyle w:val="Normal"/>
        <w:widowControl/>
        <w:numPr>
          <w:ilvl w:val="0"/>
          <w:numId w:val="4"/>
        </w:numPr>
        <w:suppressAutoHyphens w:val="true"/>
        <w:bidi w:val="0"/>
        <w:spacing w:before="120" w:after="0"/>
        <w:ind w:left="567" w:right="0" w:hanging="340"/>
        <w:jc w:val="both"/>
        <w:rPr>
          <w:sz w:val="23"/>
          <w:szCs w:val="23"/>
        </w:rPr>
      </w:pPr>
      <w:r>
        <w:rPr>
          <w:sz w:val="23"/>
          <w:szCs w:val="23"/>
        </w:rPr>
        <w:t>Акционерное общество «Дальневосточная распределительная сетевая компания»</w:t>
      </w:r>
      <w:r>
        <w:rPr>
          <w:i/>
          <w:sz w:val="23"/>
          <w:szCs w:val="23"/>
        </w:rPr>
        <w:t xml:space="preserve"> </w:t>
      </w:r>
      <w:r>
        <w:rPr>
          <w:sz w:val="23"/>
          <w:szCs w:val="23"/>
        </w:rPr>
        <w:t>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на право заключения договора по Закупке № 16601-ЭКСП ПРОД-2026-ДРСК ОКПД2 22.29.29.121 Поставка пломбировочных материалов в рамках инвестиционной и эксплуатационных программ для филиалов АО «ДРСК» «Амурские электрические сети», «Приморские электрические сети», «Хабаровские электрические сети», «Электрические сети Еврейской автономной области», «Южно-Якутские электрические сети».</w:t>
      </w:r>
    </w:p>
    <w:p>
      <w:pPr>
        <w:pStyle w:val="Normal"/>
        <w:widowControl/>
        <w:numPr>
          <w:ilvl w:val="0"/>
          <w:numId w:val="4"/>
        </w:numPr>
        <w:suppressAutoHyphens w:val="true"/>
        <w:bidi w:val="0"/>
        <w:spacing w:before="120" w:after="0"/>
        <w:ind w:left="567" w:right="0" w:hanging="340"/>
        <w:jc w:val="both"/>
        <w:rPr>
          <w:sz w:val="23"/>
          <w:szCs w:val="23"/>
        </w:rPr>
      </w:pPr>
      <w:r>
        <w:rPr>
          <w:sz w:val="23"/>
          <w:szCs w:val="23"/>
        </w:rPr>
        <w:t>Подробные требования к продукции (в том числе, сведения об объеме, месте, сроках поставляемой продукции) приведены в приложении № 1 к настоящему запросу; существенные условия будущего договора (в том числе, условия оплаты и гарантийных обязательств) – см. приложение № 1 к настоящему запросу.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Начальная (максимальная) цена договора:</w:t>
      </w:r>
    </w:p>
    <w:p>
      <w:pPr>
        <w:pStyle w:val="Normal"/>
        <w:spacing w:before="120" w:after="0"/>
        <w:ind w:left="567" w:hanging="0"/>
        <w:rPr>
          <w:sz w:val="23"/>
          <w:szCs w:val="23"/>
        </w:rPr>
      </w:pPr>
      <w:r>
        <w:rPr>
          <w:rFonts w:ascii="Liberation Serif" w:hAnsi="Liberation Serif"/>
          <w:b/>
          <w:bCs/>
          <w:i/>
          <w:iCs/>
          <w:sz w:val="23"/>
          <w:szCs w:val="23"/>
        </w:rPr>
        <w:t>630 086,04</w:t>
      </w:r>
      <w:r>
        <w:rPr>
          <w:b/>
          <w:i/>
          <w:sz w:val="23"/>
          <w:szCs w:val="23"/>
        </w:rPr>
        <w:t xml:space="preserve"> </w:t>
      </w:r>
      <w:r>
        <w:rPr>
          <w:sz w:val="23"/>
          <w:szCs w:val="23"/>
        </w:rPr>
        <w:t>руб. без НДС;</w:t>
      </w:r>
    </w:p>
    <w:p>
      <w:pPr>
        <w:pStyle w:val="Normal"/>
        <w:spacing w:before="120" w:after="0"/>
        <w:rPr>
          <w:sz w:val="23"/>
          <w:szCs w:val="23"/>
        </w:rPr>
      </w:pPr>
      <w:r>
        <w:rPr>
          <w:b/>
          <w:i/>
          <w:sz w:val="23"/>
          <w:szCs w:val="23"/>
        </w:rPr>
        <w:t xml:space="preserve">          </w:t>
      </w:r>
      <w:r>
        <w:rPr>
          <w:rFonts w:ascii="Liberation Serif" w:hAnsi="Liberation Serif"/>
          <w:b/>
          <w:i/>
          <w:sz w:val="23"/>
          <w:szCs w:val="23"/>
        </w:rPr>
        <w:t>768 704,96</w:t>
      </w:r>
      <w:r>
        <w:rPr>
          <w:sz w:val="23"/>
          <w:szCs w:val="23"/>
        </w:rPr>
        <w:t xml:space="preserve"> руб. с НДС.</w:t>
      </w:r>
      <w:bookmarkStart w:id="0" w:name="_GoBack"/>
      <w:bookmarkEnd w:id="0"/>
    </w:p>
    <w:p>
      <w:pPr>
        <w:pStyle w:val="Normal"/>
        <w:numPr>
          <w:ilvl w:val="0"/>
          <w:numId w:val="4"/>
        </w:numPr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юридический адрес, почтовый адрес, ИНН </w:t>
      </w:r>
      <w:r>
        <w:rPr>
          <w:i/>
          <w:sz w:val="23"/>
          <w:szCs w:val="23"/>
        </w:rPr>
        <w:t>[</w:t>
      </w:r>
      <w:r>
        <w:rPr>
          <w:i/>
          <w:sz w:val="23"/>
          <w:szCs w:val="23"/>
          <w:shd w:fill="FFFF99" w:val="clear"/>
        </w:rPr>
        <w:t>для юридических лиц</w:t>
      </w:r>
      <w:r>
        <w:rPr>
          <w:i/>
          <w:sz w:val="23"/>
          <w:szCs w:val="23"/>
        </w:rPr>
        <w:t xml:space="preserve">] / </w:t>
      </w:r>
      <w:r>
        <w:rPr>
          <w:sz w:val="23"/>
          <w:szCs w:val="23"/>
        </w:rPr>
        <w:t xml:space="preserve">паспортные данные, адрес регистрации, ИНН (при наличии) </w:t>
      </w:r>
      <w:r>
        <w:rPr>
          <w:i/>
          <w:sz w:val="23"/>
          <w:szCs w:val="23"/>
        </w:rPr>
        <w:t>[</w:t>
      </w:r>
      <w:r>
        <w:rPr>
          <w:i/>
          <w:sz w:val="23"/>
          <w:szCs w:val="23"/>
          <w:shd w:fill="FFFF99" w:val="clear"/>
        </w:rPr>
        <w:t>для физических лиц</w:t>
      </w:r>
      <w:r>
        <w:rPr>
          <w:i/>
          <w:sz w:val="23"/>
          <w:szCs w:val="23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контактные данные: номер телефона, </w:t>
      </w:r>
      <w:r>
        <w:rPr>
          <w:sz w:val="23"/>
          <w:szCs w:val="23"/>
          <w:lang w:val="en-US"/>
        </w:rPr>
        <w:t>e</w:t>
      </w:r>
      <w:r>
        <w:rPr>
          <w:sz w:val="23"/>
          <w:szCs w:val="23"/>
        </w:rPr>
        <w:t>-</w:t>
      </w:r>
      <w:r>
        <w:rPr>
          <w:sz w:val="23"/>
          <w:szCs w:val="23"/>
          <w:lang w:val="en-US"/>
        </w:rPr>
        <w:t>mail</w:t>
      </w:r>
      <w:r>
        <w:rPr>
          <w:sz w:val="23"/>
          <w:szCs w:val="23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гарантии наличия у Поставщика </w:t>
      </w:r>
      <w:r>
        <w:rPr>
          <w:sz w:val="23"/>
          <w:szCs w:val="23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3"/>
          <w:szCs w:val="23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подтверждение возможности поставки требуемого объема продукции (см.</w:t>
      </w:r>
      <w:r>
        <w:rPr>
          <w:sz w:val="23"/>
          <w:szCs w:val="23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3"/>
          <w:szCs w:val="23"/>
        </w:rPr>
        <w:t>(см.</w:t>
      </w:r>
      <w:r>
        <w:rPr>
          <w:sz w:val="23"/>
          <w:szCs w:val="23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3"/>
          <w:szCs w:val="23"/>
          <w:lang w:eastAsia="en-US"/>
        </w:rPr>
        <w:t> приложение №2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3"/>
          <w:szCs w:val="23"/>
        </w:rPr>
        <w:t>(см.</w:t>
      </w:r>
      <w:r>
        <w:rPr>
          <w:sz w:val="23"/>
          <w:szCs w:val="23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цену предложения в рублях (без НДС и с учетом НДС);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Выписка из ЕГРЮЛ.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Срок подачи технико-коммерческих предложений:</w:t>
      </w:r>
      <w:r>
        <w:rPr>
          <w:b/>
          <w:bCs/>
          <w:i/>
          <w:iCs/>
          <w:sz w:val="23"/>
          <w:szCs w:val="23"/>
        </w:rPr>
        <w:t xml:space="preserve"> </w:t>
      </w:r>
      <w:r>
        <w:rPr>
          <w:b/>
          <w:bCs/>
          <w:i/>
          <w:iCs/>
          <w:sz w:val="23"/>
          <w:szCs w:val="23"/>
          <w:lang w:val="en-US"/>
        </w:rPr>
        <w:t>17</w:t>
      </w:r>
      <w:r>
        <w:rPr>
          <w:b/>
          <w:bCs/>
          <w:i/>
          <w:iCs/>
          <w:sz w:val="23"/>
          <w:szCs w:val="23"/>
        </w:rPr>
        <w:t xml:space="preserve"> «ноября</w:t>
      </w:r>
      <w:r>
        <w:rPr>
          <w:b/>
          <w:i/>
          <w:sz w:val="23"/>
          <w:szCs w:val="23"/>
        </w:rPr>
        <w:t>» 2026г.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до 10:00 (МСК времени)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rPr>
          <w:sz w:val="23"/>
          <w:szCs w:val="23"/>
        </w:rPr>
      </w:pPr>
      <w:r>
        <w:rPr>
          <w:sz w:val="23"/>
          <w:szCs w:val="23"/>
        </w:rPr>
        <w:t>С 1 июля 2023 года наличие у Участника в рамках проводимых Заказчиком любых конкурентных закупок и состязательных отборов статуса «аккредитован» или «аккредитация не требуется» является обязательным (с учетом исключений, предусмотренных Положением об аккредитации). В случае отсутствия у Участника одного из указанного статуса он должен пройти процедуру Аккредитации в рамках проводимой закупки, предоставив Заказчику (Организатору закупки) соответствующие сведения и/или документы, предусмотренные Положением об аккредитации (и документацией о закупке).</w:t>
      </w:r>
    </w:p>
    <w:p>
      <w:pPr>
        <w:pStyle w:val="Normal"/>
        <w:rPr>
          <w:i/>
          <w:i/>
          <w:sz w:val="23"/>
          <w:szCs w:val="23"/>
        </w:rPr>
      </w:pPr>
      <w:r>
        <w:rPr>
          <w:i/>
          <w:sz w:val="23"/>
          <w:szCs w:val="23"/>
        </w:rPr>
      </w:r>
    </w:p>
    <w:p>
      <w:pPr>
        <w:pStyle w:val="Normal"/>
        <w:rPr>
          <w:sz w:val="23"/>
          <w:szCs w:val="23"/>
        </w:rPr>
      </w:pPr>
      <w:r>
        <w:rPr>
          <w:i/>
          <w:sz w:val="23"/>
          <w:szCs w:val="23"/>
        </w:rPr>
        <w:t>Приложения:</w:t>
      </w:r>
      <w:r>
        <w:rPr>
          <w:sz w:val="23"/>
          <w:szCs w:val="23"/>
        </w:rPr>
        <w:t xml:space="preserve"> </w:t>
      </w:r>
    </w:p>
    <w:p>
      <w:pPr>
        <w:pStyle w:val="Normal"/>
        <w:numPr>
          <w:ilvl w:val="0"/>
          <w:numId w:val="5"/>
        </w:numPr>
        <w:rPr>
          <w:sz w:val="23"/>
          <w:szCs w:val="23"/>
        </w:rPr>
      </w:pPr>
      <w:r>
        <w:rPr>
          <w:i/>
          <w:sz w:val="23"/>
          <w:szCs w:val="23"/>
        </w:rPr>
        <w:t>Приложение № 1 - Технические требования на проведение закупки;</w:t>
      </w:r>
    </w:p>
    <w:p>
      <w:pPr>
        <w:pStyle w:val="ListParagraph"/>
        <w:widowControl w:val="false"/>
        <w:numPr>
          <w:ilvl w:val="0"/>
          <w:numId w:val="5"/>
        </w:numPr>
        <w:jc w:val="left"/>
        <w:rPr/>
      </w:pPr>
      <w:r>
        <w:rPr>
          <w:i/>
          <w:sz w:val="23"/>
          <w:szCs w:val="23"/>
        </w:rPr>
        <w:t>Приложение № 2 - Проект договора эл. Копия;</w:t>
      </w:r>
    </w:p>
    <w:p>
      <w:pPr>
        <w:pStyle w:val="ListParagraph"/>
        <w:widowControl w:val="false"/>
        <w:numPr>
          <w:ilvl w:val="0"/>
          <w:numId w:val="5"/>
        </w:numPr>
        <w:jc w:val="left"/>
        <w:rPr/>
      </w:pPr>
      <w:r>
        <w:rPr>
          <w:rFonts w:eastAsia="Calibri" w:cs="Times New Roman" w:eastAsiaTheme="minorHAnsi"/>
          <w:i/>
          <w:color w:val="auto"/>
          <w:kern w:val="0"/>
          <w:sz w:val="23"/>
          <w:szCs w:val="23"/>
          <w:lang w:val="ru-RU" w:eastAsia="ru-RU" w:bidi="ar-SA"/>
        </w:rPr>
        <w:t>Приложение № 3 – Формы эл. копии: технико-коммерческого предложения, анкета участника.</w:t>
      </w:r>
    </w:p>
    <w:sectPr>
      <w:footerReference w:type="default" r:id="rId5"/>
      <w:type w:val="nextPage"/>
      <w:pgSz w:w="11906" w:h="16838"/>
      <w:pgMar w:left="1134" w:right="567" w:gutter="0" w:header="0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c57a1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Calibri" w:cs="Times New Roman" w:eastAsiaTheme="minorHAnsi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9a71d4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9a71d4"/>
    <w:pPr>
      <w:keepNext w:val="true"/>
      <w:numPr>
        <w:ilvl w:val="2"/>
        <w:numId w:val="2"/>
      </w:numPr>
      <w:spacing w:before="120" w:after="120"/>
      <w:jc w:val="left"/>
      <w:outlineLvl w:val="2"/>
    </w:pPr>
    <w:rPr>
      <w:rFonts w:eastAsia="Times New Roman"/>
      <w:b/>
      <w:sz w:val="28"/>
      <w:szCs w:val="20"/>
    </w:rPr>
  </w:style>
  <w:style w:type="paragraph" w:styleId="Heading4">
    <w:name w:val="Heading 4"/>
    <w:basedOn w:val="Normal"/>
    <w:next w:val="Normal"/>
    <w:link w:val="4"/>
    <w:qFormat/>
    <w:rsid w:val="009a71d4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left="1134" w:hanging="0"/>
      <w:outlineLvl w:val="3"/>
    </w:pPr>
    <w:rPr>
      <w:rFonts w:eastAsia="Times New Roman"/>
      <w:b/>
      <w:i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8c57a1"/>
    <w:rPr>
      <w:rFonts w:ascii="Tahoma" w:hAnsi="Tahoma" w:eastAsia="Calibri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33445a"/>
    <w:rPr>
      <w:color w:val="0000FF" w:themeColor="hyperlink"/>
      <w:u w:val="single"/>
    </w:rPr>
  </w:style>
  <w:style w:type="character" w:styleId="Style7" w:customStyle="1">
    <w:name w:val="Верхний колонтитул Знак"/>
    <w:basedOn w:val="DefaultParagraphFont"/>
    <w:uiPriority w:val="99"/>
    <w:qFormat/>
    <w:rsid w:val="00c22786"/>
    <w:rPr>
      <w:rFonts w:ascii="Times New Roman" w:hAnsi="Times New Roman" w:eastAsia="Calibri" w:cs="Times New Roman"/>
      <w:sz w:val="26"/>
      <w:szCs w:val="26"/>
      <w:lang w:eastAsia="ru-RU"/>
    </w:rPr>
  </w:style>
  <w:style w:type="character" w:styleId="Style8" w:customStyle="1">
    <w:name w:val="Нижний колонтитул Знак"/>
    <w:basedOn w:val="DefaultParagraphFont"/>
    <w:uiPriority w:val="99"/>
    <w:qFormat/>
    <w:rsid w:val="00c22786"/>
    <w:rPr>
      <w:rFonts w:ascii="Times New Roman" w:hAnsi="Times New Roman" w:eastAsia="Calibri" w:cs="Times New Roman"/>
      <w:sz w:val="26"/>
      <w:szCs w:val="26"/>
      <w:lang w:eastAsia="ru-RU"/>
    </w:rPr>
  </w:style>
  <w:style w:type="character" w:styleId="3" w:customStyle="1">
    <w:name w:val="Заголовок 3 Знак"/>
    <w:basedOn w:val="DefaultParagraphFont"/>
    <w:qFormat/>
    <w:rsid w:val="009a71d4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9a71d4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1" w:customStyle="1">
    <w:name w:val="Заголовок 1 Знак"/>
    <w:basedOn w:val="DefaultParagraphFont"/>
    <w:uiPriority w:val="9"/>
    <w:qFormat/>
    <w:rsid w:val="009a71d4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  <w:lang w:eastAsia="ru-RU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8c57a1"/>
    <w:pPr/>
    <w:rPr>
      <w:rFonts w:ascii="Tahoma" w:hAnsi="Tahoma" w:cs="Tahoma"/>
      <w:sz w:val="16"/>
      <w:szCs w:val="16"/>
    </w:rPr>
  </w:style>
  <w:style w:type="paragraph" w:styleId="Style1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uiPriority w:val="99"/>
    <w:unhideWhenUsed/>
    <w:rsid w:val="00c2278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8"/>
    <w:uiPriority w:val="99"/>
    <w:unhideWhenUsed/>
    <w:rsid w:val="00c2278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" w:customStyle="1">
    <w:name w:val="Стиль Заголовок 1 + по ширине"/>
    <w:basedOn w:val="Heading1"/>
    <w:qFormat/>
    <w:rsid w:val="009a71d4"/>
    <w:pPr>
      <w:numPr>
        <w:ilvl w:val="0"/>
        <w:numId w:val="2"/>
      </w:numPr>
      <w:spacing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ListParagraph">
    <w:name w:val="List Paragraph"/>
    <w:basedOn w:val="Normal"/>
    <w:uiPriority w:val="34"/>
    <w:qFormat/>
    <w:rsid w:val="00141081"/>
    <w:pPr>
      <w:spacing w:before="0" w:after="0"/>
      <w:ind w:left="720" w:hanging="0"/>
      <w:contextualSpacing/>
    </w:pPr>
    <w:rPr/>
  </w:style>
  <w:style w:type="paragraph" w:styleId="Style1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rsid w:val="008c57a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drsk.ru" TargetMode="External"/><Relationship Id="rId4" Type="http://schemas.openxmlformats.org/officeDocument/2006/relationships/hyperlink" Target="http://www.drsk.ru/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Application>AlterOffice/3.4.0.8$Windows_X86_64 LibreOffice_project/8f3f3c847f0b8d6fea24e251d3d8ed4f23cbe23c</Application>
  <AppVersion>15.0000</AppVersion>
  <Pages>2</Pages>
  <Words>626</Words>
  <Characters>4477</Characters>
  <CharactersWithSpaces>5059</CharactersWithSpaces>
  <Paragraphs>33</Paragraphs>
  <Company>JSC 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Фоменко Светлана Анатольевна</dc:creator>
  <dc:description/>
  <dc:language>ru-RU</dc:language>
  <cp:lastModifiedBy>Алексей Евгеньевич Клименко</cp:lastModifiedBy>
  <cp:lastPrinted>2026-11-06T13:36:39Z</cp:lastPrinted>
  <dcterms:modified xsi:type="dcterms:W3CDTF">2026-11-06T13:47:29Z</dcterms:modified>
  <cp:revision>274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