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Standard"/>
        <w:keepNext w:val="true"/>
        <w:keepLines/>
        <w:ind w:left="3828" w:hanging="0"/>
        <w:rPr>
          <w:b/>
          <w:b/>
          <w:sz w:val="22"/>
          <w:szCs w:val="22"/>
        </w:rPr>
      </w:pPr>
      <w:r>
        <w:rPr/>
        <w:drawing>
          <wp:inline distT="0" distB="0" distL="0" distR="0">
            <wp:extent cx="1487170" cy="538480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345" t="-3716" r="-1345" b="-37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170" cy="53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Standard"/>
        <w:keepNext w:val="true"/>
        <w:keepLines/>
        <w:jc w:val="center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985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3"/>
      </w:tblGrid>
      <w:tr>
        <w:trPr/>
        <w:tc>
          <w:tcPr>
            <w:tcW w:w="9853" w:type="dxa"/>
            <w:tcBorders/>
            <w:shd w:fill="auto" w:val="clear"/>
          </w:tcPr>
          <w:p>
            <w:pPr>
              <w:pStyle w:val="Standard"/>
              <w:keepNext w:val="true"/>
              <w:keepLines/>
              <w:widowControl w:val="false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АКЦИОНЕРНОЕ ОБЩЕСТВО «ДАЛЬНЕВОСТОЧНАЯ РАСПРЕДЕЛИТЕЛЬНАЯ СЕТЕВАЯ КОМПАНИЯ»</w:t>
            </w:r>
          </w:p>
        </w:tc>
      </w:tr>
    </w:tbl>
    <w:p>
      <w:pPr>
        <w:pStyle w:val="Standard"/>
        <w:jc w:val="center"/>
        <w:rPr>
          <w:rFonts w:cs="Arial"/>
          <w:color w:val="000000"/>
          <w:sz w:val="16"/>
          <w:szCs w:val="16"/>
        </w:rPr>
      </w:pPr>
      <w:r>
        <w:rPr>
          <w:rFonts w:cs="Arial"/>
          <w:color w:val="000000"/>
          <w:sz w:val="16"/>
          <w:szCs w:val="16"/>
        </w:rPr>
      </w:r>
    </w:p>
    <w:p>
      <w:pPr>
        <w:pStyle w:val="Standard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Технические требования на закупку</w:t>
      </w:r>
    </w:p>
    <w:p>
      <w:pPr>
        <w:pStyle w:val="Normal"/>
        <w:bidi w:val="0"/>
        <w:jc w:val="center"/>
        <w:rPr>
          <w:rFonts w:ascii="Times New Roman" w:hAnsi="Times New Roman" w:eastAsia="Times New Roman" w:cs="Times New Roman"/>
          <w:b/>
          <w:b/>
          <w:bCs/>
          <w:color w:val="auto"/>
          <w:kern w:val="0"/>
          <w:sz w:val="28"/>
          <w:szCs w:val="28"/>
          <w:lang w:val="ru-RU" w:eastAsia="zh-CN" w:bidi="ar-SA"/>
        </w:rPr>
      </w:pPr>
      <w:r>
        <w:rPr>
          <w:rFonts w:eastAsia="Times New Roman"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color w:val="auto"/>
          <w:kern w:val="0"/>
          <w:sz w:val="28"/>
          <w:szCs w:val="28"/>
          <w:u w:val="none"/>
          <w:em w:val="none"/>
          <w:lang w:val="ru-RU" w:eastAsia="zh-CN" w:bidi="ar-SA"/>
        </w:rPr>
        <w:t>ОКПД2 29.10.59.390 Поставка грузовых бригадных автомобилей для филиала АО "ДРСК" "Амурские электрические сети" (г. Благовещенск)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Standard"/>
        <w:numPr>
          <w:ilvl w:val="0"/>
          <w:numId w:val="3"/>
        </w:numPr>
        <w:jc w:val="center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Общие сведения</w:t>
      </w:r>
    </w:p>
    <w:p>
      <w:pPr>
        <w:pStyle w:val="Standard"/>
        <w:numPr>
          <w:ilvl w:val="1"/>
          <w:numId w:val="3"/>
        </w:numPr>
        <w:ind w:left="1146" w:hanging="1582"/>
        <w:jc w:val="both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Обозначения и сокращения</w:t>
      </w:r>
    </w:p>
    <w:tbl>
      <w:tblPr>
        <w:tblW w:w="10451" w:type="dxa"/>
        <w:jc w:val="left"/>
        <w:tblInd w:w="-654" w:type="dxa"/>
        <w:tblLayout w:type="fixed"/>
        <w:tblCellMar>
          <w:top w:w="0" w:type="dxa"/>
          <w:left w:w="5" w:type="dxa"/>
          <w:bottom w:w="0" w:type="dxa"/>
          <w:right w:w="10" w:type="dxa"/>
        </w:tblCellMar>
      </w:tblPr>
      <w:tblGrid>
        <w:gridCol w:w="1702"/>
        <w:gridCol w:w="8748"/>
      </w:tblGrid>
      <w:tr>
        <w:trPr/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93" w:right="169" w:hanging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ТС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93" w:right="169" w:hanging="0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Транспортное средство</w:t>
            </w:r>
          </w:p>
        </w:tc>
      </w:tr>
      <w:tr>
        <w:trPr/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93" w:right="169" w:hanging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ЗИП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93" w:right="169" w:hanging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Запасные части, инструменты и принадлежности</w:t>
            </w:r>
          </w:p>
        </w:tc>
      </w:tr>
      <w:tr>
        <w:trPr/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93" w:right="169" w:hanging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КУНГ</w:t>
            </w:r>
          </w:p>
        </w:tc>
        <w:tc>
          <w:tcPr>
            <w:tcW w:w="8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93" w:right="169" w:hanging="0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Кузов универсальный нулевого (нормального) габарита</w:t>
            </w:r>
          </w:p>
        </w:tc>
      </w:tr>
    </w:tbl>
    <w:p>
      <w:pPr>
        <w:pStyle w:val="Standard"/>
        <w:tabs>
          <w:tab w:val="clear" w:pos="327"/>
          <w:tab w:val="left" w:pos="284" w:leader="none"/>
          <w:tab w:val="left" w:pos="426" w:leader="none"/>
        </w:tabs>
        <w:ind w:left="426" w:hanging="0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Standard"/>
        <w:numPr>
          <w:ilvl w:val="1"/>
          <w:numId w:val="2"/>
        </w:numPr>
        <w:tabs>
          <w:tab w:val="clear" w:pos="327"/>
          <w:tab w:val="left" w:pos="-840" w:leader="none"/>
          <w:tab w:val="left" w:pos="-698" w:leader="none"/>
        </w:tabs>
        <w:ind w:left="-698" w:firstLine="272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Наименование закупаемой продукции</w:t>
      </w:r>
    </w:p>
    <w:p>
      <w:pPr>
        <w:pStyle w:val="Standard"/>
        <w:tabs>
          <w:tab w:val="clear" w:pos="327"/>
          <w:tab w:val="left" w:pos="-840" w:leader="none"/>
          <w:tab w:val="left" w:pos="-698" w:leader="none"/>
        </w:tabs>
        <w:ind w:left="-698" w:hanging="0"/>
        <w:rPr>
          <w:rFonts w:eastAsia="Arial Unicode MS;Arial"/>
          <w:sz w:val="22"/>
          <w:szCs w:val="22"/>
        </w:rPr>
      </w:pPr>
      <w:r>
        <w:rPr>
          <w:rFonts w:eastAsia="Arial Unicode MS;Arial"/>
          <w:sz w:val="22"/>
          <w:szCs w:val="22"/>
        </w:rPr>
        <w:t>ОКПД2 29.10.59.390 Поставка грузовых бригадных автомобилей для филиала АО "ДРСК" "Амурские электрические сети" (г. Благовещенск)</w:t>
      </w:r>
    </w:p>
    <w:p>
      <w:pPr>
        <w:pStyle w:val="Standard"/>
        <w:tabs>
          <w:tab w:val="clear" w:pos="327"/>
          <w:tab w:val="left" w:pos="-840" w:leader="none"/>
          <w:tab w:val="left" w:pos="-698" w:leader="none"/>
        </w:tabs>
        <w:ind w:left="-698" w:hanging="0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1.2.1.Цель использования закупаемой продукции</w:t>
      </w:r>
    </w:p>
    <w:p>
      <w:pPr>
        <w:pStyle w:val="Standard"/>
        <w:tabs>
          <w:tab w:val="clear" w:pos="327"/>
          <w:tab w:val="left" w:pos="-840" w:leader="none"/>
          <w:tab w:val="left" w:pos="-698" w:leader="none"/>
        </w:tabs>
        <w:ind w:left="-698" w:hanging="0"/>
        <w:rPr/>
      </w:pPr>
      <w:r>
        <w:rPr>
          <w:bCs/>
          <w:color w:val="000000"/>
          <w:sz w:val="22"/>
          <w:szCs w:val="22"/>
        </w:rPr>
        <w:t xml:space="preserve"> </w:t>
      </w:r>
      <w:r>
        <w:rPr>
          <w:rFonts w:eastAsia="Arial Unicode MS;Arial"/>
          <w:sz w:val="22"/>
          <w:szCs w:val="22"/>
        </w:rPr>
        <w:t>Доставка бригад и оборудования до мест проведения ремонтных и профилактических работ в т.ч. в условиях бездорожья</w:t>
      </w:r>
    </w:p>
    <w:p>
      <w:pPr>
        <w:pStyle w:val="Standard"/>
        <w:numPr>
          <w:ilvl w:val="0"/>
          <w:numId w:val="4"/>
        </w:numPr>
        <w:jc w:val="center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Требования к продукции</w:t>
      </w:r>
    </w:p>
    <w:p>
      <w:pPr>
        <w:pStyle w:val="Standard"/>
        <w:ind w:left="1146" w:hanging="1582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2.1. Требования к объемам и срокам поставки</w:t>
      </w:r>
    </w:p>
    <w:p>
      <w:pPr>
        <w:pStyle w:val="Standard"/>
        <w:ind w:left="-426" w:hanging="0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2.1.1. Перечень и объем закупаемой продукции</w:t>
      </w:r>
    </w:p>
    <w:p>
      <w:pPr>
        <w:pStyle w:val="Standard"/>
        <w:ind w:left="-142" w:hanging="0"/>
        <w:rPr/>
      </w:pPr>
      <w:r>
        <w:rPr>
          <w:color w:val="000000"/>
          <w:sz w:val="22"/>
          <w:szCs w:val="22"/>
        </w:rPr>
        <w:t xml:space="preserve">Таблица 1 «Перечень </w:t>
      </w:r>
      <w:r>
        <w:rPr>
          <w:sz w:val="22"/>
          <w:szCs w:val="22"/>
        </w:rPr>
        <w:t>и объем закупаемой продукции»</w:t>
      </w:r>
    </w:p>
    <w:tbl>
      <w:tblPr>
        <w:tblW w:w="10535" w:type="dxa"/>
        <w:jc w:val="left"/>
        <w:tblInd w:w="-654" w:type="dxa"/>
        <w:tblLayout w:type="fixed"/>
        <w:tblCellMar>
          <w:top w:w="0" w:type="dxa"/>
          <w:left w:w="5" w:type="dxa"/>
          <w:bottom w:w="0" w:type="dxa"/>
          <w:right w:w="10" w:type="dxa"/>
        </w:tblCellMar>
      </w:tblPr>
      <w:tblGrid>
        <w:gridCol w:w="993"/>
        <w:gridCol w:w="5953"/>
        <w:gridCol w:w="1486"/>
        <w:gridCol w:w="2102"/>
      </w:tblGrid>
      <w:tr>
        <w:trPr>
          <w:trHeight w:val="780" w:hRule="atLeast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Standard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>
        <w:trPr/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</w:t>
            </w:r>
          </w:p>
        </w:tc>
        <w:tc>
          <w:tcPr>
            <w:tcW w:w="5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97" w:hanging="0"/>
              <w:rPr>
                <w:rFonts w:eastAsia="Arial Unicode MS;Arial"/>
                <w:sz w:val="22"/>
                <w:szCs w:val="22"/>
              </w:rPr>
            </w:pPr>
            <w:r>
              <w:rPr>
                <w:rFonts w:eastAsia="Arial Unicode MS;Arial"/>
                <w:sz w:val="22"/>
                <w:szCs w:val="22"/>
              </w:rPr>
              <w:t>Грузопассажирский фургон на автомобильном шасси (4х4) (грузовой фургон)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Шт.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</w:t>
            </w:r>
          </w:p>
        </w:tc>
      </w:tr>
    </w:tbl>
    <w:p>
      <w:pPr>
        <w:pStyle w:val="Standard"/>
        <w:ind w:left="-142" w:hanging="0"/>
        <w:rPr>
          <w:b/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</w:r>
    </w:p>
    <w:p>
      <w:pPr>
        <w:pStyle w:val="Standard"/>
        <w:ind w:left="-426" w:hanging="0"/>
        <w:rPr/>
      </w:pPr>
      <w:r>
        <w:rPr>
          <w:b/>
          <w:bCs/>
          <w:color w:val="000000"/>
          <w:sz w:val="22"/>
          <w:szCs w:val="22"/>
        </w:rPr>
        <w:t>2.1.2. Требования к срокам поставки продукции</w:t>
      </w:r>
    </w:p>
    <w:p>
      <w:pPr>
        <w:pStyle w:val="Standard"/>
        <w:ind w:hanging="142"/>
        <w:rPr>
          <w:sz w:val="22"/>
          <w:szCs w:val="22"/>
        </w:rPr>
      </w:pPr>
      <w:r>
        <w:rPr>
          <w:sz w:val="22"/>
          <w:szCs w:val="22"/>
        </w:rPr>
        <w:t>Таблица 2 Требования по срокам поставки продукции</w:t>
      </w:r>
    </w:p>
    <w:tbl>
      <w:tblPr>
        <w:tblW w:w="10487" w:type="dxa"/>
        <w:jc w:val="left"/>
        <w:tblInd w:w="-654" w:type="dxa"/>
        <w:tblLayout w:type="fixed"/>
        <w:tblCellMar>
          <w:top w:w="0" w:type="dxa"/>
          <w:left w:w="5" w:type="dxa"/>
          <w:bottom w:w="0" w:type="dxa"/>
          <w:right w:w="10" w:type="dxa"/>
        </w:tblCellMar>
      </w:tblPr>
      <w:tblGrid>
        <w:gridCol w:w="706"/>
        <w:gridCol w:w="3435"/>
        <w:gridCol w:w="2667"/>
        <w:gridCol w:w="3678"/>
      </w:tblGrid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r>
              <w:rPr>
                <w:sz w:val="22"/>
                <w:szCs w:val="22"/>
              </w:rPr>
              <w:t>п/п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 / (партии продукции)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keepNext w:val="true"/>
              <w:widowControl w:val="false"/>
              <w:spacing w:before="40" w:after="40"/>
              <w:ind w:left="57" w:right="57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началу срока поставки продукции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keepNext w:val="true"/>
              <w:widowControl w:val="false"/>
              <w:spacing w:before="40" w:after="40"/>
              <w:ind w:left="57" w:right="57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keepNext w:val="true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keepNext w:val="true"/>
              <w:widowControl w:val="false"/>
              <w:spacing w:before="40" w:after="40"/>
              <w:ind w:left="57" w:right="57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keepNext w:val="true"/>
              <w:widowControl w:val="false"/>
              <w:spacing w:before="40" w:after="40"/>
              <w:ind w:left="57" w:right="57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>
        <w:trPr/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</w:t>
            </w:r>
          </w:p>
        </w:tc>
        <w:tc>
          <w:tcPr>
            <w:tcW w:w="3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240" w:hanging="0"/>
              <w:rPr>
                <w:rFonts w:eastAsia="Arial Unicode MS;Arial"/>
                <w:sz w:val="22"/>
                <w:szCs w:val="22"/>
              </w:rPr>
            </w:pPr>
            <w:r>
              <w:rPr>
                <w:rFonts w:eastAsia="Arial Unicode MS;Arial"/>
                <w:sz w:val="22"/>
                <w:szCs w:val="22"/>
              </w:rPr>
              <w:t>Грузопассажирский фургон на автомобильном шасси (4х4) (грузовой фургон)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206" w:hanging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С даты подписания договора</w:t>
            </w:r>
          </w:p>
        </w:tc>
        <w:tc>
          <w:tcPr>
            <w:tcW w:w="3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230" w:hanging="0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30.06.2027 допускается досрочная поставка после письменного согласования с Заказчиком</w:t>
            </w:r>
          </w:p>
        </w:tc>
      </w:tr>
    </w:tbl>
    <w:p>
      <w:pPr>
        <w:sectPr>
          <w:type w:val="nextPage"/>
          <w:pgSz w:w="11906" w:h="16838"/>
          <w:pgMar w:left="1418" w:right="851" w:header="0" w:top="1021" w:footer="0" w:bottom="680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andard"/>
        <w:jc w:val="both"/>
        <w:rPr>
          <w:b/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2.2. Требования к качеству продукции</w:t>
      </w:r>
    </w:p>
    <w:p>
      <w:pPr>
        <w:pStyle w:val="Standard"/>
        <w:ind w:left="426" w:hanging="0"/>
        <w:jc w:val="both"/>
        <w:rPr>
          <w:sz w:val="22"/>
          <w:szCs w:val="22"/>
        </w:rPr>
      </w:pPr>
      <w:r>
        <w:rPr>
          <w:sz w:val="22"/>
          <w:szCs w:val="22"/>
        </w:rPr>
        <w:t>Таблица 3. Требования к продукции (Грузопассажирский фургон на автомобильном шасси (4х4) грузовой фургон)</w:t>
      </w:r>
    </w:p>
    <w:p>
      <w:pPr>
        <w:pStyle w:val="Standard"/>
        <w:ind w:left="426" w:hanging="0"/>
        <w:jc w:val="both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14531" w:type="dxa"/>
        <w:jc w:val="left"/>
        <w:tblInd w:w="765" w:type="dxa"/>
        <w:tblLayout w:type="fixed"/>
        <w:tblCellMar>
          <w:top w:w="0" w:type="dxa"/>
          <w:left w:w="5" w:type="dxa"/>
          <w:bottom w:w="0" w:type="dxa"/>
          <w:right w:w="10" w:type="dxa"/>
        </w:tblCellMar>
      </w:tblPr>
      <w:tblGrid>
        <w:gridCol w:w="675"/>
        <w:gridCol w:w="2325"/>
        <w:gridCol w:w="4265"/>
        <w:gridCol w:w="2421"/>
        <w:gridCol w:w="2422"/>
        <w:gridCol w:w="2422"/>
      </w:tblGrid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№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Наименование параметра</w:t>
            </w:r>
          </w:p>
        </w:tc>
        <w:tc>
          <w:tcPr>
            <w:tcW w:w="4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bookmarkStart w:id="0" w:name="_Hlk51251235"/>
            <w:bookmarkEnd w:id="0"/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Требование заказчика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Способ подтверждения участником соответствия требованиям</w:t>
            </w:r>
          </w:p>
        </w:tc>
        <w:tc>
          <w:tcPr>
            <w:tcW w:w="4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Предложение участника по характеристикам и параметрам</w:t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</w:r>
          </w:p>
        </w:tc>
        <w:tc>
          <w:tcPr>
            <w:tcW w:w="4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Согласие с требованием / указание характеристик</w:t>
            </w:r>
          </w:p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bookmarkStart w:id="1" w:name="_Hlk51253264"/>
            <w:bookmarkEnd w:id="1"/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6</w:t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13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andard"/>
              <w:widowControl w:val="false"/>
              <w:ind w:firstLine="231"/>
              <w:rPr>
                <w:rFonts w:eastAsia="Calibri"/>
                <w:b/>
                <w:b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bCs/>
                <w:sz w:val="22"/>
                <w:szCs w:val="22"/>
                <w:lang w:eastAsia="en-US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1.1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ind w:left="231" w:hanging="0"/>
              <w:jc w:val="both"/>
              <w:rPr>
                <w:rFonts w:eastAsia="Calibri"/>
                <w:bCs/>
                <w:sz w:val="22"/>
                <w:szCs w:val="22"/>
                <w:lang w:eastAsia="en-US"/>
              </w:rPr>
            </w:pPr>
            <w:r>
              <w:rPr>
                <w:rFonts w:eastAsia="Calibri"/>
                <w:bCs/>
                <w:sz w:val="22"/>
                <w:szCs w:val="22"/>
                <w:lang w:eastAsia="en-US"/>
              </w:rPr>
              <w:t>Год выпуска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ind w:firstLine="280"/>
              <w:jc w:val="both"/>
              <w:rPr/>
            </w:pPr>
            <w:r>
              <w:rPr>
                <w:rFonts w:eastAsia="Arial Unicode MS;Arial"/>
                <w:sz w:val="22"/>
                <w:szCs w:val="22"/>
              </w:rPr>
              <w:t>2027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Согласие с требованием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iCs/>
                <w:sz w:val="22"/>
                <w:szCs w:val="22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Arial Unicode MS;Arial"/>
                <w:sz w:val="22"/>
                <w:szCs w:val="22"/>
              </w:rPr>
            </w:pPr>
            <w:r>
              <w:rPr>
                <w:rFonts w:eastAsia="Arial Unicode MS;Arial"/>
                <w:sz w:val="22"/>
                <w:szCs w:val="22"/>
              </w:rPr>
              <w:t>1.2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231" w:hanging="0"/>
              <w:rPr>
                <w:rFonts w:eastAsia="Arial Unicode MS;Arial"/>
                <w:sz w:val="22"/>
                <w:szCs w:val="22"/>
                <w:highlight w:val="white"/>
              </w:rPr>
            </w:pPr>
            <w:r>
              <w:rPr>
                <w:rFonts w:eastAsia="Arial Unicode MS;Arial"/>
                <w:sz w:val="22"/>
                <w:szCs w:val="22"/>
                <w:highlight w:val="white"/>
              </w:rPr>
              <w:t>Требование к новизне ТС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241" w:right="306" w:hanging="0"/>
              <w:jc w:val="both"/>
              <w:rPr>
                <w:sz w:val="22"/>
                <w:szCs w:val="22"/>
              </w:rPr>
            </w:pPr>
            <w:r>
              <w:rPr>
                <w:rFonts w:eastAsia="Arial Unicode MS;Arial"/>
                <w:sz w:val="22"/>
                <w:szCs w:val="22"/>
                <w:highlight w:val="white"/>
              </w:rPr>
              <w:t xml:space="preserve">ТС должно быть новым, без </w:t>
            </w:r>
            <w:r>
              <w:rPr>
                <w:sz w:val="22"/>
                <w:szCs w:val="22"/>
                <w:highlight w:val="white"/>
              </w:rPr>
              <w:t>эксплуатационного</w:t>
            </w:r>
            <w:r>
              <w:rPr>
                <w:rFonts w:eastAsia="Arial Unicode MS;Arial"/>
                <w:sz w:val="22"/>
                <w:szCs w:val="22"/>
                <w:highlight w:val="white"/>
              </w:rPr>
              <w:t xml:space="preserve"> пробега и наработки моточасов.</w:t>
            </w:r>
          </w:p>
          <w:p>
            <w:pPr>
              <w:pStyle w:val="Normal"/>
              <w:widowControl w:val="false"/>
              <w:ind w:left="241" w:right="306" w:hanging="0"/>
              <w:jc w:val="both"/>
              <w:rPr/>
            </w:pPr>
            <w:r>
              <w:rPr>
                <w:sz w:val="22"/>
                <w:szCs w:val="22"/>
                <w:highlight w:val="white"/>
              </w:rPr>
              <w:t>-</w:t>
            </w:r>
            <w:r>
              <w:rPr>
                <w:sz w:val="22"/>
                <w:szCs w:val="22"/>
              </w:rPr>
              <w:t>под новым следует понимать автотехнику, которая не была в употреблении, не проходила ремонт, в том числе восстановление, замену составных частей, восстановление потребительских свойств;</w:t>
            </w:r>
          </w:p>
          <w:p>
            <w:pPr>
              <w:pStyle w:val="Normal"/>
              <w:widowControl w:val="false"/>
              <w:ind w:left="241" w:right="306" w:hanging="0"/>
              <w:jc w:val="both"/>
              <w:rPr/>
            </w:pPr>
            <w:r>
              <w:rPr>
                <w:sz w:val="22"/>
                <w:szCs w:val="22"/>
                <w:highlight w:val="white"/>
              </w:rPr>
              <w:t xml:space="preserve">- </w:t>
            </w:r>
            <w:r>
              <w:rPr>
                <w:sz w:val="22"/>
                <w:szCs w:val="22"/>
              </w:rPr>
              <w:t>без пробега, означает, что не допускается эксплуатационный пробег свыше 2000 км.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Согласие с требованием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ind w:left="12" w:hang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ind w:left="9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Грузопассажирский фургон на автомобильном шасси (4х4) грузовой фургон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ind w:left="90" w:right="145" w:hanging="0"/>
              <w:jc w:val="both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1.Указать точное наименование ТС в соответствии с паспортом.</w:t>
            </w:r>
          </w:p>
          <w:p>
            <w:pPr>
              <w:pStyle w:val="Normal"/>
              <w:widowControl w:val="false"/>
              <w:snapToGrid w:val="false"/>
              <w:ind w:left="90" w:right="145" w:hanging="0"/>
              <w:jc w:val="both"/>
              <w:rPr>
                <w:rFonts w:ascii="Times New Roman" w:hAnsi="Times New Roman" w:eastAsia="Calibri" w:cs="Times New Roman"/>
                <w:iCs/>
                <w:sz w:val="22"/>
                <w:szCs w:val="22"/>
                <w:lang w:eastAsia="en-US"/>
              </w:rPr>
            </w:pPr>
            <w:r>
              <w:rPr>
                <w:rFonts w:eastAsia="Calibri" w:cs="Times New Roman" w:ascii="Times New Roman" w:hAnsi="Times New Roman"/>
                <w:iCs/>
                <w:sz w:val="22"/>
                <w:szCs w:val="22"/>
                <w:lang w:eastAsia="en-US"/>
              </w:rPr>
              <w:t>2.Указать производителя.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48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b/>
                <w:b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i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4"/>
              <w:widowControl w:val="false"/>
              <w:spacing w:before="280" w:after="0"/>
              <w:ind w:left="12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1.4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231" w:hanging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Тип ТС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280" w:hanging="0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highlight w:val="white"/>
              </w:rPr>
              <w:t>специальный, мастерская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Согласие с требованием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ascii="Times New Roman" w:hAnsi="Times New Roman" w:eastAsia="Calibri" w:cs="Times New Roman"/>
                <w:b/>
                <w:b/>
                <w:iCs/>
                <w:sz w:val="22"/>
                <w:szCs w:val="22"/>
                <w:lang w:eastAsia="en-US"/>
              </w:rPr>
            </w:pPr>
            <w:r>
              <w:rPr>
                <w:rFonts w:eastAsia="Calibri" w:cs="Times New Roman"/>
                <w:b/>
                <w:i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4"/>
              <w:widowControl w:val="false"/>
              <w:spacing w:before="280" w:after="0"/>
              <w:ind w:left="12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1.6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ind w:left="231" w:hanging="0"/>
              <w:jc w:val="both"/>
              <w:rPr>
                <w:rFonts w:eastAsia="Arial Unicode MS;Arial"/>
                <w:sz w:val="22"/>
                <w:szCs w:val="22"/>
              </w:rPr>
            </w:pPr>
            <w:r>
              <w:rPr>
                <w:rFonts w:eastAsia="Arial Unicode MS;Arial"/>
                <w:sz w:val="22"/>
                <w:szCs w:val="22"/>
              </w:rPr>
              <w:t>Тип двигателя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ind w:left="280" w:hanging="0"/>
              <w:rPr>
                <w:rFonts w:ascii="Times New Roman" w:hAnsi="Times New Roman" w:cs="Times New Roman"/>
                <w:sz w:val="22"/>
                <w:szCs w:val="22"/>
                <w:highlight w:val="white"/>
              </w:rPr>
            </w:pPr>
            <w:r>
              <w:rPr>
                <w:rFonts w:cs="Times New Roman" w:ascii="Times New Roman" w:hAnsi="Times New Roman"/>
                <w:sz w:val="22"/>
                <w:szCs w:val="22"/>
                <w:highlight w:val="white"/>
              </w:rPr>
              <w:t>Дизельный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Согласие с требованием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b/>
                <w:b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b/>
                <w:b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i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4"/>
              <w:widowControl w:val="false"/>
              <w:spacing w:before="280" w:after="0"/>
              <w:ind w:left="12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1.7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4"/>
              <w:widowControl w:val="false"/>
              <w:spacing w:before="280" w:after="0"/>
              <w:ind w:left="231" w:hang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Мощность двигателя (л.с.)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4"/>
              <w:widowControl w:val="false"/>
              <w:spacing w:before="280" w:after="0"/>
              <w:ind w:left="280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Не ме</w:t>
            </w:r>
            <w:r>
              <w:rPr>
                <w:rFonts w:cs="Times New Roman" w:ascii="Times New Roman" w:hAnsi="Times New Roman"/>
                <w:color w:val="000000"/>
                <w:sz w:val="22"/>
                <w:szCs w:val="22"/>
                <w:highlight w:val="white"/>
              </w:rPr>
              <w:t>нее 14</w:t>
            </w:r>
            <w:r>
              <w:rPr>
                <w:rFonts w:cs="Times New Roman" w:ascii="Times New Roman" w:hAnsi="Times New Roman"/>
                <w:color w:val="000000"/>
                <w:sz w:val="22"/>
                <w:szCs w:val="22"/>
                <w:highlight w:val="white"/>
                <w:lang w:val="en-US"/>
              </w:rPr>
              <w:t>0</w:t>
            </w:r>
            <w:r>
              <w:rPr>
                <w:rFonts w:cs="Times New Roman" w:ascii="Times New Roman" w:hAnsi="Times New Roman"/>
                <w:color w:val="000000"/>
                <w:sz w:val="22"/>
                <w:szCs w:val="22"/>
                <w:highlight w:val="white"/>
              </w:rPr>
              <w:t xml:space="preserve"> л. с.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Указать характеристики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b/>
                <w:b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b/>
                <w:b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i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4"/>
              <w:widowControl w:val="false"/>
              <w:spacing w:before="280" w:after="0"/>
              <w:ind w:left="12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1.8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4"/>
              <w:widowControl w:val="false"/>
              <w:spacing w:before="280" w:after="0"/>
              <w:ind w:left="231" w:hang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КПП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4"/>
              <w:widowControl w:val="false"/>
              <w:spacing w:before="280" w:after="0"/>
              <w:ind w:left="139" w:hang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Механическая с количеством передач не менее 5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Указать характеристики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b/>
                <w:b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b/>
                <w:b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i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4"/>
              <w:widowControl w:val="false"/>
              <w:spacing w:before="280" w:after="0"/>
              <w:ind w:left="12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1.9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4"/>
              <w:widowControl w:val="false"/>
              <w:spacing w:before="280" w:after="0"/>
              <w:ind w:left="231" w:hanging="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Кабина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4"/>
              <w:widowControl w:val="false"/>
              <w:spacing w:before="280" w:after="0"/>
              <w:ind w:left="139" w:right="523" w:hanging="0"/>
              <w:jc w:val="both"/>
              <w:rPr/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 xml:space="preserve">Однорядная двух дверная, </w:t>
            </w:r>
            <w:r>
              <w:rPr>
                <w:rFonts w:cs="Times New Roman" w:ascii="Times New Roman" w:hAnsi="Times New Roman"/>
                <w:color w:val="000000"/>
                <w:sz w:val="22"/>
                <w:szCs w:val="22"/>
                <w:highlight w:val="white"/>
              </w:rPr>
              <w:t>сиденье водителя регулируемое, комфортабельное, сиденья кабины</w:t>
            </w: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 xml:space="preserve"> мягкие с ремнями безопасности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Указать характеристики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iCs/>
                <w:sz w:val="22"/>
                <w:szCs w:val="22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4"/>
              <w:widowControl w:val="false"/>
              <w:spacing w:before="280" w:after="0"/>
              <w:ind w:left="12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  <w:lang w:val="en-US"/>
              </w:rPr>
              <w:t>1.10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8"/>
              <w:widowControl w:val="false"/>
              <w:ind w:left="231" w:hanging="0"/>
              <w:rPr>
                <w:rFonts w:eastAsia="Arial Unicode MS;Arial"/>
                <w:sz w:val="22"/>
                <w:szCs w:val="22"/>
              </w:rPr>
            </w:pPr>
            <w:r>
              <w:rPr>
                <w:rFonts w:eastAsia="Arial Unicode MS;Arial"/>
                <w:sz w:val="22"/>
                <w:szCs w:val="22"/>
              </w:rPr>
              <w:t>Габаритные размеры</w:t>
            </w:r>
          </w:p>
          <w:p>
            <w:pPr>
              <w:pStyle w:val="Style28"/>
              <w:widowControl w:val="false"/>
              <w:ind w:left="231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фургона (без надрамника)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8"/>
              <w:widowControl w:val="false"/>
              <w:ind w:left="139" w:firstLine="141"/>
              <w:rPr/>
            </w:pPr>
            <w:r>
              <w:rPr>
                <w:sz w:val="22"/>
                <w:szCs w:val="22"/>
              </w:rPr>
              <w:t xml:space="preserve">«Военный клепаный», из 2-х отсеков с перегородкой, соединенных дверью (грузовой: L-1900 mm, пассажирский: L-1750 mm). Внутренние размеры: 3680х2250х1800 </w:t>
            </w:r>
            <w:r>
              <w:rPr>
                <w:i/>
                <w:sz w:val="22"/>
                <w:szCs w:val="22"/>
              </w:rPr>
              <w:t>Допускается погрешность в значениях параметров в пределах 10%.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Указать характеристики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shd w:fill="FFFFFF" w:val="clear"/>
              </w:rPr>
            </w:pPr>
            <w:r>
              <w:rPr>
                <w:rFonts w:eastAsia="Calibri"/>
                <w:iCs/>
                <w:sz w:val="22"/>
                <w:szCs w:val="22"/>
                <w:shd w:fill="FFFFFF" w:val="clear"/>
                <w:lang w:eastAsia="en-US"/>
              </w:rPr>
              <w:t>Предоставить чертежи с указанием габаритных размеров и фотографии предлагаемого к поставке ТС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4"/>
              <w:widowControl w:val="false"/>
              <w:spacing w:before="280" w:after="0"/>
              <w:ind w:left="12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1.11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ind w:firstLine="231"/>
              <w:rPr>
                <w:rFonts w:eastAsia="Arial Unicode MS;Arial"/>
                <w:sz w:val="22"/>
                <w:szCs w:val="22"/>
              </w:rPr>
            </w:pPr>
            <w:r>
              <w:rPr>
                <w:rFonts w:eastAsia="Arial Unicode MS;Arial"/>
                <w:sz w:val="22"/>
                <w:szCs w:val="22"/>
              </w:rPr>
              <w:t>Тип фургона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280" w:right="24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Фургон с термоизоляцией разделенный перегородкой на пассажирский и грузовой отсеки с глухой перегородкой между отсеками.</w:t>
            </w:r>
          </w:p>
          <w:p>
            <w:pPr>
              <w:pStyle w:val="Standard"/>
              <w:widowControl w:val="false"/>
              <w:ind w:left="280" w:right="24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 изготовления фургона - бескаркасная технология с использованием «сэндвич» панелей, в которых внутренняя, внешняя обшивка и теплоизоляционный слой составляют единое целое: монолитную панель, служащую элементом несущей конструкции, что обеспечивает жесткость и надёжность фургона.</w:t>
            </w:r>
          </w:p>
          <w:p>
            <w:pPr>
              <w:pStyle w:val="Standard"/>
              <w:widowControl w:val="false"/>
              <w:ind w:left="280" w:right="240" w:hanging="0"/>
              <w:jc w:val="both"/>
              <w:rPr/>
            </w:pP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highlight w:val="white"/>
              </w:rPr>
              <w:t xml:space="preserve"> Температурный диапазон эксплуатации от - 45°С до +40°С.</w:t>
            </w:r>
          </w:p>
          <w:p>
            <w:pPr>
              <w:pStyle w:val="Standard"/>
              <w:widowControl w:val="false"/>
              <w:ind w:left="280" w:right="240" w:hanging="0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- Наружная отделка – алюминиевый лист толщиной не менее 1,2 мм.</w:t>
            </w:r>
          </w:p>
          <w:p>
            <w:pPr>
              <w:pStyle w:val="Standard"/>
              <w:widowControl w:val="false"/>
              <w:ind w:left="280" w:right="240" w:hanging="0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- Оклейка фургона светоотражающей лентой по периметру</w:t>
            </w:r>
          </w:p>
          <w:p>
            <w:pPr>
              <w:pStyle w:val="Standard"/>
              <w:widowControl w:val="false"/>
              <w:ind w:left="280" w:right="240" w:hanging="0"/>
              <w:jc w:val="both"/>
              <w:rPr/>
            </w:pPr>
            <w:r>
              <w:rPr>
                <w:sz w:val="22"/>
                <w:szCs w:val="22"/>
                <w:highlight w:val="white"/>
              </w:rPr>
              <w:t xml:space="preserve">- Утепление: пенополистирол, либо эквивалент, толщиной не менее 45 мм </w:t>
              <w:br/>
              <w:t xml:space="preserve">- Внутренняя обшивка: ламинированная фанера, толщиной не менее 4 мм </w:t>
            </w:r>
            <w:r>
              <w:rPr>
                <w:sz w:val="22"/>
                <w:szCs w:val="22"/>
              </w:rPr>
              <w:br/>
              <w:t>- Двери - задние распашные с ручками, двустворчатые для доступа в грузовой отсек, боковая – одностворчатая для доступа в пассажирский отсек по правому борту автомобиля с фиксатором (ограничения неполного (частичного) открывания двери.</w:t>
            </w:r>
          </w:p>
          <w:p>
            <w:pPr>
              <w:pStyle w:val="Standard"/>
              <w:widowControl w:val="false"/>
              <w:ind w:left="280" w:right="24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Двери должны иметь ручки для открывания и замки, запираемые ключом снаружи фургона, защелки устройства для фиксации дверей в открытом положении.</w:t>
            </w:r>
          </w:p>
          <w:p>
            <w:pPr>
              <w:pStyle w:val="Standard"/>
              <w:widowControl w:val="false"/>
              <w:ind w:left="280" w:right="24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Двери должны открываться из фургона наружу.   Открывание замков дверей и дверей фургона должно осуществляться непосредственно с земли</w:t>
              <w:br/>
              <w:t xml:space="preserve">- Лестницы: выдвижные, задвигающиеся и фиксирующиеся под полом фургона при движении автомобиля: - под боковой дверью – 1 шт.; - под задней дверью – 1 шт. </w:t>
              <w:br/>
              <w:t xml:space="preserve">- Освещение: количество плафонов 12 В – 4 шт. (по два в каждом отсеке). Плафоны стандарт, проводка скрытая </w:t>
              <w:br/>
              <w:t>- Резиновые отбойники на двери – 2 шт.</w:t>
            </w:r>
          </w:p>
          <w:p>
            <w:pPr>
              <w:pStyle w:val="Standard"/>
              <w:widowControl w:val="false"/>
              <w:ind w:left="280" w:right="24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- Передние, задние габаритные огни фургона – 4 шт. (диодные) </w:t>
              <w:br/>
              <w:t xml:space="preserve">- Боковые габаритные огни – 4 шт. (диодные) </w:t>
              <w:br/>
              <w:t>- Люки: Аварийно-вентиляционный в крыше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Указать характеристики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val="en-US" w:eastAsia="en-US"/>
              </w:rPr>
            </w:pPr>
            <w:r>
              <w:rPr>
                <w:rFonts w:eastAsia="Calibri"/>
                <w:iCs/>
                <w:sz w:val="22"/>
                <w:szCs w:val="22"/>
                <w:lang w:val="en-US"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ind w:firstLine="23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Грузовой отсек: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боковые рундуки для инструмента и такелажа - 2 шт.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боковые окна (глухие) на боковых стенках -2 шт;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задняя дверь двухстворчатая распашная;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 грузовом отсеке возле задней двери установить поворотный кран грузоподъемностью не менее 250 кг для подъёма в грузовой отсек тяжелых грузов с сигнальной разметкой на полу по зоне перемещения груза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Устанавливаемый кран-манипулятор должен соответствовать действующим Федеральным нормам и правилам в области промышленной безопасности.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правая дверь оборудована окном глухим и внутренним ригельным замком с запиранием в трех точках;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внутри по периметру грузовой отсек (включая двери) должен быть обшит оцинкованным стальным листом на - высоту не менее 500 мм. от пола;</w:t>
            </w:r>
          </w:p>
          <w:p>
            <w:pPr>
              <w:pStyle w:val="Style28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покрытие пола в грузовом отсеке рифленый алюминий.</w:t>
            </w:r>
          </w:p>
          <w:p>
            <w:pPr>
              <w:pStyle w:val="Style28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Внутренние размеры грузового отсека: 1900х2250х1800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Указать характеристики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ind w:left="231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Пассажирский отсек: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пассажирском отсеке: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посадочных мест 4 (сидения с ремнями безопасности),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окно распашное с левой стороны двойное или стеклопакет - 1 шт.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глухое в двери двойное или стеклопакет - 1 шт.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люк аварийно-вентиляционный и откидной стол между рядами сидений (не менее 70см),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переговорное устройство для связи с водителем;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отопители – 2 шт: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дизельный автономный воздушный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 от системы охлаждения.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систему отопления пассажирского отсека выполнить с применением дизельного воздушного отопителя мощностью не менее 5 кВт. Управление отопителями осуществляется из пассажирско-жилого отсека.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установленные отопители расположить под сиденьями в пассажирском отсеке и предусмотреть защиту на них исключающую их случайное повреждение.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покрытие пола автомобильный линолеум (автолин)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вентиляция отсеков должна быть выполнена в соответствии с требованиями ГОСТ, санитарными и строительными нормами и правилами, действующими на территории РФ.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 при изготовлении фургона типа КУНГ с учетом назначения отсеков и мест установки оборудования должны применяться материалы, соответствующие требованиям ГОСТ, санитарным и строительным нормам и правилам, техническим регламентам, действующим на территории РФ.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под фургоном установить подвесные ящики (не снижая угол съезда), закрывающиеся на навесной замок, для хранения и перевозки оборудования материалов, водительского инструмента (буксировочный трос, домкрат, слесарный инструмент и др.).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внутренние размеры пассажирского отсека 1750х2250х1800</w:t>
            </w:r>
          </w:p>
          <w:p>
            <w:pPr>
              <w:pStyle w:val="Standard"/>
              <w:widowControl w:val="false"/>
              <w:ind w:left="139" w:right="381" w:firstLine="14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Допускается погрешность в значениях параметров в пределах 10%.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Указать характеристики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4"/>
              <w:widowControl w:val="false"/>
              <w:spacing w:before="280" w:after="0"/>
              <w:ind w:left="12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1.14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ind w:left="9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ЗИП: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139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Согласно комплектации завода-изготовителя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Указать перечень ЗИП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4"/>
              <w:widowControl w:val="false"/>
              <w:spacing w:before="280" w:after="0"/>
              <w:ind w:left="12" w:hanging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0"/>
                <w:sz w:val="22"/>
                <w:szCs w:val="22"/>
              </w:rPr>
              <w:t>1.15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ind w:left="231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Дополнительная комплектация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139" w:right="24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Лебедка с механическим приводом, трос-50м, тяговое усилие – не менее 4,5т.</w:t>
            </w:r>
          </w:p>
          <w:p>
            <w:pPr>
              <w:pStyle w:val="Standard"/>
              <w:widowControl w:val="false"/>
              <w:ind w:left="139" w:right="24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2.Фара-искатель.</w:t>
            </w:r>
          </w:p>
          <w:p>
            <w:pPr>
              <w:pStyle w:val="Standard"/>
              <w:widowControl w:val="false"/>
              <w:ind w:left="139" w:right="24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Дизельный предпусковой подогреватель двигателя;</w:t>
            </w:r>
          </w:p>
          <w:p>
            <w:pPr>
              <w:pStyle w:val="Standard"/>
              <w:widowControl w:val="false"/>
              <w:ind w:left="139" w:right="24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АБС;</w:t>
            </w:r>
          </w:p>
          <w:p>
            <w:pPr>
              <w:pStyle w:val="Standard"/>
              <w:widowControl w:val="false"/>
              <w:ind w:left="139" w:right="24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Усиленная рама;</w:t>
            </w:r>
          </w:p>
          <w:p>
            <w:pPr>
              <w:pStyle w:val="Standard"/>
              <w:widowControl w:val="false"/>
              <w:ind w:left="139" w:right="24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 Централизованная подкачка колес.</w:t>
            </w:r>
          </w:p>
          <w:p>
            <w:pPr>
              <w:pStyle w:val="Standard"/>
              <w:widowControl w:val="false"/>
              <w:ind w:left="139" w:right="240" w:hanging="0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7.Комплект кондиционера, встроенный с дополнительным испарителем , охлаждение кабины и передний отсек фургона.</w:t>
            </w:r>
          </w:p>
          <w:p>
            <w:pPr>
              <w:pStyle w:val="Standard"/>
              <w:widowControl w:val="false"/>
              <w:ind w:left="139" w:right="240" w:hanging="0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8.Утеплитель решетки радиатора, домкрат — не менее 8 тон , огнетушитель ОП2 (3) - 1 шт., знак аварийной остановки-2 шт., противооткатные упоры - 2 шт., аптечка первой помощи автомобильная 1 шт., - жилет или жилет-накидка согласно ГОСТа 12.4.281-2014 -1 шт.,коврики резиновые в кабине.</w:t>
            </w:r>
          </w:p>
          <w:p>
            <w:pPr>
              <w:pStyle w:val="Standard"/>
              <w:widowControl w:val="false"/>
              <w:ind w:left="139" w:right="240" w:hanging="0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9.Трос буксирный со световозвращающими маркерами с усилием нагрузки 15 тс, длиной - 6 м.</w:t>
            </w:r>
          </w:p>
          <w:p>
            <w:pPr>
              <w:pStyle w:val="Standard"/>
              <w:widowControl w:val="false"/>
              <w:ind w:left="139" w:right="240" w:hanging="0"/>
              <w:jc w:val="both"/>
              <w:rPr/>
            </w:pPr>
            <w:r>
              <w:rPr>
                <w:sz w:val="22"/>
                <w:szCs w:val="22"/>
                <w:highlight w:val="white"/>
              </w:rPr>
              <w:t>10.</w:t>
            </w:r>
            <w:r>
              <w:rPr>
                <w:rFonts w:eastAsia="Calibri" w:cs="Liberation Serif" w:ascii="Liberation Serif" w:hAnsi="Liberation Serif"/>
                <w:sz w:val="22"/>
                <w:szCs w:val="22"/>
                <w:highlight w:val="white"/>
                <w:lang w:eastAsia="en-US"/>
              </w:rPr>
              <w:t>Видеорегистратор с установкой и подключением, с картой памяти 64 ГБ: максимальное разрешение видеозаписи не менее 1920х1080, тип разрешения видеозап</w:t>
            </w:r>
            <w:r>
              <w:rPr>
                <w:rFonts w:eastAsia="Calibri" w:cs="Liberation Serif" w:ascii="Liberation Serif" w:hAnsi="Liberation Serif"/>
                <w:color w:val="000000"/>
                <w:sz w:val="22"/>
                <w:szCs w:val="22"/>
                <w:highlight w:val="white"/>
                <w:lang w:eastAsia="en-US"/>
              </w:rPr>
              <w:t>иси не хуже FullHD.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Указать доп. комплектацию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yle27"/>
              <w:widowControl w:val="false"/>
              <w:spacing w:before="60" w:after="60"/>
              <w:ind w:left="0" w:right="0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13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Требования к безопасности</w:t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2.1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безопасности ТС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tabs>
                <w:tab w:val="clear" w:pos="327"/>
                <w:tab w:val="left" w:pos="139" w:leader="none"/>
                <w:tab w:val="left" w:pos="735" w:leader="none"/>
              </w:tabs>
              <w:suppressAutoHyphens w:val="false"/>
              <w:snapToGrid w:val="false"/>
              <w:spacing w:before="0" w:after="0"/>
              <w:ind w:left="139" w:right="240" w:hanging="0"/>
              <w:contextualSpacing/>
              <w:rPr>
                <w:rFonts w:eastAsia="Calibri" w:cs="Liberation Serif"/>
                <w:sz w:val="22"/>
                <w:szCs w:val="22"/>
                <w:lang w:eastAsia="en-US" w:bidi="ar-SA"/>
              </w:rPr>
            </w:pPr>
            <w:r>
              <w:rPr>
                <w:rFonts w:eastAsia="Calibri" w:cs="Liberation Serif"/>
                <w:sz w:val="22"/>
                <w:szCs w:val="22"/>
                <w:lang w:eastAsia="en-US" w:bidi="ar-SA"/>
              </w:rPr>
              <w:t>1.Соответствие требованиям технического регламента Таможенного союза ТР ТС 018/2011 «О безопасности колесных транспортных средств» с учетом требований Постановления Правительства РФ от 12 мая 2022г. № 855 «Об утверждении Правил применения обязательных требований в отношении отдельных колесных транспортных средств и проведения оценки их соответствия» (с изменениями и дополнениями)</w:t>
            </w:r>
          </w:p>
          <w:p>
            <w:pPr>
              <w:pStyle w:val="Normal"/>
              <w:widowControl w:val="false"/>
              <w:tabs>
                <w:tab w:val="clear" w:pos="327"/>
                <w:tab w:val="left" w:pos="139" w:leader="none"/>
                <w:tab w:val="left" w:pos="461" w:leader="none"/>
              </w:tabs>
              <w:suppressAutoHyphens w:val="false"/>
              <w:snapToGrid w:val="false"/>
              <w:spacing w:before="0" w:after="0"/>
              <w:ind w:left="139" w:right="240" w:hanging="0"/>
              <w:contextualSpacing/>
              <w:rPr>
                <w:rFonts w:eastAsia="Calibri" w:cs="Liberation Serif"/>
                <w:sz w:val="22"/>
                <w:szCs w:val="22"/>
                <w:lang w:eastAsia="en-US" w:bidi="ar-SA"/>
              </w:rPr>
            </w:pPr>
            <w:r>
              <w:rPr>
                <w:rFonts w:eastAsia="Calibri" w:cs="Liberation Serif"/>
                <w:sz w:val="22"/>
                <w:szCs w:val="22"/>
                <w:lang w:eastAsia="en-US" w:bidi="ar-SA"/>
              </w:rPr>
              <w:t>2. Устройство ЭВ «ЭРА ГЛОНАСС» с учетом требований Постановления Правительства РФ от 12 мая 2022 г. № 855 «Об утверждении Правил применения обязательных требований в отношении отдельных колесных транспортных средств и проведения оценки их соответствия» (с изменениями и дополнениями)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  <w:highlight w:val="white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2"/>
                <w:szCs w:val="22"/>
                <w:highlight w:val="white"/>
              </w:rPr>
              <w:t>Предоставить копию документа подтверждающего соответствие продукции требованиям ТР ТС 018/2011 либо соответствие техническим требованиям установленным в  Приложении N 1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к Правилам применения обязательных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требований в отношении отдельных</w:t>
            </w:r>
          </w:p>
          <w:p>
            <w:pPr>
              <w:pStyle w:val="Normal"/>
              <w:widowControl w:val="false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колесных транспортных средств</w:t>
            </w:r>
          </w:p>
          <w:p>
            <w:pPr>
              <w:pStyle w:val="Standard"/>
              <w:widowControl w:val="false"/>
              <w:snapToGrid w:val="false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 проведения оценки их соответствия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jc w:val="center"/>
              <w:rPr>
                <w:rFonts w:eastAsia="Calibri"/>
                <w:b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3.</w:t>
            </w:r>
          </w:p>
        </w:tc>
        <w:tc>
          <w:tcPr>
            <w:tcW w:w="13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ind w:left="231" w:hanging="0"/>
              <w:jc w:val="both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317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90" w:right="273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«своим ходом»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допускается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ListParagraph"/>
              <w:widowControl w:val="false"/>
              <w:tabs>
                <w:tab w:val="clear" w:pos="327"/>
                <w:tab w:val="left" w:pos="1134" w:leader="none"/>
              </w:tabs>
              <w:ind w:left="90" w:right="273" w:hanging="0"/>
              <w:rPr/>
            </w:pPr>
            <w:r>
              <w:rPr>
                <w:rStyle w:val="14"/>
                <w:rFonts w:eastAsia="Times New Roman" w:cs="Liberation Serif"/>
                <w:color w:val="000000"/>
                <w:sz w:val="22"/>
                <w:szCs w:val="22"/>
                <w:lang w:bidi="ar-SA"/>
              </w:rPr>
              <w:t>Поставка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ListParagraph"/>
              <w:widowControl w:val="false"/>
              <w:tabs>
                <w:tab w:val="clear" w:pos="327"/>
                <w:tab w:val="left" w:pos="1134" w:leader="none"/>
              </w:tabs>
              <w:ind w:left="0" w:right="0" w:hanging="0"/>
              <w:jc w:val="both"/>
              <w:rPr>
                <w:rFonts w:eastAsia="Times New Roman" w:cs="Liberation Serif"/>
                <w:color w:val="000000"/>
                <w:sz w:val="22"/>
                <w:szCs w:val="22"/>
                <w:lang w:bidi="ar-SA"/>
              </w:rPr>
            </w:pPr>
            <w:r>
              <w:rPr>
                <w:rFonts w:eastAsia="Times New Roman" w:cs="Liberation Serif"/>
                <w:color w:val="000000"/>
                <w:sz w:val="22"/>
                <w:szCs w:val="22"/>
                <w:lang w:bidi="ar-SA"/>
              </w:rPr>
              <w:t>Доставка ж/д транспортом, автотранспортом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Указать способ доставки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/>
            </w:pPr>
            <w:r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90" w:right="273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  <w:t>Амурская обл. г. Благовещенск ул. Театральная 179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spacing w:before="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jc w:val="center"/>
              <w:rPr>
                <w:rFonts w:eastAsia="Calibri"/>
                <w:b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4.</w:t>
            </w:r>
          </w:p>
        </w:tc>
        <w:tc>
          <w:tcPr>
            <w:tcW w:w="13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pacing w:before="60" w:after="0"/>
              <w:ind w:left="231" w:hanging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гарантиям, гарантийному и послегарантийному обслуживанию</w:t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231" w:right="131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Гарантия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 24 месяцев. С момента поставки товара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Указать гарантийный срок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327"/>
                <w:tab w:val="left" w:pos="426" w:leader="none"/>
              </w:tabs>
              <w:snapToGrid w:val="false"/>
              <w:spacing w:before="4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spacing w:before="60" w:after="6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231" w:right="131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гарантийным обязательствам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false"/>
              <w:ind w:left="139" w:right="381" w:hanging="0"/>
              <w:jc w:val="both"/>
              <w:rPr/>
            </w:pPr>
            <w:r>
              <w:rPr>
                <w:rFonts w:cs="Liberation Serif"/>
                <w:sz w:val="22"/>
                <w:szCs w:val="22"/>
                <w:lang w:eastAsia="ru-RU"/>
              </w:rPr>
              <w:t xml:space="preserve">В случае обнаружения </w:t>
            </w:r>
            <w:r>
              <w:rPr>
                <w:rFonts w:cs="Liberation Serif"/>
                <w:sz w:val="22"/>
                <w:szCs w:val="22"/>
                <w:highlight w:val="white"/>
                <w:lang w:eastAsia="ru-RU"/>
              </w:rPr>
              <w:t>любых</w:t>
            </w:r>
            <w:r>
              <w:rPr>
                <w:rFonts w:cs="Liberation Serif"/>
                <w:sz w:val="22"/>
                <w:szCs w:val="22"/>
                <w:lang w:eastAsia="ru-RU"/>
              </w:rPr>
              <w:t xml:space="preserve"> дефектов, в период гарантийного срока эксплуатации автомобиля, Поставщик обязан, </w:t>
            </w:r>
            <w:r>
              <w:rPr>
                <w:rFonts w:cs="Liberation Serif"/>
                <w:sz w:val="22"/>
                <w:szCs w:val="22"/>
                <w:highlight w:val="white"/>
                <w:lang w:eastAsia="ru-RU"/>
              </w:rPr>
              <w:t>не позднее 10 дней со дня получения письменного извещения Заказчика, направить своего представителя для участия в составлении акта-рекламации и за свой счет устранить обнаруженные дефекты в срок, согласованный с Заказчиком. Гарантийный срок на Товар увеличивается на тот период времени, в течение которого Покупатель не мог эксплуатировать (использовать) Товар вследствие его недостатков (дефектов). Гарантийный срок на замененную или отремонтированную единицу Товара устанавливается продолжительностью, указанной в пункте 4.1 настоящих тех. требований, и начинает исчисляться заново с даты приемки Покупателем замененной единицы Товара или работ по устранению недостатков (дефектов).</w:t>
            </w:r>
          </w:p>
          <w:p>
            <w:pPr>
              <w:pStyle w:val="Standard"/>
              <w:widowControl w:val="false"/>
              <w:jc w:val="both"/>
              <w:rPr>
                <w:rFonts w:cs="Liberation Serif"/>
                <w:strike/>
                <w:sz w:val="22"/>
                <w:szCs w:val="22"/>
                <w:lang w:eastAsia="ru-RU"/>
              </w:rPr>
            </w:pPr>
            <w:r>
              <w:rPr>
                <w:rFonts w:cs="Liberation Serif"/>
                <w:strike/>
                <w:sz w:val="22"/>
                <w:szCs w:val="22"/>
                <w:lang w:eastAsia="ru-RU"/>
              </w:rPr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Согласие с требованием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327"/>
                <w:tab w:val="left" w:pos="426" w:leader="none"/>
              </w:tabs>
              <w:snapToGrid w:val="false"/>
              <w:spacing w:before="4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spacing w:before="60" w:after="6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jc w:val="center"/>
              <w:rPr>
                <w:rFonts w:eastAsia="Calibri"/>
                <w:b/>
                <w:b/>
                <w:sz w:val="22"/>
                <w:szCs w:val="22"/>
                <w:lang w:val="en-US"/>
              </w:rPr>
            </w:pPr>
            <w:r>
              <w:rPr>
                <w:rFonts w:eastAsia="Calibri"/>
                <w:b/>
                <w:sz w:val="22"/>
                <w:szCs w:val="22"/>
                <w:lang w:val="en-US"/>
              </w:rPr>
              <w:t>5</w:t>
            </w:r>
          </w:p>
        </w:tc>
        <w:tc>
          <w:tcPr>
            <w:tcW w:w="13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pacing w:before="60" w:after="60"/>
              <w:ind w:left="231" w:hanging="0"/>
              <w:rPr>
                <w:b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>
          <w:trHeight w:val="23" w:hRule="atLeast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</w:tcPr>
          <w:p>
            <w:pPr>
              <w:pStyle w:val="Standard"/>
              <w:widowControl w:val="false"/>
              <w:ind w:left="231" w:right="131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Необходимое наличие комплекта документов при поставке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tabs>
                <w:tab w:val="clear" w:pos="327"/>
                <w:tab w:val="left" w:pos="411" w:leader="none"/>
              </w:tabs>
              <w:ind w:left="280" w:right="24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Заверенная копия выписки из электронного паспорта транспортного средства.</w:t>
            </w:r>
          </w:p>
          <w:p>
            <w:pPr>
              <w:pStyle w:val="Standard"/>
              <w:widowControl w:val="false"/>
              <w:tabs>
                <w:tab w:val="clear" w:pos="327"/>
                <w:tab w:val="left" w:pos="1080" w:leader="none"/>
              </w:tabs>
              <w:ind w:left="280" w:right="24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Руководство по эксплуатации, на русском языке.</w:t>
            </w:r>
          </w:p>
          <w:p>
            <w:pPr>
              <w:pStyle w:val="Standard"/>
              <w:widowControl w:val="false"/>
              <w:tabs>
                <w:tab w:val="clear" w:pos="327"/>
                <w:tab w:val="left" w:pos="459" w:leader="none"/>
              </w:tabs>
              <w:ind w:left="280" w:right="240" w:hanging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Руководство по эксплуатации предпускового подогревателя двигателя, на русском языке.</w:t>
            </w:r>
          </w:p>
          <w:p>
            <w:pPr>
              <w:pStyle w:val="Style27"/>
              <w:widowControl w:val="false"/>
              <w:tabs>
                <w:tab w:val="clear" w:pos="327"/>
                <w:tab w:val="left" w:pos="423" w:leader="none"/>
              </w:tabs>
              <w:ind w:left="280" w:right="240" w:hang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Руководство по эксплуатации автономного воздушного отопителя, на русском языке.</w:t>
            </w:r>
          </w:p>
          <w:p>
            <w:pPr>
              <w:pStyle w:val="Style27"/>
              <w:widowControl w:val="false"/>
              <w:tabs>
                <w:tab w:val="clear" w:pos="327"/>
                <w:tab w:val="left" w:pos="423" w:leader="none"/>
              </w:tabs>
              <w:ind w:left="280" w:right="240" w:hanging="0"/>
              <w:jc w:val="both"/>
              <w:rPr/>
            </w:pPr>
            <w:r>
              <w:rPr>
                <w:sz w:val="22"/>
                <w:szCs w:val="22"/>
              </w:rPr>
              <w:t>5.</w:t>
            </w:r>
            <w:r>
              <w:rPr>
                <w:rFonts w:eastAsia="Calibri" w:cs="Liberation Serif" w:ascii="Liberation Serif" w:hAnsi="Liberation Serif"/>
                <w:lang w:eastAsia="en-US"/>
              </w:rPr>
              <w:t>Сертификат качества на поставляемую продукцию.</w:t>
            </w:r>
          </w:p>
        </w:tc>
        <w:tc>
          <w:tcPr>
            <w:tcW w:w="2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Согласие с требованием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  <w:t>-//-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Standard"/>
              <w:widowControl w:val="false"/>
              <w:snapToGrid w:val="false"/>
              <w:jc w:val="center"/>
              <w:rPr>
                <w:rFonts w:eastAsia="Calibri"/>
                <w:iCs/>
                <w:sz w:val="22"/>
                <w:szCs w:val="22"/>
                <w:lang w:eastAsia="en-US"/>
              </w:rPr>
            </w:pPr>
            <w:r>
              <w:rPr>
                <w:rFonts w:eastAsia="Calibri"/>
                <w:iCs/>
                <w:sz w:val="22"/>
                <w:szCs w:val="22"/>
                <w:lang w:eastAsia="en-US"/>
              </w:rPr>
            </w:r>
          </w:p>
        </w:tc>
      </w:tr>
    </w:tbl>
    <w:p>
      <w:pPr>
        <w:pStyle w:val="Standard"/>
        <w:rPr>
          <w:b/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Standard"/>
        <w:tabs>
          <w:tab w:val="clear" w:pos="327"/>
          <w:tab w:val="left" w:pos="1605" w:leader="none"/>
          <w:tab w:val="left" w:pos="12240" w:leader="none"/>
        </w:tabs>
        <w:rPr/>
      </w:pPr>
      <w:r>
        <w:rPr>
          <w:b/>
          <w:bCs/>
          <w:i/>
          <w:iCs/>
          <w:sz w:val="22"/>
          <w:szCs w:val="22"/>
        </w:rPr>
        <w:t xml:space="preserve">             </w:t>
      </w:r>
      <w:r>
        <w:rPr>
          <w:rFonts w:eastAsia="WenQuanYi Zen Hei Sharp;Times New Roman" w:cs="Liberation Serif" w:ascii="Liberation Serif" w:hAnsi="Liberation Serif"/>
          <w:b/>
          <w:bCs/>
          <w:i/>
          <w:iCs/>
          <w:highlight w:val="white"/>
          <w:lang w:bidi="hi-IN"/>
        </w:rPr>
        <w:t>3.   Требования к документации по ценообразованию на этапе закупки</w:t>
      </w:r>
    </w:p>
    <w:p>
      <w:pPr>
        <w:pStyle w:val="Normal"/>
        <w:tabs>
          <w:tab w:val="clear" w:pos="327"/>
          <w:tab w:val="left" w:pos="1134" w:leader="none"/>
        </w:tabs>
        <w:ind w:left="680" w:right="567" w:hanging="0"/>
        <w:jc w:val="both"/>
        <w:rPr>
          <w:bCs/>
          <w:iCs/>
          <w:highlight w:val="white"/>
        </w:rPr>
      </w:pPr>
      <w:r>
        <w:rPr>
          <w:bCs/>
          <w:iCs/>
          <w:highlight w:val="white"/>
        </w:rPr>
        <w:t>3.1</w:t>
        <w:tab/>
        <w:t>В обоснование стоимости своей заявки Участник предоставляет Коммерческое предложение по форме (с учетом прилагаемой    к ней инструкции по заполнению), приведенной в Документации о закупке.</w:t>
      </w:r>
    </w:p>
    <w:p>
      <w:pPr>
        <w:pStyle w:val="Standard"/>
        <w:tabs>
          <w:tab w:val="clear" w:pos="327"/>
          <w:tab w:val="left" w:pos="1605" w:leader="none"/>
          <w:tab w:val="left" w:pos="12240" w:leader="none"/>
        </w:tabs>
        <w:ind w:left="680" w:hanging="0"/>
        <w:rPr>
          <w:rFonts w:ascii="Liberation Serif" w:hAnsi="Liberation Serif" w:eastAsia="WenQuanYi Zen Hei Sharp;Times New Roman" w:cs="Liberation Serif"/>
          <w:highlight w:val="white"/>
          <w:lang w:bidi="hi-IN"/>
        </w:rPr>
      </w:pPr>
      <w:r>
        <w:rPr>
          <w:rFonts w:eastAsia="WenQuanYi Zen Hei Sharp;Times New Roman" w:cs="Liberation Serif" w:ascii="Liberation Serif" w:hAnsi="Liberation Serif"/>
          <w:highlight w:val="white"/>
          <w:lang w:bidi="hi-IN"/>
        </w:rPr>
        <w:t>3.2. Все цены в предложении должны включать все налоги, транспортные расходы и другие обязательные платежи, стоимость всех    сопутствующих работ (услуг), а также все скидки, предлагаемые участником.</w:t>
      </w:r>
    </w:p>
    <w:p>
      <w:pPr>
        <w:pStyle w:val="Standard"/>
        <w:tabs>
          <w:tab w:val="clear" w:pos="327"/>
          <w:tab w:val="left" w:pos="1605" w:leader="none"/>
          <w:tab w:val="left" w:pos="12240" w:leader="none"/>
        </w:tabs>
        <w:ind w:left="680" w:hanging="0"/>
        <w:rPr>
          <w:rFonts w:ascii="Liberation Serif" w:hAnsi="Liberation Serif" w:eastAsia="WenQuanYi Zen Hei Sharp;Times New Roman" w:cs="Liberation Serif"/>
          <w:highlight w:val="white"/>
          <w:lang w:bidi="hi-IN"/>
        </w:rPr>
      </w:pPr>
      <w:r>
        <w:rPr/>
      </w:r>
    </w:p>
    <w:p>
      <w:pPr>
        <w:pStyle w:val="Standard"/>
        <w:tabs>
          <w:tab w:val="clear" w:pos="327"/>
          <w:tab w:val="left" w:pos="1605" w:leader="none"/>
          <w:tab w:val="left" w:pos="12240" w:leader="none"/>
        </w:tabs>
        <w:ind w:left="680" w:hanging="0"/>
        <w:rPr>
          <w:rFonts w:ascii="Liberation Serif" w:hAnsi="Liberation Serif" w:eastAsia="WenQuanYi Zen Hei Sharp;Times New Roman" w:cs="Liberation Serif"/>
          <w:highlight w:val="white"/>
          <w:lang w:bidi="hi-IN"/>
        </w:rPr>
      </w:pPr>
      <w:r>
        <w:rPr/>
      </w:r>
    </w:p>
    <w:p>
      <w:pPr>
        <w:pStyle w:val="Standard"/>
        <w:tabs>
          <w:tab w:val="clear" w:pos="327"/>
          <w:tab w:val="left" w:pos="1605" w:leader="none"/>
          <w:tab w:val="left" w:pos="12240" w:leader="none"/>
        </w:tabs>
        <w:ind w:left="680" w:hanging="0"/>
        <w:rPr>
          <w:b/>
          <w:b/>
          <w:bCs/>
          <w:i/>
          <w:i/>
          <w:iCs/>
          <w:sz w:val="26"/>
          <w:szCs w:val="26"/>
        </w:rPr>
      </w:pPr>
      <w:r>
        <w:rPr>
          <w:rFonts w:eastAsia="WenQuanYi Zen Hei Sharp;Times New Roman" w:cs="Liberation Serif" w:ascii="Liberation Serif" w:hAnsi="Liberation Serif"/>
          <w:b/>
          <w:bCs/>
          <w:i/>
          <w:iCs/>
          <w:sz w:val="26"/>
          <w:szCs w:val="26"/>
          <w:highlight w:val="white"/>
          <w:lang w:bidi="hi-IN"/>
        </w:rPr>
        <w:t>Главный специалист АТГ                                               п/п                                                                   Д.А. Курунтяев</w:t>
      </w:r>
    </w:p>
    <w:sectPr>
      <w:type w:val="nextPage"/>
      <w:pgSz w:orient="landscape" w:w="16838" w:h="11906"/>
      <w:pgMar w:left="992" w:right="1021" w:header="0" w:top="851" w:footer="0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Times New Roman">
    <w:charset w:val="01"/>
    <w:family w:val="swiss"/>
    <w:pitch w:val="variable"/>
  </w:font>
  <w:font w:name="Symbol">
    <w:charset w:val="01"/>
    <w:family w:val="roman"/>
    <w:pitch w:val="variable"/>
  </w:font>
  <w:font w:name="Courier New">
    <w:charset w:val="01"/>
    <w:family w:val="roman"/>
    <w:pitch w:val="variable"/>
  </w:font>
  <w:font w:name="Wingdings"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Tahoma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decimal"/>
      <w:lvlText w:val="%1."/>
      <w:lvlJc w:val="left"/>
      <w:pPr>
        <w:tabs>
          <w:tab w:val="num" w:pos="0"/>
        </w:tabs>
        <w:ind w:left="0" w:hanging="0"/>
      </w:pPr>
      <w:rPr>
        <w:smallCaps w:val="false"/>
        <w:caps w:val="false"/>
        <w:dstrike w:val="false"/>
        <w:strike w:val="false"/>
        <w:sz w:val="22"/>
        <w:spacing w:val="0"/>
        <w:i w:val="false"/>
        <w:b/>
        <w:szCs w:val="22"/>
        <w:iCs w:val="false"/>
        <w:bCs w:val="false"/>
        <w:vanish w:val="false"/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upperRoman"/>
      <w:lvlText w:val="%1."/>
      <w:lvlJc w:val="left"/>
      <w:pPr>
        <w:tabs>
          <w:tab w:val="num" w:pos="0"/>
        </w:tabs>
        <w:ind w:left="0" w:hanging="0"/>
      </w:pPr>
      <w:rPr>
        <w:b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0" w:hanging="0"/>
      </w:pPr>
      <w:rPr>
        <w:sz w:val="22"/>
        <w:b/>
        <w:szCs w:val="22"/>
        <w:bCs/>
        <w:rFonts w:eastAsia="Arial Unicode MS;Aria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  <w:rPr>
        <w:sz w:val="22"/>
        <w:b/>
        <w:szCs w:val="22"/>
        <w:bCs/>
        <w:rFonts w:eastAsia="Arial Unicode MS;Aria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  <w:rPr>
        <w:sz w:val="22"/>
        <w:b/>
        <w:szCs w:val="22"/>
        <w:bCs/>
        <w:rFonts w:eastAsia="Arial Unicode MS;Aria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  <w:rPr>
        <w:sz w:val="22"/>
        <w:b/>
        <w:szCs w:val="22"/>
        <w:bCs/>
        <w:rFonts w:eastAsia="Arial Unicode MS;Arial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  <w:rPr>
        <w:sz w:val="22"/>
        <w:b/>
        <w:szCs w:val="22"/>
        <w:bCs/>
        <w:rFonts w:eastAsia="Arial Unicode MS;Arial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  <w:rPr>
        <w:sz w:val="22"/>
        <w:b/>
        <w:szCs w:val="22"/>
        <w:bCs/>
        <w:rFonts w:eastAsia="Arial Unicode MS;Arial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  <w:rPr>
        <w:sz w:val="22"/>
        <w:b/>
        <w:szCs w:val="22"/>
        <w:bCs/>
        <w:rFonts w:eastAsia="Arial Unicode MS;Arial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  <w:rPr>
        <w:sz w:val="22"/>
        <w:b/>
        <w:szCs w:val="22"/>
        <w:bCs/>
        <w:rFonts w:eastAsia="Arial Unicode MS;Arial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  <w:rPr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0" w:hanging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hanging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hanging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hanging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hanging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hanging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hanging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hanging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80"/>
  <w:displayBackgroundShape/>
  <w:defaultTabStop w:val="327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WenQuanYi Zen Hei Sharp" w:cs="Lohit Devanagari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Liberation Serif" w:hAnsi="Liberation Serif" w:eastAsia="WenQuanYi Zen Hei Sharp;Times New Roman" w:cs="Lohit Devanagari;Times New Roman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next w:val="Standard"/>
    <w:qFormat/>
    <w:pPr>
      <w:keepNext w:val="true"/>
      <w:widowControl w:val="false"/>
      <w:numPr>
        <w:ilvl w:val="0"/>
        <w:numId w:val="1"/>
      </w:numPr>
      <w:suppressAutoHyphens w:val="true"/>
      <w:bidi w:val="0"/>
      <w:spacing w:before="120" w:after="60"/>
      <w:ind w:left="5038" w:hanging="360"/>
      <w:jc w:val="left"/>
      <w:textAlignment w:val="baseline"/>
      <w:outlineLvl w:val="0"/>
    </w:pPr>
    <w:rPr>
      <w:rFonts w:ascii="Times New Roman" w:hAnsi="Times New Roman" w:eastAsia="Calibri" w:cs="Arial Unicode MS;Arial"/>
      <w:b/>
      <w:color w:val="auto"/>
      <w:kern w:val="0"/>
      <w:sz w:val="24"/>
      <w:szCs w:val="24"/>
      <w:lang w:val="ru-RU" w:eastAsia="zh-CN" w:bidi="hi-IN"/>
    </w:rPr>
  </w:style>
  <w:style w:type="paragraph" w:styleId="3">
    <w:name w:val="Heading 3"/>
    <w:basedOn w:val="Standard"/>
    <w:next w:val="Standard"/>
    <w:qFormat/>
    <w:pPr>
      <w:keepNext w:val="true"/>
      <w:spacing w:before="120" w:after="60"/>
      <w:ind w:left="1224" w:right="0" w:hanging="504"/>
      <w:outlineLvl w:val="2"/>
    </w:pPr>
    <w:rPr>
      <w:rFonts w:ascii="Times New Roman" w:hAnsi="Times New Roman" w:eastAsia="Calibri" w:cs="Times New Roman"/>
      <w:b/>
      <w:sz w:val="24"/>
      <w:szCs w:val="24"/>
    </w:rPr>
  </w:style>
  <w:style w:type="paragraph" w:styleId="4">
    <w:name w:val="Heading 4"/>
    <w:basedOn w:val="3"/>
    <w:next w:val="Standard"/>
    <w:qFormat/>
    <w:pPr>
      <w:keepNext w:val="true"/>
      <w:spacing w:before="120" w:after="60"/>
      <w:ind w:left="716" w:right="0" w:hanging="432"/>
      <w:outlineLvl w:val="3"/>
    </w:pPr>
    <w:rPr>
      <w:rFonts w:ascii="Times New Roman" w:hAnsi="Times New Roman" w:eastAsia="Calibri" w:cs="Times New Roman"/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 w:val="false"/>
      <w:i w:val="false"/>
      <w:iCs w:val="false"/>
      <w:caps w:val="false"/>
      <w:smallCaps w:val="false"/>
      <w:strike w:val="false"/>
      <w:dstrike w:val="false"/>
      <w:vanish w:val="false"/>
      <w:spacing w:val="0"/>
      <w:sz w:val="22"/>
      <w:szCs w:val="22"/>
    </w:rPr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b/>
    </w:rPr>
  </w:style>
  <w:style w:type="character" w:styleId="WW8Num2z1">
    <w:name w:val="WW8Num2z1"/>
    <w:qFormat/>
    <w:rPr>
      <w:rFonts w:eastAsia="Arial Unicode MS;Arial"/>
      <w:b/>
      <w:bCs/>
      <w:sz w:val="22"/>
      <w:szCs w:val="22"/>
    </w:rPr>
  </w:style>
  <w:style w:type="character" w:styleId="WW8Num3z0">
    <w:name w:val="WW8Num3z0"/>
    <w:qFormat/>
    <w:rPr/>
  </w:style>
  <w:style w:type="character" w:styleId="WW8Num3z1">
    <w:name w:val="WW8Num3z1"/>
    <w:qFormat/>
    <w:rPr>
      <w:b/>
      <w:bCs/>
    </w:rPr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Style11">
    <w:name w:val="Основной шрифт абзаца"/>
    <w:qFormat/>
    <w:rPr/>
  </w:style>
  <w:style w:type="character" w:styleId="WW8Num5z0">
    <w:name w:val="WW8Num5z0"/>
    <w:qFormat/>
    <w:rPr>
      <w:rFonts w:eastAsia="Arial Unicode MS;Arial"/>
      <w:sz w:val="20"/>
      <w:szCs w:val="22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>
      <w:rFonts w:eastAsia="Arial Unicode MS;Arial"/>
      <w:sz w:val="20"/>
      <w:szCs w:val="22"/>
    </w:rPr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2">
    <w:name w:val="Основной шрифт абзаца2"/>
    <w:qFormat/>
    <w:rPr/>
  </w:style>
  <w:style w:type="character" w:styleId="WW8Num8z0">
    <w:name w:val="WW8Num8z0"/>
    <w:qFormat/>
    <w:rPr>
      <w:b/>
    </w:rPr>
  </w:style>
  <w:style w:type="character" w:styleId="WW8Num8z1">
    <w:name w:val="WW8Num8z1"/>
    <w:qFormat/>
    <w:rPr/>
  </w:style>
  <w:style w:type="character" w:styleId="WW8Num9z0">
    <w:name w:val="WW8Num9z0"/>
    <w:qFormat/>
    <w:rPr/>
  </w:style>
  <w:style w:type="character" w:styleId="WW8Num10z0">
    <w:name w:val="WW8Num10z0"/>
    <w:qFormat/>
    <w:rPr>
      <w:rFonts w:ascii="Symbol" w:hAnsi="Symbol" w:cs="Symbol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1z0">
    <w:name w:val="WW8Num11z0"/>
    <w:qFormat/>
    <w:rPr/>
  </w:style>
  <w:style w:type="character" w:styleId="WW8Num13z0">
    <w:name w:val="WW8Num13z0"/>
    <w:qFormat/>
    <w:rPr>
      <w:rFonts w:ascii="Symbol" w:hAnsi="Symbol" w:cs="Symbol"/>
    </w:rPr>
  </w:style>
  <w:style w:type="character" w:styleId="WW8Num13z1">
    <w:name w:val="WW8Num13z1"/>
    <w:qFormat/>
    <w:rPr>
      <w:rFonts w:ascii="Courier New" w:hAnsi="Courier New" w:cs="Courier New"/>
    </w:rPr>
  </w:style>
  <w:style w:type="character" w:styleId="WW8Num13z2">
    <w:name w:val="WW8Num13z2"/>
    <w:qFormat/>
    <w:rPr>
      <w:rFonts w:ascii="Wingdings" w:hAnsi="Wingdings" w:cs="Wingdings"/>
    </w:rPr>
  </w:style>
  <w:style w:type="character" w:styleId="WW8Num14z0">
    <w:name w:val="WW8Num14z0"/>
    <w:qFormat/>
    <w:rPr/>
  </w:style>
  <w:style w:type="character" w:styleId="WW8Num15z0">
    <w:name w:val="WW8Num15z0"/>
    <w:qFormat/>
    <w:rPr>
      <w:rFonts w:ascii="Symbol" w:hAnsi="Symbol" w:cs="Symbol"/>
    </w:rPr>
  </w:style>
  <w:style w:type="character" w:styleId="WW8Num16z0">
    <w:name w:val="WW8Num16z0"/>
    <w:qFormat/>
    <w:rPr/>
  </w:style>
  <w:style w:type="character" w:styleId="WW8Num17z0">
    <w:name w:val="WW8Num17z0"/>
    <w:qFormat/>
    <w:rPr>
      <w:rFonts w:ascii="Symbol" w:hAnsi="Symbol" w:cs="Symbol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8z0">
    <w:name w:val="WW8Num18z0"/>
    <w:qFormat/>
    <w:rPr/>
  </w:style>
  <w:style w:type="character" w:styleId="WW8Num19z0">
    <w:name w:val="WW8Num19z0"/>
    <w:qFormat/>
    <w:rPr/>
  </w:style>
  <w:style w:type="character" w:styleId="WW8Num20z0">
    <w:name w:val="WW8Num20z0"/>
    <w:qFormat/>
    <w:rPr>
      <w:rFonts w:ascii="Times New Roman" w:hAnsi="Times New Roman" w:eastAsia="Times New Roman" w:cs="Times New Roman"/>
    </w:rPr>
  </w:style>
  <w:style w:type="character" w:styleId="11">
    <w:name w:val="Основной шрифт абзаца1"/>
    <w:qFormat/>
    <w:rPr/>
  </w:style>
  <w:style w:type="character" w:styleId="Style12">
    <w:name w:val="Интернет-ссылка"/>
    <w:qFormat/>
    <w:rPr>
      <w:color w:val="0000FF"/>
      <w:u w:val="single"/>
    </w:rPr>
  </w:style>
  <w:style w:type="character" w:styleId="12">
    <w:name w:val="Пункт Знак1"/>
    <w:qFormat/>
    <w:rPr>
      <w:sz w:val="28"/>
      <w:lang w:val="ru-RU" w:bidi="ar-SA"/>
    </w:rPr>
  </w:style>
  <w:style w:type="character" w:styleId="Strong">
    <w:name w:val="Strong"/>
    <w:qFormat/>
    <w:rPr>
      <w:b/>
      <w:bCs/>
    </w:rPr>
  </w:style>
  <w:style w:type="character" w:styleId="Style13">
    <w:name w:val="Основной текст с отступом Знак"/>
    <w:qFormat/>
    <w:rPr>
      <w:sz w:val="26"/>
      <w:szCs w:val="26"/>
    </w:rPr>
  </w:style>
  <w:style w:type="character" w:styleId="Style14">
    <w:name w:val="Основной текст Знак"/>
    <w:qFormat/>
    <w:rPr>
      <w:sz w:val="24"/>
      <w:szCs w:val="24"/>
    </w:rPr>
  </w:style>
  <w:style w:type="character" w:styleId="41">
    <w:name w:val="Заголовок 4 Знак"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Style15">
    <w:name w:val="Абзац списка Знак"/>
    <w:qFormat/>
    <w:rPr>
      <w:rFonts w:eastAsia="Calibri"/>
      <w:sz w:val="24"/>
      <w:szCs w:val="24"/>
    </w:rPr>
  </w:style>
  <w:style w:type="character" w:styleId="13">
    <w:name w:val="Заголовок 1 Знак"/>
    <w:qFormat/>
    <w:rPr>
      <w:rFonts w:ascii="Calibri Light" w:hAnsi="Calibri Light" w:eastAsia="Times New Roman" w:cs="Times New Roman"/>
      <w:b/>
      <w:bCs/>
      <w:sz w:val="32"/>
      <w:szCs w:val="32"/>
    </w:rPr>
  </w:style>
  <w:style w:type="character" w:styleId="Titleinfotitletext">
    <w:name w:val="title-info-title-text"/>
    <w:qFormat/>
    <w:rPr/>
  </w:style>
  <w:style w:type="character" w:styleId="31">
    <w:name w:val="Заголовок 3 Знак"/>
    <w:qFormat/>
    <w:rPr>
      <w:rFonts w:eastAsia="Calibri"/>
      <w:b/>
      <w:sz w:val="24"/>
      <w:szCs w:val="24"/>
    </w:rPr>
  </w:style>
  <w:style w:type="character" w:styleId="WW1">
    <w:name w:val="WW-Заголовок 1 Знак"/>
    <w:qFormat/>
    <w:rPr>
      <w:rFonts w:eastAsia="Calibri"/>
      <w:b/>
    </w:rPr>
  </w:style>
  <w:style w:type="character" w:styleId="14">
    <w:name w:val="Знак примечания1"/>
    <w:qFormat/>
    <w:rPr>
      <w:sz w:val="16"/>
      <w:szCs w:val="16"/>
    </w:rPr>
  </w:style>
  <w:style w:type="paragraph" w:styleId="Style16">
    <w:name w:val="Заголовок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Arial Unicode MS;Arial" w:cs="Arial Unicode MS;Ari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Textbody"/>
    <w:pPr/>
    <w:rPr/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Standard"/>
    <w:qFormat/>
    <w:pPr>
      <w:suppressLineNumbers/>
    </w:pPr>
    <w:rPr/>
  </w:style>
  <w:style w:type="paragraph" w:styleId="Standard">
    <w:name w:val="Standard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21">
    <w:name w:val="Заголовок2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WenQuanYi Zen Hei Sharp;Times New Roman" w:cs="Lohit Devanagari;Times New Roman"/>
      <w:sz w:val="28"/>
      <w:szCs w:val="28"/>
    </w:rPr>
  </w:style>
  <w:style w:type="paragraph" w:styleId="Textbody">
    <w:name w:val="Text body"/>
    <w:basedOn w:val="Standard"/>
    <w:qFormat/>
    <w:pPr>
      <w:spacing w:before="0" w:after="120"/>
    </w:pPr>
    <w:rPr/>
  </w:style>
  <w:style w:type="paragraph" w:styleId="Style21">
    <w:name w:val="Название объекта"/>
    <w:basedOn w:val="Normal"/>
    <w:qFormat/>
    <w:pPr>
      <w:suppressLineNumbers/>
      <w:spacing w:before="120" w:after="120"/>
    </w:pPr>
    <w:rPr>
      <w:rFonts w:cs="Lohit Devanagari;Times New Roman"/>
      <w:i/>
      <w:iCs/>
      <w:sz w:val="24"/>
      <w:szCs w:val="24"/>
    </w:rPr>
  </w:style>
  <w:style w:type="paragraph" w:styleId="22">
    <w:name w:val="Указатель2"/>
    <w:basedOn w:val="Normal"/>
    <w:qFormat/>
    <w:pPr>
      <w:suppressLineNumbers/>
    </w:pPr>
    <w:rPr>
      <w:rFonts w:cs="Lohit Devanagari;Times New Roman"/>
    </w:rPr>
  </w:style>
  <w:style w:type="paragraph" w:styleId="15">
    <w:name w:val="Название объекта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">
    <w:name w:val="Caption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">
    <w:name w:val="Caption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>
    <w:name w:val="Caption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">
    <w:name w:val="Caption1111"/>
    <w:basedOn w:val="Standard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16">
    <w:name w:val="Заголовок1"/>
    <w:basedOn w:val="Standard"/>
    <w:next w:val="Textbody"/>
    <w:qFormat/>
    <w:pPr>
      <w:keepNext w:val="true"/>
      <w:spacing w:before="240" w:after="120"/>
    </w:pPr>
    <w:rPr>
      <w:rFonts w:ascii="Liberation Sans" w:hAnsi="Liberation Sans" w:eastAsia="Arial Unicode MS;Arial" w:cs="Arial Unicode MS;Arial"/>
      <w:sz w:val="28"/>
      <w:szCs w:val="28"/>
    </w:rPr>
  </w:style>
  <w:style w:type="paragraph" w:styleId="17">
    <w:name w:val="Указатель1"/>
    <w:basedOn w:val="Standard"/>
    <w:qFormat/>
    <w:pPr>
      <w:suppressLineNumbers/>
    </w:pPr>
    <w:rPr/>
  </w:style>
  <w:style w:type="paragraph" w:styleId="Style22">
    <w:name w:val="Колонтитул"/>
    <w:basedOn w:val="Standard"/>
    <w:qFormat/>
    <w:pPr>
      <w:suppressLineNumbers/>
    </w:pPr>
    <w:rPr/>
  </w:style>
  <w:style w:type="paragraph" w:styleId="Style23">
    <w:name w:val="Header"/>
    <w:basedOn w:val="Standard"/>
    <w:pPr/>
    <w:rPr>
      <w:sz w:val="20"/>
      <w:szCs w:val="20"/>
    </w:rPr>
  </w:style>
  <w:style w:type="paragraph" w:styleId="Textbodyindent">
    <w:name w:val="Text body indent"/>
    <w:basedOn w:val="Standard"/>
    <w:qFormat/>
    <w:pPr/>
    <w:rPr>
      <w:sz w:val="26"/>
      <w:szCs w:val="26"/>
    </w:rPr>
  </w:style>
  <w:style w:type="paragraph" w:styleId="Style24">
    <w:name w:val="Обычный (веб)"/>
    <w:basedOn w:val="Standard"/>
    <w:qFormat/>
    <w:pPr>
      <w:spacing w:before="280" w:after="280"/>
    </w:pPr>
    <w:rPr>
      <w:rFonts w:ascii="Verdana" w:hAnsi="Verdana" w:eastAsia="Arial Unicode MS;Arial" w:cs="Arial Unicode MS;Arial"/>
      <w:color w:val="333333"/>
      <w:sz w:val="16"/>
      <w:szCs w:val="16"/>
    </w:rPr>
  </w:style>
  <w:style w:type="paragraph" w:styleId="Style25">
    <w:name w:val="Пункт"/>
    <w:basedOn w:val="Standard"/>
    <w:qFormat/>
    <w:pPr>
      <w:spacing w:lineRule="auto" w:line="360"/>
      <w:ind w:left="1844" w:right="0" w:hanging="1134"/>
      <w:jc w:val="both"/>
    </w:pPr>
    <w:rPr>
      <w:sz w:val="28"/>
      <w:szCs w:val="20"/>
    </w:rPr>
  </w:style>
  <w:style w:type="paragraph" w:styleId="Style26">
    <w:name w:val="Текст выноски"/>
    <w:basedOn w:val="Standard"/>
    <w:qFormat/>
    <w:pPr/>
    <w:rPr>
      <w:rFonts w:ascii="Tahoma" w:hAnsi="Tahoma" w:cs="Tahoma"/>
      <w:sz w:val="16"/>
      <w:szCs w:val="16"/>
    </w:rPr>
  </w:style>
  <w:style w:type="paragraph" w:styleId="Style27">
    <w:name w:val="Абзац списка"/>
    <w:basedOn w:val="Standard"/>
    <w:qFormat/>
    <w:pPr>
      <w:spacing w:before="0" w:after="0"/>
      <w:ind w:left="720" w:right="0" w:hanging="0"/>
    </w:pPr>
    <w:rPr/>
  </w:style>
  <w:style w:type="paragraph" w:styleId="Style28">
    <w:name w:val="Без интервала"/>
    <w:qFormat/>
    <w:pPr>
      <w:widowControl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Style29">
    <w:name w:val="Содержимое таблицы"/>
    <w:basedOn w:val="Normal"/>
    <w:qFormat/>
    <w:pPr>
      <w:suppressLineNumbers/>
    </w:pPr>
    <w:rPr/>
  </w:style>
  <w:style w:type="paragraph" w:styleId="Style30">
    <w:name w:val="Заголовок таблицы"/>
    <w:basedOn w:val="Style29"/>
    <w:qFormat/>
    <w:pPr>
      <w:suppressLineNumbers/>
      <w:jc w:val="center"/>
    </w:pPr>
    <w:rPr>
      <w:b/>
      <w:bCs/>
    </w:rPr>
  </w:style>
  <w:style w:type="paragraph" w:styleId="18">
    <w:name w:val="Обычная таблица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0"/>
      <w:szCs w:val="20"/>
      <w:lang w:val="ru-RU" w:eastAsia="zh-CN" w:bidi="ar-SA"/>
    </w:rPr>
  </w:style>
  <w:style w:type="paragraph" w:styleId="ListParagraph">
    <w:name w:val="List Paragraph"/>
    <w:basedOn w:val="Normal"/>
    <w:qFormat/>
    <w:pPr>
      <w:spacing w:before="0" w:after="0"/>
      <w:ind w:left="720" w:right="0" w:hanging="0"/>
      <w:contextualSpacing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LibreOffice/7.1.8.1$Linux_X86_64 LibreOffice_project/10$Build-1</Application>
  <AppVersion>15.0000</AppVersion>
  <Pages>9</Pages>
  <Words>1586</Words>
  <Characters>10512</Characters>
  <CharactersWithSpaces>12021</CharactersWithSpaces>
  <Paragraphs>234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2023-11-07T22:18:00Z</dcterms:created>
  <dc:creator>user1</dc:creator>
  <dc:description/>
  <dc:language>ru-RU</dc:language>
  <cp:lastModifiedBy/>
  <cp:lastPrinted>2023-08-15T17:56:00Z</cp:lastPrinted>
  <dcterms:modified xsi:type="dcterms:W3CDTF">2026-11-06T15:28:11Z</dcterms:modified>
  <cp:revision>18</cp:revision>
  <dc:subject/>
  <dc:title>О Т К Р Ы Т О Е    А К Ц И О Н Е Р Н О Е     О Б Щ Е С Т В О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