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/>
          <w:i/>
          <w:iCs/>
          <w:sz w:val="22"/>
          <w:szCs w:val="22"/>
        </w:rPr>
      </w:pPr>
      <w:r>
        <w:rPr>
          <w:rFonts w:eastAsia="Calibri"/>
          <w:b/>
          <w:bCs/>
          <w:i/>
          <w:iCs/>
          <w:sz w:val="22"/>
          <w:szCs w:val="22"/>
        </w:rPr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rFonts w:eastAsia="Calibri"/>
          <w:b/>
          <w:bCs/>
          <w:i/>
          <w:iCs/>
          <w:sz w:val="22"/>
          <w:szCs w:val="22"/>
        </w:rPr>
        <w:t>ОКПД2 23.61.12 Поставка железобетонных изделий  под объекты инвестиционной программы</w:t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rFonts w:eastAsia="Calibri"/>
          <w:b/>
          <w:bCs/>
          <w:i/>
          <w:iCs/>
          <w:sz w:val="22"/>
          <w:szCs w:val="22"/>
        </w:rPr>
        <w:t xml:space="preserve"> </w:t>
      </w:r>
      <w:r>
        <w:rPr>
          <w:rFonts w:eastAsia="Calibri"/>
          <w:b/>
          <w:bCs/>
          <w:i/>
          <w:iCs/>
          <w:sz w:val="22"/>
          <w:szCs w:val="22"/>
        </w:rPr>
        <w:t>для филиала АО «ДРСК» «Электрические сети ЕАО»</w:t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rFonts w:eastAsia="Calibri"/>
          <w:b/>
          <w:bCs/>
          <w:i/>
          <w:iCs/>
          <w:sz w:val="22"/>
          <w:szCs w:val="22"/>
        </w:rPr>
        <w:t>Лот № 63101</w:t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caps/>
          <w:sz w:val="22"/>
          <w:szCs w:val="22"/>
          <w:lang w:val="ru-RU"/>
        </w:rPr>
      </w:pPr>
      <w:bookmarkStart w:id="0" w:name="_Toc51339692"/>
      <w:bookmarkStart w:id="1" w:name="_Toc75446566"/>
      <w:r>
        <w:rPr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r>
        <w:rPr>
          <w:sz w:val="22"/>
          <w:szCs w:val="22"/>
        </w:rPr>
        <w:t>Обозначения и сокращения</w:t>
      </w:r>
    </w:p>
    <w:p>
      <w:pPr>
        <w:pStyle w:val="Normal"/>
        <w:spacing w:before="120" w:after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4850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47"/>
        <w:gridCol w:w="12702"/>
      </w:tblGrid>
      <w:tr>
        <w:trPr>
          <w:trHeight w:val="315" w:hRule="atLeast"/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Cs/>
                <w:color w:val="111111"/>
                <w:sz w:val="22"/>
                <w:szCs w:val="22"/>
              </w:rPr>
              <w:t>СВ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Cs/>
                <w:color w:val="111111"/>
                <w:kern w:val="0"/>
                <w:sz w:val="22"/>
                <w:szCs w:val="22"/>
                <w:lang w:val="ru-RU" w:eastAsia="ru-RU" w:bidi="ar-SA"/>
              </w:rPr>
              <w:t>С</w:t>
            </w: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тойка вибрированная;</w:t>
            </w:r>
          </w:p>
        </w:tc>
      </w:tr>
      <w:tr>
        <w:trPr>
          <w:trHeight w:val="315" w:hRule="atLeast"/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Liberation Serif" w:hAnsi="Liberation Serif" w:eastAsia="Times New Roman" w:cs="Times New Roman"/>
                <w:iCs/>
                <w:color w:val="111111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iCs/>
                <w:color w:val="111111"/>
                <w:kern w:val="0"/>
                <w:sz w:val="22"/>
                <w:szCs w:val="22"/>
                <w:lang w:val="ru-RU" w:eastAsia="ru-RU" w:bidi="ar-SA"/>
              </w:rPr>
              <w:t>‍</w:t>
            </w:r>
            <w:r>
              <w:rPr>
                <w:rFonts w:eastAsia="Times New Roman" w:cs="Times New Roman" w:ascii="Liberation Serif" w:hAnsi="Liberation Serif"/>
                <w:b/>
                <w:bCs/>
                <w:iCs/>
                <w:color w:val="111111"/>
                <w:kern w:val="0"/>
                <w:sz w:val="22"/>
                <w:szCs w:val="22"/>
                <w:lang w:val="ru-RU" w:eastAsia="ru-RU" w:bidi="ar-SA"/>
              </w:rPr>
              <w:t>ПТ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rFonts w:eastAsia="Times New Roman" w:cs="Times New Roman" w:ascii="Liberation Serif" w:hAnsi="Liberation Serif"/>
                <w:iCs/>
                <w:color w:val="111111"/>
                <w:kern w:val="0"/>
                <w:sz w:val="22"/>
                <w:szCs w:val="22"/>
                <w:lang w:val="ru-RU" w:eastAsia="ru-RU" w:bidi="ar-SA"/>
              </w:rPr>
              <w:t>приставка трапециевидная;</w:t>
            </w:r>
          </w:p>
        </w:tc>
      </w:tr>
      <w:tr>
        <w:trPr>
          <w:trHeight w:val="375" w:hRule="atLeast"/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ГОСТ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государственный стандарт;</w:t>
            </w:r>
          </w:p>
        </w:tc>
      </w:tr>
      <w:tr>
        <w:trPr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ТУ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технические условия;</w:t>
            </w:r>
          </w:p>
        </w:tc>
      </w:tr>
    </w:tbl>
    <w:p>
      <w:pPr>
        <w:pStyle w:val="Heading4"/>
        <w:numPr>
          <w:ilvl w:val="0"/>
          <w:numId w:val="0"/>
        </w:numPr>
        <w:spacing w:before="120" w:after="0"/>
        <w:ind w:hanging="0" w:left="43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2" w:name="_Toc46743506"/>
      <w:bookmarkStart w:id="3" w:name="_Toc75446568"/>
      <w:r>
        <w:rPr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sz w:val="22"/>
          <w:szCs w:val="22"/>
        </w:rPr>
      </w:pPr>
      <w:r>
        <w:rPr>
          <w:iCs/>
          <w:sz w:val="22"/>
          <w:szCs w:val="22"/>
        </w:rPr>
        <w:t>Железобетонные изделия</w:t>
      </w:r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4" w:name="_Toc75446574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поставки</w:t>
      </w:r>
      <w:bookmarkEnd w:id="4"/>
    </w:p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</w:rPr>
      </w:pPr>
      <w:bookmarkStart w:id="5" w:name="_Toc75446575"/>
      <w:r>
        <w:rPr>
          <w:sz w:val="22"/>
          <w:szCs w:val="22"/>
          <w:lang w:val="ru-RU"/>
        </w:rPr>
        <w:t>Перечень и объем закупаемой продукции</w:t>
      </w:r>
      <w:bookmarkEnd w:id="5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  <w:lang w:val="ru-RU"/>
        </w:rPr>
      </w:pPr>
      <w:bookmarkStart w:id="6" w:name="_Toc75446576"/>
      <w:bookmarkStart w:id="7" w:name="_Toc51339695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1.1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7"/>
      <w:r>
        <w:rPr>
          <w:sz w:val="22"/>
          <w:szCs w:val="22"/>
          <w:lang w:val="ru-RU"/>
        </w:rPr>
        <w:t>и объем закупаемой продукции</w:t>
      </w:r>
      <w:bookmarkEnd w:id="6"/>
    </w:p>
    <w:tbl>
      <w:tblPr>
        <w:tblW w:w="1457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11370"/>
        <w:gridCol w:w="1503"/>
        <w:gridCol w:w="1133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4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Филиал АО «ДРСК» «Амурские электрические сети»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Ригель железобетонный Р1-А </w:t>
            </w:r>
            <w:r>
              <w:rPr>
                <w:b/>
                <w:bCs/>
                <w:i/>
                <w:iCs/>
                <w:sz w:val="22"/>
                <w:szCs w:val="22"/>
              </w:rPr>
              <w:t>согласно Приложению № 1 к техническим требованиям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Ригель железобетонный АР-6 </w:t>
            </w:r>
            <w:r>
              <w:rPr>
                <w:b/>
                <w:bCs/>
                <w:i/>
                <w:iCs/>
                <w:sz w:val="22"/>
                <w:szCs w:val="22"/>
              </w:rPr>
              <w:t>согласно Приложению № 1 к техническим требованиям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Плита анкерная железобетонная ПА2-1 </w:t>
            </w:r>
            <w:r>
              <w:rPr>
                <w:b/>
                <w:bCs/>
                <w:i/>
                <w:iCs/>
                <w:sz w:val="22"/>
                <w:szCs w:val="22"/>
              </w:rPr>
              <w:t>согласно Приложению № 1 к техническим требованиям</w:t>
            </w:r>
          </w:p>
        </w:tc>
        <w:tc>
          <w:tcPr>
            <w:tcW w:w="1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hanging="0" w:left="0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Приставка железобетонная  ПТ-45 </w:t>
            </w:r>
            <w:r>
              <w:rPr>
                <w:b/>
                <w:bCs/>
                <w:i/>
                <w:iCs/>
                <w:sz w:val="22"/>
                <w:szCs w:val="22"/>
              </w:rPr>
              <w:t>согласно Приложению № 1 к техническим требованиям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</w:tbl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  <w:lang w:val="ru-RU"/>
        </w:rPr>
      </w:pPr>
      <w:bookmarkStart w:id="8" w:name="_Toc75446578"/>
      <w:bookmarkStart w:id="9" w:name="_Toc51339696"/>
      <w:r>
        <w:rPr>
          <w:sz w:val="22"/>
          <w:szCs w:val="22"/>
          <w:lang w:val="ru-RU"/>
        </w:rPr>
        <w:t xml:space="preserve">Требования </w:t>
      </w:r>
      <w:bookmarkEnd w:id="9"/>
      <w:r>
        <w:rPr>
          <w:sz w:val="22"/>
          <w:szCs w:val="22"/>
          <w:lang w:val="ru-RU"/>
        </w:rPr>
        <w:t xml:space="preserve">к срокам поставки продукции </w:t>
      </w:r>
      <w:bookmarkEnd w:id="8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  <w:lang w:val="ru-RU"/>
        </w:rPr>
      </w:pPr>
      <w:bookmarkStart w:id="10" w:name="_Toc75446579"/>
      <w:bookmarkStart w:id="11" w:name="_Toc51339697"/>
      <w:bookmarkStart w:id="12" w:name="_Toc50125127"/>
      <w:bookmarkStart w:id="13" w:name="_Toc50125126_Копия_1"/>
      <w:bookmarkEnd w:id="13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 </w:t>
      </w:r>
      <w:bookmarkStart w:id="14" w:name="_Hlk50465284"/>
      <w:r>
        <w:rPr>
          <w:sz w:val="22"/>
          <w:szCs w:val="22"/>
        </w:rPr>
        <w:t xml:space="preserve">Требования по срокам </w:t>
      </w:r>
      <w:bookmarkEnd w:id="11"/>
      <w:bookmarkEnd w:id="12"/>
      <w:bookmarkEnd w:id="14"/>
      <w:r>
        <w:rPr>
          <w:sz w:val="22"/>
          <w:szCs w:val="22"/>
          <w:lang w:val="ru-RU"/>
        </w:rPr>
        <w:t>поставки продукции</w:t>
      </w:r>
      <w:bookmarkEnd w:id="10"/>
      <w:r>
        <w:rPr>
          <w:sz w:val="22"/>
          <w:szCs w:val="22"/>
          <w:lang w:val="ru-RU"/>
        </w:rPr>
        <w:t xml:space="preserve"> </w:t>
      </w:r>
    </w:p>
    <w:tbl>
      <w:tblPr>
        <w:tblW w:w="14624" w:type="dxa"/>
        <w:jc w:val="left"/>
        <w:tblInd w:w="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2752"/>
        <w:gridCol w:w="3827"/>
        <w:gridCol w:w="7370"/>
      </w:tblGrid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Наименование продукции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Позиции 1-4 Таблицы 1.1 настоящих Технических требований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с даты заключения договора, но не ранее 1</w:t>
            </w: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.01.202</w:t>
            </w:r>
            <w:r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В течение 90 календарных дней с даты  подписания договора поставки</w:t>
            </w:r>
          </w:p>
        </w:tc>
      </w:tr>
    </w:tbl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15" w:name="_Toc75446581"/>
      <w:bookmarkStart w:id="16" w:name="_Toc46743511"/>
      <w:r>
        <w:rPr>
          <w:sz w:val="22"/>
          <w:szCs w:val="22"/>
        </w:rPr>
        <w:t xml:space="preserve">Требования к </w:t>
      </w:r>
      <w:bookmarkEnd w:id="16"/>
      <w:r>
        <w:rPr>
          <w:sz w:val="22"/>
          <w:szCs w:val="22"/>
          <w:lang w:val="ru-RU"/>
        </w:rPr>
        <w:t>качеству продукции</w:t>
      </w:r>
      <w:bookmarkEnd w:id="15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17" w:name="_Toc75446582"/>
      <w:r>
        <w:rPr>
          <w:sz w:val="22"/>
          <w:szCs w:val="22"/>
        </w:rPr>
        <w:t>Таблица 1.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. Требования к </w:t>
      </w:r>
      <w:r>
        <w:rPr>
          <w:sz w:val="22"/>
          <w:szCs w:val="22"/>
          <w:lang w:val="ru-RU"/>
        </w:rPr>
        <w:t>продукции</w:t>
      </w:r>
      <w:bookmarkEnd w:id="17"/>
      <w:r>
        <w:rPr>
          <w:sz w:val="22"/>
          <w:szCs w:val="22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/>
          <w:i/>
          <w:sz w:val="22"/>
          <w:szCs w:val="22"/>
          <w:lang w:eastAsia="x-none"/>
        </w:rPr>
        <w:t>«</w:t>
      </w:r>
      <w:r>
        <w:rPr>
          <w:b/>
          <w:i/>
          <w:sz w:val="22"/>
          <w:szCs w:val="22"/>
        </w:rPr>
        <w:t>Опоры и приставки железобетонные</w:t>
      </w:r>
      <w:r>
        <w:rPr>
          <w:rFonts w:eastAsia="Calibri"/>
          <w:i/>
          <w:sz w:val="22"/>
          <w:szCs w:val="22"/>
          <w:lang w:eastAsia="x-none"/>
        </w:rPr>
        <w:t>»</w:t>
      </w:r>
      <w:r>
        <w:rPr>
          <w:rStyle w:val="Style8"/>
          <w:b w:val="false"/>
          <w:iCs/>
          <w:sz w:val="22"/>
          <w:szCs w:val="22"/>
        </w:rPr>
        <w:t xml:space="preserve"> </w:t>
      </w:r>
    </w:p>
    <w:tbl>
      <w:tblPr>
        <w:tblStyle w:val="affff7"/>
        <w:tblW w:w="14508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3543"/>
        <w:gridCol w:w="10"/>
        <w:gridCol w:w="3958"/>
        <w:gridCol w:w="2269"/>
        <w:gridCol w:w="2691"/>
        <w:gridCol w:w="1468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  <w:r>
              <w:rPr>
                <w:rStyle w:val="FootnoteReference"/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footnoteReference w:customMarkFollows="1" w:id="2"/>
              <w:t>*</w:t>
            </w:r>
          </w:p>
        </w:tc>
        <w:tc>
          <w:tcPr>
            <w:tcW w:w="39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9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4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9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3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характеристикам, к конструкции изделия, материалам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изготовлению железобетонных изделий</w:t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Изготовление продукции должно производиться в соответствии требованиями ГОСТ 13015-2012 «Изделия железобетонные и бетонные для строительства. Общие технические требования. Правила приёмки, маркировки, транспортирования и хранения»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Продукцию следует изготавливать из тяжелого бетона (средней плотности 2200…2500 кг/м</w:t>
            </w:r>
            <w:r>
              <w:rPr>
                <w:rFonts w:eastAsia="Times New Roman" w:cs="Times New Roman"/>
                <w:kern w:val="0"/>
                <w:sz w:val="22"/>
                <w:szCs w:val="22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), удовлетворяющего требованиям ГОСТ 26633-2015 «Бетоны тяжелые и мелкозернистые»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заполнителям в соответствии с разделом 4.7 ГОСТа 26633 – 2015, максимальная крупность заполнителя – фракция не более</w:t>
            </w: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 мм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Класс бетона по прочности на сжатие для приставок железобетонных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ПТ43-2, ПТ-45 в соответствии с Техническими условиями (ТУ)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 xml:space="preserve">(Таблица 1 </w:t>
            </w:r>
            <w:r>
              <w:rPr>
                <w:rFonts w:eastAsia="Calibri" w:cs="Times New Roman"/>
                <w:b/>
                <w:i/>
                <w:kern w:val="0"/>
                <w:sz w:val="22"/>
                <w:szCs w:val="22"/>
                <w:lang w:val="ru-RU" w:eastAsia="en-US" w:bidi="ar-SA"/>
              </w:rPr>
              <w:t>Приложения № 3 Технических требований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)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Независимо от расчетной температуры наружного воздуха бетон изделий должен иметь марку по морозостойкости не менее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F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200, марку по водонепроницаемости не менее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W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6 и изготавливаться из сульфатостойкого цемента или в отдельных случаях, когда содержание в грунтах сульфатов в пересчете на ионы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SO</w:t>
            </w:r>
            <w:r>
              <w:rPr>
                <w:rFonts w:eastAsia="Times New Roman" w:cs="Times New Roman"/>
                <w:kern w:val="0"/>
                <w:sz w:val="22"/>
                <w:szCs w:val="22"/>
                <w:vertAlign w:val="subscript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2"/>
                <w:szCs w:val="22"/>
                <w:vertAlign w:val="superscript"/>
                <w:lang w:val="ru-RU" w:eastAsia="ru-RU" w:bidi="ar-SA"/>
              </w:rPr>
              <w:t>-2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до 3000 мг/л, допускается использовать портландцемент по ГОСТ 31108-2020 с содержанием в клинкере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2"/>
                <w:szCs w:val="22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S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не более 65%,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2"/>
                <w:szCs w:val="22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A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не более 7%,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2"/>
                <w:szCs w:val="22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AF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не более 22%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рабочей арматуре</w:t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качестве рабочей арматуры следует применять стержневую периодического профиля по ГОСТ 34028-2016 с учетом требований ГОСТ 5781-82 по классам арматуры: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III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обозначение по ГОСТ 34028-2016, как А400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IV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обозначение по ГОСТ 34028-2016, как А600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- класс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A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V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обозначение по ГОСТ 34028-2016, как А800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VI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обозначение по ГОСТ 34028-2016, как А1000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41" w:hRule="atLeast"/>
        </w:trPr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3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маркировке</w:t>
            </w:r>
          </w:p>
        </w:tc>
      </w:tr>
      <w:tr>
        <w:trPr>
          <w:trHeight w:val="541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5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Маркировка изделий</w:t>
            </w:r>
          </w:p>
        </w:tc>
        <w:tc>
          <w:tcPr>
            <w:tcW w:w="39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иметь маркировку в соответствии с ГОСТ 13015-2012.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41" w:hRule="atLeast"/>
        </w:trPr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3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 xml:space="preserve">не менее 3-х лет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 начинает течь с даты подписания Сторонами накладной ТОРГ-12 или УПД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</w:t>
            </w: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казание характеристик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1393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46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 w:cs="Times New Roman"/>
                <w:b/>
                <w:i/>
                <w:kern w:val="0"/>
                <w:sz w:val="22"/>
                <w:szCs w:val="22"/>
                <w:lang w:val="ru-RU" w:eastAsia="en-US" w:bidi="ar-SA"/>
              </w:rPr>
              <w:t>679011, Еврейская АО, г. Биробиджан, ул. Черноморская, д.6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0"/>
              <w:ind w:hanging="0" w:left="0" w:right="-109"/>
              <w:contextualSpacing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939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изготовлена в 2025-2026 гг.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6.</w:t>
            </w:r>
          </w:p>
        </w:tc>
        <w:tc>
          <w:tcPr>
            <w:tcW w:w="13939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о подтверждении соответствия техническим условиям</w:t>
            </w:r>
          </w:p>
        </w:tc>
      </w:tr>
      <w:tr>
        <w:trPr>
          <w:trHeight w:val="1223" w:hRule="atLeast"/>
        </w:trPr>
        <w:tc>
          <w:tcPr>
            <w:tcW w:w="568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6.1.</w:t>
            </w:r>
          </w:p>
        </w:tc>
        <w:tc>
          <w:tcPr>
            <w:tcW w:w="3543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Ригели железобетонные Р1-А, АР-6</w:t>
            </w:r>
          </w:p>
        </w:tc>
        <w:tc>
          <w:tcPr>
            <w:tcW w:w="3968" w:type="dxa"/>
            <w:gridSpan w:val="2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2"/>
                <w:szCs w:val="22"/>
                <w:lang w:val="ru-RU" w:eastAsia="ru-RU" w:bidi="ar-SA"/>
              </w:rPr>
              <w:t>Ригели должны быть изготовлены по типовой серии 3.407-115 под унифицированные металлические опоры ВЛ 35-330 кВ.</w:t>
            </w:r>
          </w:p>
        </w:tc>
        <w:tc>
          <w:tcPr>
            <w:tcW w:w="2269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vMerge w:val="restart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i/>
                <w:color w:val="808080" w:themeColor="background1" w:themeShade="80"/>
                <w:kern w:val="0"/>
                <w:sz w:val="18"/>
                <w:szCs w:val="18"/>
                <w:lang w:val="ru-RU" w:eastAsia="ru-RU" w:bidi="ar-SA"/>
              </w:rPr>
              <w:t xml:space="preserve">На предлагаемую продукцию Участник должен представить в составе заявки документ (любой из документов: паспорт на ранее произведенную продукцию, сертификат / декларацию с указанием на соответствие ТУ письмо производителя о соответствии выпускаемой продукции ТУ или др. юридически значимый документ)  подтверждающий соответствие закупаемой продукции ТУ </w:t>
            </w:r>
            <w:r>
              <w:rPr>
                <w:rFonts w:eastAsia="Times New Roman" w:cs="Times New Roman"/>
                <w:b/>
                <w:bCs/>
                <w:i/>
                <w:iCs/>
                <w:color w:val="A6A6A6" w:themeColor="background1" w:themeShade="a6"/>
                <w:kern w:val="0"/>
                <w:sz w:val="18"/>
                <w:szCs w:val="18"/>
                <w:lang w:val="ru-RU" w:eastAsia="ru-RU" w:bidi="ar-SA"/>
              </w:rPr>
              <w:t xml:space="preserve">5863-007-96502166-2016, </w:t>
            </w:r>
            <w:r>
              <w:rPr>
                <w:rFonts w:eastAsia="Calibri" w:cs="Times New Roman"/>
                <w:b/>
                <w:i/>
                <w:color w:val="A6A6A6" w:themeColor="background1" w:themeShade="a6"/>
                <w:kern w:val="0"/>
                <w:sz w:val="18"/>
                <w:szCs w:val="18"/>
                <w:lang w:val="ru-RU" w:eastAsia="en-US" w:bidi="ar-SA"/>
              </w:rPr>
              <w:t>ТУ 5863-006-00113557-94</w:t>
            </w:r>
          </w:p>
        </w:tc>
        <w:tc>
          <w:tcPr>
            <w:tcW w:w="1468" w:type="dxa"/>
            <w:vMerge w:val="restart"/>
            <w:tcBorders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189" w:hRule="atLeast"/>
        </w:trPr>
        <w:tc>
          <w:tcPr>
            <w:tcW w:w="56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6 .2.</w:t>
            </w:r>
          </w:p>
        </w:tc>
        <w:tc>
          <w:tcPr>
            <w:tcW w:w="354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Плита анкерная железобетонная ПА2-1</w:t>
            </w:r>
          </w:p>
        </w:tc>
        <w:tc>
          <w:tcPr>
            <w:tcW w:w="3968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b w:val="false"/>
                <w:bCs w:val="false"/>
                <w:i/>
                <w:iCs/>
                <w:sz w:val="22"/>
                <w:szCs w:val="22"/>
              </w:rPr>
              <w:t xml:space="preserve">Серия 3.407-115 </w:t>
            </w:r>
          </w:p>
        </w:tc>
        <w:tc>
          <w:tcPr>
            <w:tcW w:w="226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1" w:type="dxa"/>
            <w:vMerge w:val="continue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808080"/>
                <w:sz w:val="22"/>
                <w:szCs w:val="22"/>
              </w:rPr>
            </w:pPr>
            <w:r>
              <w:rPr>
                <w:i/>
                <w:iCs/>
                <w:color w:val="808080"/>
                <w:sz w:val="22"/>
                <w:szCs w:val="22"/>
              </w:rPr>
            </w:r>
          </w:p>
        </w:tc>
        <w:tc>
          <w:tcPr>
            <w:tcW w:w="1468" w:type="dxa"/>
            <w:vMerge w:val="continue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731" w:hRule="atLeast"/>
        </w:trPr>
        <w:tc>
          <w:tcPr>
            <w:tcW w:w="56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354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Приставки железобетонные ПТ-45 соответствуют техническим условиям</w:t>
            </w:r>
          </w:p>
        </w:tc>
        <w:tc>
          <w:tcPr>
            <w:tcW w:w="3968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 w:val="false"/>
                <w:bCs w:val="false"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Calibri"/>
                <w:b w:val="false"/>
                <w:bCs w:val="false"/>
                <w:i/>
                <w:sz w:val="22"/>
                <w:szCs w:val="22"/>
                <w:lang w:eastAsia="en-US"/>
              </w:rPr>
              <w:t xml:space="preserve">ТУ 5863-006-00113557-94 (Приложение № 1 к Техническим требованиям и согласно чертежам </w:t>
            </w:r>
          </w:p>
        </w:tc>
        <w:tc>
          <w:tcPr>
            <w:tcW w:w="226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1" w:type="dxa"/>
            <w:vMerge w:val="continue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808080"/>
                <w:sz w:val="22"/>
                <w:szCs w:val="22"/>
              </w:rPr>
            </w:pPr>
            <w:r>
              <w:rPr>
                <w:i/>
                <w:iCs/>
                <w:color w:val="808080"/>
                <w:sz w:val="22"/>
                <w:szCs w:val="22"/>
              </w:rPr>
            </w:r>
          </w:p>
        </w:tc>
        <w:tc>
          <w:tcPr>
            <w:tcW w:w="1468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74" w:hRule="atLeast"/>
        </w:trPr>
        <w:tc>
          <w:tcPr>
            <w:tcW w:w="56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3939" w:type="dxa"/>
            <w:gridSpan w:val="6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(дополнительные) требования к продукции</w:t>
            </w:r>
          </w:p>
        </w:tc>
      </w:tr>
      <w:tr>
        <w:trPr>
          <w:trHeight w:val="642" w:hRule="atLeast"/>
        </w:trPr>
        <w:tc>
          <w:tcPr>
            <w:tcW w:w="56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54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происхождению поставляемой продукции</w:t>
            </w:r>
          </w:p>
        </w:tc>
        <w:tc>
          <w:tcPr>
            <w:tcW w:w="3968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lang w:eastAsia="en-US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sz w:val="22"/>
                <w:szCs w:val="22"/>
                <w:lang w:eastAsia="en-US"/>
              </w:rPr>
              <w:t>В составе Коммерческого предложения Поставщик указывает страну и производителя продукции.</w:t>
            </w:r>
          </w:p>
        </w:tc>
        <w:tc>
          <w:tcPr>
            <w:tcW w:w="226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808080"/>
                <w:sz w:val="22"/>
                <w:szCs w:val="22"/>
              </w:rPr>
            </w:pPr>
            <w:r>
              <w:rPr>
                <w:i/>
                <w:iCs/>
                <w:color w:val="808080"/>
                <w:sz w:val="22"/>
                <w:szCs w:val="22"/>
              </w:rPr>
            </w:r>
          </w:p>
        </w:tc>
        <w:tc>
          <w:tcPr>
            <w:tcW w:w="1468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891" w:hRule="atLeast"/>
        </w:trPr>
        <w:tc>
          <w:tcPr>
            <w:tcW w:w="1450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ing1"/>
              <w:keepLines/>
              <w:tabs>
                <w:tab w:val="left" w:pos="0" w:leader="none"/>
                <w:tab w:val="left" w:pos="1134" w:leader="none"/>
              </w:tabs>
              <w:spacing w:before="0" w:after="0"/>
              <w:ind w:firstLine="567" w:left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8. </w:t>
            </w:r>
            <w:bookmarkStart w:id="18" w:name="_Toc46743519_Копия_1"/>
            <w:bookmarkStart w:id="19" w:name="_Toc51339699_Копия_1"/>
            <w:bookmarkStart w:id="20" w:name="_Toc75446583_Копия_1"/>
            <w:bookmarkStart w:id="21" w:name="_Toc53393312_Копия_1"/>
            <w:r>
              <w:rPr>
                <w:sz w:val="22"/>
                <w:szCs w:val="22"/>
                <w:lang w:val="ru-RU"/>
              </w:rPr>
              <w:t>Требования к документа</w:t>
            </w:r>
            <w:bookmarkStart w:id="22" w:name="_GoBack_Копия_1"/>
            <w:bookmarkEnd w:id="22"/>
            <w:r>
              <w:rPr>
                <w:sz w:val="22"/>
                <w:szCs w:val="22"/>
                <w:lang w:val="ru-RU"/>
              </w:rPr>
              <w:t>ции по ценообразованию</w:t>
            </w:r>
            <w:bookmarkEnd w:id="21"/>
            <w:r>
              <w:rPr>
                <w:sz w:val="22"/>
                <w:szCs w:val="22"/>
                <w:lang w:val="ru-RU"/>
              </w:rPr>
              <w:t xml:space="preserve"> на этапе закупки</w:t>
            </w:r>
            <w:bookmarkEnd w:id="20"/>
          </w:p>
          <w:p>
            <w:pPr>
              <w:pStyle w:val="Normal"/>
              <w:tabs>
                <w:tab w:val="clear" w:pos="708"/>
                <w:tab w:val="left" w:pos="1134" w:leader="none"/>
              </w:tabs>
              <w:ind w:firstLine="567" w:right="593"/>
              <w:jc w:val="both"/>
              <w:rPr>
                <w:bCs/>
                <w:iCs/>
                <w:sz w:val="22"/>
                <w:szCs w:val="22"/>
                <w:lang w:eastAsia="x-none"/>
              </w:rPr>
            </w:pPr>
            <w:r>
              <w:rPr>
                <w:bCs/>
                <w:iCs/>
                <w:sz w:val="22"/>
                <w:szCs w:val="22"/>
                <w:lang w:eastAsia="x-none"/>
              </w:rPr>
              <w:t>8.1.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</w:r>
          </w:p>
          <w:p>
            <w:pPr>
              <w:pStyle w:val="Normal"/>
              <w:ind w:firstLine="567" w:right="593"/>
              <w:jc w:val="both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  <w:lang w:eastAsia="x-none"/>
              </w:rPr>
              <w:t>8.2.</w:t>
            </w:r>
            <w:r>
              <w:rPr>
                <w:sz w:val="22"/>
                <w:szCs w:val="22"/>
              </w:rPr>
      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      </w:r>
            <w:bookmarkEnd w:id="18"/>
            <w:bookmarkEnd w:id="19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2"/>
                <w:szCs w:val="22"/>
                <w:lang w:val="x-none" w:eastAsia="x-none"/>
              </w:rPr>
            </w:pPr>
            <w:r>
              <w:rPr>
                <w:b/>
                <w:sz w:val="22"/>
                <w:szCs w:val="22"/>
                <w:lang w:val="x-none" w:eastAsia="x-none"/>
              </w:rPr>
            </w:r>
          </w:p>
          <w:p>
            <w:pPr>
              <w:pStyle w:val="Normal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Приложение № 1 – </w:t>
            </w:r>
            <w:r>
              <w:rPr>
                <w:b/>
                <w:bCs/>
                <w:i/>
                <w:iCs/>
                <w:sz w:val="22"/>
                <w:szCs w:val="22"/>
              </w:rPr>
              <w:t>Чертежи на приставки железобетонные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2"/>
                <w:szCs w:val="22"/>
              </w:rPr>
            </w:pPr>
            <w:r>
              <w:rPr>
                <w:b w:val="false"/>
                <w:bCs/>
                <w:i w:val="false"/>
                <w:iCs/>
                <w:sz w:val="22"/>
                <w:szCs w:val="22"/>
              </w:rPr>
            </w:r>
          </w:p>
        </w:tc>
      </w:tr>
    </w:tbl>
    <w:p>
      <w:pPr>
        <w:pStyle w:val="Heading1"/>
        <w:keepLines/>
        <w:tabs>
          <w:tab w:val="left" w:pos="0" w:leader="none"/>
          <w:tab w:val="left" w:pos="1134" w:leader="none"/>
        </w:tabs>
        <w:spacing w:before="0" w:after="0"/>
        <w:ind w:firstLine="567" w:left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60" w:after="0"/>
        <w:contextualSpacing/>
        <w:jc w:val="both"/>
        <w:rPr>
          <w:rStyle w:val="Style8"/>
          <w:b w:val="false"/>
          <w:bCs/>
          <w:i w:val="false"/>
          <w:i w:val="false"/>
          <w:iCs/>
          <w:sz w:val="22"/>
          <w:szCs w:val="22"/>
        </w:rPr>
      </w:pPr>
      <w:r>
        <w:rPr>
          <w:b w:val="false"/>
          <w:bCs/>
          <w:i w:val="false"/>
          <w:iCs/>
          <w:sz w:val="22"/>
          <w:szCs w:val="22"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60" w:after="0"/>
        <w:contextualSpacing/>
        <w:jc w:val="both"/>
        <w:rPr>
          <w:rStyle w:val="Style8"/>
          <w:b w:val="false"/>
          <w:bCs/>
          <w:i w:val="false"/>
          <w:i w:val="false"/>
          <w:iCs/>
          <w:sz w:val="22"/>
          <w:szCs w:val="22"/>
        </w:rPr>
      </w:pPr>
      <w:r>
        <w:rPr>
          <w:b w:val="false"/>
          <w:bCs/>
          <w:i w:val="false"/>
          <w:iCs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notePr>
        <w:numFmt w:val="decimal"/>
      </w:footnotePr>
      <w:type w:val="nextPage"/>
      <w:pgSz w:orient="landscape" w:w="16838" w:h="11906"/>
      <w:pgMar w:left="1418" w:right="1103" w:gutter="0" w:header="680" w:top="113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>
          <w:iCs/>
        </w:rPr>
      </w:pPr>
      <w:r>
        <w:rPr>
          <w:rStyle w:val="Style"/>
        </w:rPr>
        <w:t>*</w:t>
      </w:r>
      <w:r>
        <w:rPr>
          <w:rStyle w:val="Style"/>
        </w:rPr>
        <w:t>**</w:t>
      </w:r>
      <w:r>
        <w:rPr>
          <w:iCs/>
          <w:color w:val="FF0000"/>
        </w:rPr>
        <w:t xml:space="preserve"> </w:t>
      </w:r>
      <w:bookmarkStart w:id="23" w:name="_Hlk68806928"/>
      <w:r>
        <w:rPr>
          <w:iCs/>
          <w:color w:val="000000"/>
        </w:rPr>
        <w:t xml:space="preserve">Указанные в настоящем техническом требовании ссылки на марку (тип) продукции носят описательный, а не обязательный характер. </w:t>
      </w:r>
      <w:bookmarkEnd w:id="23"/>
      <w:r>
        <w:rPr>
          <w:iCs/>
          <w:color w:val="000000"/>
        </w:rPr>
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эквивалента.</w:t>
      </w:r>
    </w:p>
    <w:p>
      <w:pPr>
        <w:pStyle w:val="FootnoteText"/>
        <w:widowControl w:val="false"/>
        <w:jc w:val="both"/>
        <w:rPr>
          <w:color w:val="000000"/>
        </w:rPr>
      </w:pPr>
      <w:r>
        <w:rPr>
          <w:bCs/>
          <w:iCs/>
          <w:color w:val="000000"/>
        </w:rPr>
        <w:t>Параметрами эквивалентности являются технические характеристики продукции, указанные в Таблице № 3 настоящих технических требований.</w:t>
      </w:r>
    </w:p>
    <w:p>
      <w:pPr>
        <w:pStyle w:val="FootnoteText"/>
        <w:widowControl w:val="false"/>
        <w:jc w:val="both"/>
        <w:rPr>
          <w:color w:val="000000"/>
        </w:rPr>
      </w:pPr>
      <w:r>
        <w:rPr>
          <w:iCs/>
          <w:color w:val="000000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FootnoteText"/>
        <w:widowControl w:val="false"/>
        <w:jc w:val="both"/>
        <w:rPr>
          <w:color w:val="FF0000"/>
        </w:rPr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26614BD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6614BD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34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LineNumber">
    <w:name w:val="Line Number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38334-BE36-476A-9900-A32AFE3F7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AlterOffice/2026.2.0.0$Linux_X86_64 LibreOffice_project/bc4ef1adf80b36c7a6365f8ed6cbf29021361edd</Application>
  <AppVersion>15.0000</AppVersion>
  <Pages>6</Pages>
  <Words>893</Words>
  <Characters>5876</Characters>
  <CharactersWithSpaces>6611</CharactersWithSpaces>
  <Paragraphs>166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2025-08-07T05:35:00Z</dcterms:created>
  <dc:creator>Быстров Олег Геннадьевич</dc:creator>
  <dc:description/>
  <dc:language>ru-RU</dc:language>
  <cp:lastModifiedBy>gelashvili_is</cp:lastModifiedBy>
  <cp:lastPrinted>2006-07-26T14:04:00Z</cp:lastPrinted>
  <dcterms:modified xsi:type="dcterms:W3CDTF">2026-11-06T11:22:02Z</dcterms:modified>
  <cp:revision>19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