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Утверждаю:    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Заместитель директора филиала-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главный инженер Воткинского филиала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АО «Гидроремонт-ВКК» в г. Чайковский</w:t>
      </w:r>
    </w:p>
    <w:p>
      <w:pPr>
        <w:pStyle w:val="Normal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</w:p>
    <w:p>
      <w:pPr>
        <w:pStyle w:val="Normal"/>
        <w:spacing w:before="0" w:after="200"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__________________Э.В. Сальников</w:t>
      </w:r>
    </w:p>
    <w:p>
      <w:pPr>
        <w:pStyle w:val="Normal"/>
        <w:jc w:val="righ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«____» _______________2026г.</w:t>
      </w:r>
    </w:p>
    <w:p>
      <w:pPr>
        <w:pStyle w:val="Normal"/>
        <w:keepNext w:val="true"/>
        <w:keepLines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ОКПД 2 28.13.14.110 Поставка насоса центробежного трансформаторного 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нужд Воткинского филиала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ЛОТ №00___-РЕМ ДОХ-2026-ГРВКК-ВотФ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5"/>
              <w:vanish w:val="false"/>
              <w:rFonts w:eastAsia="Calibri" w:cs="Times New Roman"/>
            </w:rPr>
            <w:instrText xml:space="preserve"> TOC \z \o "1-4" \u \h</w:instrText>
          </w:r>
          <w:r>
            <w:rPr>
              <w:webHidden/>
              <w:rStyle w:val="Style15"/>
              <w:vanish w:val="false"/>
              <w:rFonts w:eastAsia="Calibri" w:cs="Times New Roman"/>
            </w:rPr>
            <w:fldChar w:fldCharType="separate"/>
          </w:r>
          <w:hyperlink w:anchor="_Toc150939782">
            <w:r>
              <w:rPr>
                <w:webHidden/>
                <w:rStyle w:val="Style15"/>
                <w:rFonts w:eastAsia="Calibri" w:cs="Times New Roman"/>
                <w:vanish w:val="false"/>
              </w:rPr>
              <w:t>1.</w:t>
            </w:r>
            <w:r>
              <w:rPr>
                <w:rStyle w:val="Style15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5"/>
                <w:rFonts w:eastAsia="Calibri" w:cs="Times New Roman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83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84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150939785">
            <w:r>
              <w:rPr>
                <w:webHidden/>
                <w:rStyle w:val="Style15"/>
                <w:rFonts w:eastAsia="Calibri" w:cs="Times New Roman"/>
                <w:vanish w:val="false"/>
              </w:rPr>
              <w:t>2.</w:t>
            </w:r>
            <w:r>
              <w:rPr>
                <w:rStyle w:val="Style15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5"/>
                <w:rFonts w:eastAsia="Calibri" w:cs="Times New Roman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86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87">
            <w:r>
              <w:rPr>
                <w:webHidden/>
                <w:rStyle w:val="Style15"/>
                <w:rFonts w:eastAsia="Calibri" w:cs="Times New Roman"/>
                <w:vanish w:val="false"/>
                <w:sz w:val="24"/>
                <w:szCs w:val="24"/>
              </w:rPr>
              <w:t>2.1.1.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150939788">
            <w:r>
              <w:rPr>
                <w:webHidden/>
                <w:rStyle w:val="Style15"/>
                <w:rFonts w:eastAsia="Calibri" w:cs="Times New Roman"/>
                <w:vanish w:val="false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89">
            <w:r>
              <w:rPr>
                <w:webHidden/>
                <w:rStyle w:val="Style15"/>
                <w:rFonts w:eastAsia="Calibri" w:cs="Times New Roman"/>
                <w:vanish w:val="false"/>
                <w:sz w:val="24"/>
                <w:szCs w:val="24"/>
              </w:rPr>
              <w:t>2.1.2.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150939790">
            <w:r>
              <w:rPr>
                <w:webHidden/>
                <w:rStyle w:val="Style15"/>
                <w:rFonts w:eastAsia="Calibri" w:cs="Times New Roman"/>
                <w:vanish w:val="false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eastAsia="新細明體" w:cs="Times New Roman" w:eastAsiaTheme="minorEastAsia"/>
              <w:sz w:val="24"/>
              <w:szCs w:val="24"/>
            </w:rPr>
          </w:pPr>
          <w:hyperlink w:anchor="_Toc150939791">
            <w:r>
              <w:rPr>
                <w:webHidden/>
                <w:rStyle w:val="Style15"/>
                <w:rFonts w:eastAsia="Calibri" w:cs="Times New Roman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5"/>
                <w:rFonts w:eastAsia="新細明體" w:cs="Times New Roman" w:eastAsiaTheme="minorEastAsia"/>
                <w:sz w:val="24"/>
                <w:szCs w:val="24"/>
              </w:rPr>
              <w:tab/>
            </w:r>
            <w:r>
              <w:rPr>
                <w:rStyle w:val="Style15"/>
                <w:rFonts w:eastAsia="Calibri" w:cs="Times New Roman"/>
                <w:sz w:val="24"/>
                <w:szCs w:val="2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sz w:val="24"/>
                <w:szCs w:val="2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150939792">
            <w:r>
              <w:rPr>
                <w:webHidden/>
                <w:rStyle w:val="Style15"/>
                <w:rFonts w:eastAsia="Calibri" w:cs="Times New Roman"/>
                <w:vanish w:val="false"/>
              </w:rPr>
              <w:t>Таблица 3.</w:t>
            </w:r>
            <w:r>
              <w:rPr>
                <w:rStyle w:val="Style15"/>
                <w:rFonts w:eastAsia="Calibri" w:cs="Times New Roman"/>
                <w:lang w:val="en-US"/>
              </w:rPr>
              <w:t>1</w:t>
            </w:r>
            <w:r>
              <w:rPr>
                <w:rStyle w:val="Style15"/>
                <w:rFonts w:eastAsia="Calibri" w:cs="Times New Roman"/>
              </w:rPr>
              <w:t xml:space="preserve">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eastAsia="新細明體" w:cs="Times New Roman" w:eastAsiaTheme="minorEastAsia"/>
              <w:b w:val="false"/>
              <w:bCs w:val="false"/>
            </w:rPr>
          </w:pPr>
          <w:hyperlink w:anchor="_Toc150939793">
            <w:r>
              <w:rPr>
                <w:webHidden/>
                <w:rStyle w:val="Style15"/>
                <w:rFonts w:eastAsia="Calibri" w:cs="Times New Roman"/>
                <w:vanish w:val="false"/>
              </w:rPr>
              <w:t>3.</w:t>
            </w:r>
            <w:r>
              <w:rPr>
                <w:rStyle w:val="Style15"/>
                <w:rFonts w:eastAsia="新細明體" w:cs="Times New Roman" w:eastAsiaTheme="minorEastAsia"/>
                <w:b w:val="false"/>
                <w:bCs w:val="false"/>
              </w:rPr>
              <w:tab/>
            </w:r>
            <w:r>
              <w:rPr>
                <w:rStyle w:val="Style15"/>
                <w:rFonts w:eastAsia="Calibri" w:cs="Times New Roman"/>
              </w:rPr>
              <w:t>Требования к документации по ценообразованию на этапе закупки</w:t>
            </w:r>
            <w:r>
              <w:rPr>
                <w:rStyle w:val="Style15"/>
                <w:rFonts w:cs="Times New Roman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_Toc150939793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5"/>
                <w:rFonts w:cs="Times New Roman"/>
                <w:lang w:val="en-US"/>
              </w:rPr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5"/>
              <w:rFonts w:cs="Times New Roman"/>
              <w:lang w:val="en-US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eastAsia="新細明體" w:cs="Times New Roman" w:eastAsiaTheme="minorEastAsia"/>
          <w:b w:val="false"/>
          <w:bCs w:val="false"/>
        </w:rPr>
      </w:pPr>
      <w:r>
        <w:rPr>
          <w:rFonts w:eastAsia="新細明體" w:cs="Times New Roman" w:eastAsiaTheme="minorEastAsia"/>
          <w:b w:val="false"/>
          <w:bCs w:val="false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17"/>
        </w:numPr>
        <w:rPr>
          <w:sz w:val="24"/>
          <w:szCs w:val="24"/>
        </w:rPr>
      </w:pPr>
      <w:bookmarkStart w:id="2" w:name="_Toc124846884"/>
      <w:r>
        <w:rPr>
          <w:iCs/>
          <w:sz w:val="24"/>
          <w:szCs w:val="24"/>
        </w:rPr>
        <w:t>Общие</w:t>
      </w:r>
      <w:r>
        <w:rPr>
          <w:sz w:val="24"/>
          <w:szCs w:val="24"/>
        </w:rPr>
        <w:t xml:space="preserve"> сведения</w:t>
      </w:r>
      <w:bookmarkEnd w:id="2"/>
    </w:p>
    <w:p>
      <w:pPr>
        <w:pStyle w:val="Heading4"/>
        <w:numPr>
          <w:ilvl w:val="1"/>
          <w:numId w:val="18"/>
        </w:numPr>
        <w:ind w:left="709" w:hanging="709"/>
        <w:rPr/>
      </w:pPr>
      <w:bookmarkStart w:id="3" w:name="_Toc46743506"/>
      <w:bookmarkStart w:id="4" w:name="_Toc75446568"/>
      <w:r>
        <w:rPr/>
        <w:t>Наименование закупаемой продукции</w:t>
      </w:r>
      <w:bookmarkEnd w:id="3"/>
      <w:bookmarkEnd w:id="4"/>
    </w:p>
    <w:p>
      <w:pPr>
        <w:pStyle w:val="Heading4"/>
        <w:numPr>
          <w:ilvl w:val="0"/>
        </w:numPr>
        <w:ind w:left="0" w:hanging="0"/>
        <w:jc w:val="both"/>
        <w:rPr/>
      </w:pPr>
      <w:bookmarkStart w:id="5" w:name="_Toc75446569"/>
      <w:r>
        <w:rPr>
          <w:rFonts w:eastAsia="Times New Roman"/>
          <w:b w:val="false"/>
          <w:bCs w:val="false"/>
          <w:lang w:val="ru-RU" w:eastAsia="ru-RU"/>
        </w:rPr>
        <w:t>ОКПД2: 28.13.14.110 Поставка насоса центробежного трансформаторного для нужд Воткинского филиала</w:t>
      </w:r>
    </w:p>
    <w:p>
      <w:pPr>
        <w:pStyle w:val="Heading4"/>
        <w:numPr>
          <w:ilvl w:val="1"/>
          <w:numId w:val="19"/>
        </w:numPr>
        <w:ind w:left="709" w:hanging="709"/>
        <w:rPr/>
      </w:pPr>
      <w:bookmarkStart w:id="6" w:name="_Toc46743507"/>
      <w:r>
        <w:rPr/>
        <w:t xml:space="preserve">Цель </w:t>
      </w:r>
      <w:bookmarkEnd w:id="6"/>
      <w:r>
        <w:rPr/>
        <w:t xml:space="preserve">использования закупаемой продукции </w:t>
      </w:r>
      <w:bookmarkEnd w:id="5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доходного Договора №1180-267-2023 «Капитальный и текущий ремонт оборудования, зданий, сооружений филиала ПАО «РусГидро» – «Камская ГЭС»», заключенного между Воткинским филиалом АО «Гидроремонт-ВКК» в г. Чайковском и филиалом ПАО «РусГидро» – «Камская ГЭС».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Heading1"/>
        <w:numPr>
          <w:ilvl w:val="0"/>
          <w:numId w:val="20"/>
        </w:numPr>
        <w:ind w:left="709" w:hanging="709"/>
        <w:rPr>
          <w:caps/>
          <w:sz w:val="24"/>
          <w:szCs w:val="24"/>
          <w:lang w:val="ru-RU"/>
        </w:rPr>
      </w:pPr>
      <w:bookmarkStart w:id="7" w:name="_Toc51339693"/>
      <w:bookmarkStart w:id="8" w:name="_Toc75446573"/>
      <w:bookmarkStart w:id="9" w:name="_Toc124846885"/>
      <w:r>
        <w:rPr>
          <w:sz w:val="24"/>
          <w:szCs w:val="24"/>
        </w:rPr>
        <w:t>Требования к продукции</w:t>
      </w:r>
      <w:bookmarkEnd w:id="7"/>
      <w:bookmarkEnd w:id="8"/>
      <w:bookmarkEnd w:id="9"/>
    </w:p>
    <w:p>
      <w:pPr>
        <w:pStyle w:val="Heading4"/>
        <w:numPr>
          <w:ilvl w:val="1"/>
          <w:numId w:val="21"/>
        </w:numPr>
        <w:ind w:left="709" w:hanging="709"/>
        <w:rPr/>
      </w:pPr>
      <w:bookmarkStart w:id="10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0"/>
    </w:p>
    <w:p>
      <w:pPr>
        <w:pStyle w:val="Heading3"/>
        <w:numPr>
          <w:ilvl w:val="2"/>
          <w:numId w:val="22"/>
        </w:numPr>
        <w:ind w:left="709" w:hanging="709"/>
        <w:rPr/>
      </w:pPr>
      <w:bookmarkStart w:id="11" w:name="_Toc75446575"/>
      <w:bookmarkStart w:id="12" w:name="_Toc124846886"/>
      <w:r>
        <w:rPr/>
        <w:t>Перечень и объем закупаемой продукции</w:t>
      </w:r>
      <w:bookmarkEnd w:id="11"/>
      <w:bookmarkEnd w:id="12"/>
    </w:p>
    <w:p>
      <w:pPr>
        <w:pStyle w:val="Heading1"/>
        <w:numPr>
          <w:ilvl w:val="0"/>
          <w:numId w:val="0"/>
        </w:numPr>
        <w:ind w:left="0" w:hanging="0"/>
        <w:rPr>
          <w:sz w:val="24"/>
          <w:szCs w:val="24"/>
        </w:rPr>
      </w:pPr>
      <w:bookmarkStart w:id="13" w:name="_Toc75446576"/>
      <w:bookmarkStart w:id="14" w:name="_Toc124591777"/>
      <w:bookmarkStart w:id="15" w:name="_Toc124591881"/>
      <w:bookmarkStart w:id="16" w:name="_Toc124846887"/>
      <w:bookmarkStart w:id="17" w:name="_Toc51339695"/>
      <w:r>
        <w:rPr>
          <w:sz w:val="24"/>
          <w:szCs w:val="24"/>
        </w:rPr>
        <w:t xml:space="preserve">Таблица 1.1 Перечень </w:t>
      </w:r>
      <w:bookmarkEnd w:id="17"/>
      <w:r>
        <w:rPr>
          <w:sz w:val="24"/>
          <w:szCs w:val="24"/>
        </w:rPr>
        <w:t>и объем закупаемой продукции</w:t>
      </w:r>
      <w:bookmarkEnd w:id="13"/>
      <w:bookmarkEnd w:id="14"/>
      <w:bookmarkEnd w:id="15"/>
      <w:bookmarkEnd w:id="16"/>
    </w:p>
    <w:tbl>
      <w:tblPr>
        <w:tblW w:w="980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96"/>
        <w:gridCol w:w="4678"/>
        <w:gridCol w:w="2689"/>
        <w:gridCol w:w="855"/>
        <w:gridCol w:w="991"/>
      </w:tblGrid>
      <w:tr>
        <w:trPr>
          <w:trHeight w:val="641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bookmarkStart w:id="18" w:name="_Toc75446578"/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Наименование </w:t>
            </w:r>
            <w:r>
              <w:rPr>
                <w:rFonts w:eastAsia="Calibri"/>
                <w:b/>
                <w:sz w:val="24"/>
                <w:szCs w:val="24"/>
                <w:lang w:val="en-US" w:eastAsia="en-US"/>
              </w:rPr>
              <w:t>продукции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Тип, марка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Кол-во </w:t>
            </w:r>
          </w:p>
        </w:tc>
      </w:tr>
      <w:tr>
        <w:trPr>
          <w:trHeight w:val="163" w:hRule="atLeast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lang w:eastAsia="en-US"/>
              </w:rPr>
            </w:pPr>
            <w:r>
              <w:rPr>
                <w:lang w:eastAsia="en-US"/>
              </w:rPr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ОКПД2: 28.13.14.110 Поставка насоса центробежного трансформаторного для нужд Воткинского филиала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Насос центробежный герметичный трансформаторный МТ-100/8 У1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шт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</w:tr>
    </w:tbl>
    <w:p>
      <w:pPr>
        <w:pStyle w:val="Heading3"/>
        <w:numPr>
          <w:ilvl w:val="2"/>
          <w:numId w:val="23"/>
        </w:numPr>
        <w:ind w:left="709" w:hanging="709"/>
        <w:rPr/>
      </w:pPr>
      <w:bookmarkStart w:id="19" w:name="_Toc124846888"/>
      <w:bookmarkStart w:id="20" w:name="_Toc51339696"/>
      <w:r>
        <w:rPr/>
        <w:t xml:space="preserve">Требования </w:t>
      </w:r>
      <w:bookmarkEnd w:id="20"/>
      <w:r>
        <w:rPr/>
        <w:t>к срокам поставки продукции</w:t>
      </w:r>
      <w:bookmarkEnd w:id="19"/>
      <w:r>
        <w:rPr/>
        <w:t xml:space="preserve"> </w:t>
      </w:r>
      <w:bookmarkEnd w:id="18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21" w:name="_Toc124846889"/>
      <w:bookmarkStart w:id="22" w:name="_Toc75446579"/>
      <w:bookmarkStart w:id="23" w:name="_Toc124591779"/>
      <w:bookmarkStart w:id="24" w:name="_Toc124591883"/>
      <w:bookmarkStart w:id="25" w:name="_Toc50125127"/>
      <w:bookmarkStart w:id="26" w:name="_Toc5133969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7" w:name="_Hlk50465284"/>
      <w:r>
        <w:rPr>
          <w:sz w:val="24"/>
          <w:szCs w:val="24"/>
        </w:rPr>
        <w:t xml:space="preserve">Требования по срокам </w:t>
      </w:r>
      <w:bookmarkEnd w:id="25"/>
      <w:bookmarkEnd w:id="26"/>
      <w:bookmarkEnd w:id="27"/>
      <w:r>
        <w:rPr>
          <w:sz w:val="24"/>
          <w:szCs w:val="24"/>
          <w:lang w:val="ru-RU"/>
        </w:rPr>
        <w:t>поставки продукции</w:t>
      </w:r>
      <w:bookmarkEnd w:id="21"/>
      <w:bookmarkEnd w:id="22"/>
      <w:bookmarkEnd w:id="23"/>
      <w:bookmarkEnd w:id="24"/>
      <w:r>
        <w:rPr>
          <w:sz w:val="24"/>
          <w:szCs w:val="24"/>
          <w:lang w:val="ru-RU"/>
        </w:rPr>
        <w:t xml:space="preserve"> </w:t>
      </w:r>
    </w:p>
    <w:tbl>
      <w:tblPr>
        <w:tblW w:w="9781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6"/>
        <w:gridCol w:w="3403"/>
        <w:gridCol w:w="2981"/>
        <w:gridCol w:w="2690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30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92" w:hRule="atLeast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4"/>
              </w:numPr>
              <w:jc w:val="center"/>
              <w:rPr/>
            </w:pPr>
            <w:r>
              <w:rPr/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ОКПД2: 28.13.14.110 Поставка насоса центробежного трансформаторного для нужд Воткинского филиала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с момента заключения договора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720" w:leader="none"/>
              </w:tabs>
              <w:spacing w:lineRule="exact" w:line="27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 течение 30 рабочих дней с даты подписания договора</w:t>
            </w:r>
          </w:p>
        </w:tc>
      </w:tr>
    </w:tbl>
    <w:p>
      <w:pPr>
        <w:pStyle w:val="Normal"/>
        <w:tabs>
          <w:tab w:val="clear" w:pos="708"/>
          <w:tab w:val="left" w:pos="1305" w:leader="none"/>
        </w:tabs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  <w:bookmarkStart w:id="28" w:name="_Toc50125126"/>
      <w:bookmarkStart w:id="29" w:name="_Toc46743510"/>
      <w:bookmarkStart w:id="30" w:name="_Toc50125126"/>
      <w:bookmarkStart w:id="31" w:name="_Toc46743510"/>
      <w:bookmarkEnd w:id="30"/>
      <w:bookmarkEnd w:id="31"/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0" w:gutter="0" w:header="708" w:top="1134" w:footer="0" w:bottom="1134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tabs>
          <w:tab w:val="clear" w:pos="708"/>
          <w:tab w:val="left" w:pos="1305" w:leader="none"/>
        </w:tabs>
        <w:rPr>
          <w:sz w:val="24"/>
          <w:szCs w:val="24"/>
          <w:lang w:val="x-none" w:eastAsia="x-none"/>
        </w:rPr>
      </w:pPr>
      <w:bookmarkStart w:id="32" w:name="_Toc50125126"/>
      <w:bookmarkStart w:id="33" w:name="_Toc46743510"/>
      <w:bookmarkEnd w:id="32"/>
      <w:bookmarkEnd w:id="33"/>
      <w:r>
        <w:rPr>
          <w:sz w:val="24"/>
          <w:szCs w:val="24"/>
          <w:lang w:val="x-none" w:eastAsia="x-none"/>
        </w:rPr>
        <w:tab/>
      </w:r>
    </w:p>
    <w:p>
      <w:pPr>
        <w:pStyle w:val="Normal"/>
        <w:spacing w:lineRule="auto" w:line="360"/>
        <w:rPr>
          <w:b/>
          <w:sz w:val="24"/>
          <w:szCs w:val="24"/>
        </w:rPr>
      </w:pPr>
      <w:r>
        <w:rPr>
          <w:b/>
          <w:sz w:val="24"/>
          <w:szCs w:val="24"/>
        </w:rPr>
        <w:t>2.2.</w:t>
        <w:tab/>
        <w:t>Требования к качеству продукции.</w:t>
      </w:r>
    </w:p>
    <w:p>
      <w:pPr>
        <w:pStyle w:val="Normal"/>
        <w:spacing w:lineRule="auto" w:line="360"/>
        <w:rPr>
          <w:b/>
          <w:sz w:val="24"/>
          <w:szCs w:val="24"/>
        </w:rPr>
      </w:pPr>
      <w:bookmarkStart w:id="34" w:name="_Toc75446582"/>
      <w:r>
        <w:rPr>
          <w:b/>
          <w:sz w:val="24"/>
          <w:szCs w:val="24"/>
        </w:rPr>
        <w:t>Таблица 3.1 Требования к продукции</w:t>
      </w:r>
      <w:bookmarkEnd w:id="34"/>
      <w:r>
        <w:rPr>
          <w:b/>
          <w:sz w:val="24"/>
          <w:szCs w:val="24"/>
        </w:rPr>
        <w:t>.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Наименование продукции: </w:t>
      </w:r>
      <w:r>
        <w:rPr>
          <w:sz w:val="24"/>
          <w:szCs w:val="24"/>
        </w:rPr>
        <w:t>ОКПД2: 28.13.14.110 Поставка насоса центробежного трансформаторного для нужд Воткинского филиала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pPr w:vertAnchor="text" w:horzAnchor="text" w:tblpXSpec="center" w:leftFromText="180" w:rightFromText="180" w:tblpY="1"/>
        <w:tblW w:w="134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54"/>
        <w:gridCol w:w="4302"/>
        <w:gridCol w:w="33"/>
        <w:gridCol w:w="2035"/>
        <w:gridCol w:w="1753"/>
        <w:gridCol w:w="4401"/>
        <w:gridCol w:w="242"/>
      </w:tblGrid>
      <w:tr>
        <w:trPr>
          <w:trHeight w:val="20" w:hRule="atLeast"/>
        </w:trPr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20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/>
                <w:sz w:val="24"/>
                <w:szCs w:val="24"/>
              </w:rPr>
              <w:t>Соответствие стандартам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06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4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sz w:val="24"/>
                <w:szCs w:val="24"/>
              </w:rPr>
            </w:pPr>
            <w:r>
              <w:rPr>
                <w:rFonts w:eastAsia="DotumChe"/>
                <w:sz w:val="24"/>
                <w:szCs w:val="24"/>
              </w:rPr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/>
                <w:sz w:val="24"/>
                <w:szCs w:val="24"/>
              </w:rPr>
              <w:t>5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10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-17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 центробежный герметичный трансформаторный МТ-100/8 У1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номинальная подача 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напор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 приводного электродвигателя</w:t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 xml:space="preserve"> напряжение питания</w:t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климатическое исполнение</w:t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left="-1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перекачиваемой жидкости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МТ-100/8 У1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 м³/час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 м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3кВт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220/380 В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У1</w:t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</w:r>
          </w:p>
          <w:p>
            <w:pPr>
              <w:pStyle w:val="Normal"/>
              <w:keepNext w:val="true"/>
              <w:widowControl w:val="false"/>
              <w:spacing w:before="0" w:after="0"/>
              <w:ind w:left="-17" w:hanging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до 80 °С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соответствии со стандартом производителя</w:t>
            </w:r>
          </w:p>
        </w:tc>
        <w:tc>
          <w:tcPr>
            <w:tcW w:w="242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2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2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Место поставки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Воткинский филиал АО «Гидроремонт-ВКК» в г.Чайковский/ ПУ в г. Пермь 614030, Пермский край, г. Пермь, территория ПАО «РусГидро» - «Камская ГЭС».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 осуществляется только в рабочие дни: понедельник - четверг с 8-30 до 11-00 и с 13-00 до 16-00, пятница с 8-30 до 11-00 и с 13-00 до 15-00 по местному времени.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26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таре и упаковке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99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2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  <w:tc>
          <w:tcPr>
            <w:tcW w:w="242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02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52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Документы, передаваемые вместе с продукцией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0" w:leader="none"/>
              </w:tabs>
              <w:suppressAutoHyphens w:val="false"/>
              <w:spacing w:before="0" w:after="0"/>
              <w:ind w:left="203" w:hanging="20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 соответствия;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0" w:leader="none"/>
              </w:tabs>
              <w:suppressAutoHyphens w:val="false"/>
              <w:spacing w:before="0" w:after="0"/>
              <w:ind w:left="203" w:hanging="20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Паспорт;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0" w:leader="none"/>
              </w:tabs>
              <w:suppressAutoHyphens w:val="false"/>
              <w:spacing w:before="0" w:after="0"/>
              <w:ind w:left="203" w:hanging="20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Инструкция по монтажу;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08"/>
                <w:tab w:val="left" w:pos="0" w:leader="none"/>
              </w:tabs>
              <w:suppressAutoHyphens w:val="false"/>
              <w:spacing w:before="0" w:after="0"/>
              <w:ind w:left="203" w:hanging="203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товарную накладную унифицированной формы ТОРГ-12 в 2 экз.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50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Требования к экономическим параметрам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4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стандартам</w:t>
            </w:r>
          </w:p>
        </w:tc>
        <w:tc>
          <w:tcPr>
            <w:tcW w:w="8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Поставщик(производитель) должен быть готов за свой счет провести независимую экспертизу поставляемой продукции для подтверждения соответствия требованиям, указанным в документации.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допуска на территорию филиала ПАО «РусГидро» – «Камская ГЭС» предоставляется не позднее 10-00 предыдущего рабочего дня до прибытия транспорта.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2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4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</w:t>
            </w:r>
          </w:p>
        </w:tc>
        <w:tc>
          <w:tcPr>
            <w:tcW w:w="8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использовавшейся.</w:t>
            </w:r>
          </w:p>
        </w:tc>
        <w:tc>
          <w:tcPr>
            <w:tcW w:w="24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1134" w:gutter="0" w:header="680" w:top="1134" w:footer="0" w:bottom="851"/>
          <w:pgNumType w:fmt="decimal"/>
          <w:formProt w:val="false"/>
          <w:textDirection w:val="lrTb"/>
          <w:docGrid w:type="default" w:linePitch="381" w:charSpace="0"/>
        </w:sect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76" w:before="0" w:after="200"/>
        <w:ind w:left="360" w:hanging="0"/>
        <w:jc w:val="center"/>
        <w:rPr>
          <w:sz w:val="24"/>
          <w:szCs w:val="24"/>
          <w:lang w:eastAsia="en-US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ADAF6E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ADAF6E3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21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7"/>
    <w:lvlOverride w:ilvl="0">
      <w:startOverride w:val="1"/>
    </w:lvlOverride>
  </w:num>
  <w:num w:numId="18">
    <w:abstractNumId w:val="7"/>
  </w:num>
  <w:num w:numId="19">
    <w:abstractNumId w:val="7"/>
  </w:num>
  <w:num w:numId="20">
    <w:abstractNumId w:val="7"/>
  </w:num>
  <w:num w:numId="21">
    <w:abstractNumId w:val="7"/>
  </w:num>
  <w:num w:numId="22">
    <w:abstractNumId w:val="7"/>
  </w:num>
  <w:num w:numId="23">
    <w:abstractNumId w:val="7"/>
  </w:num>
  <w:num w:numId="24">
    <w:abstractNumId w:val="1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99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363e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5066da"/>
    <w:pPr>
      <w:keepNext w:val="true"/>
      <w:numPr>
        <w:ilvl w:val="2"/>
        <w:numId w:val="3"/>
      </w:numPr>
      <w:spacing w:before="120" w:after="60"/>
      <w:ind w:left="709" w:hanging="709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5066da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Текст Знак"/>
    <w:basedOn w:val="DefaultParagraphFont"/>
    <w:link w:val="PlainText"/>
    <w:uiPriority w:val="99"/>
    <w:semiHidden/>
    <w:qFormat/>
    <w:rsid w:val="007b286f"/>
    <w:rPr>
      <w:rFonts w:ascii="Calibri" w:hAnsi="Calibri" w:eastAsia="Calibri" w:cs="Arial" w:cstheme="minorBidi" w:eastAsiaTheme="minorHAnsi"/>
      <w:sz w:val="22"/>
      <w:szCs w:val="21"/>
      <w:lang w:eastAsia="en-US"/>
    </w:rPr>
  </w:style>
  <w:style w:type="character" w:styleId="Style15" w:customStyle="1">
    <w:name w:val="Ссылка указателя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andard" w:customStyle="1">
    <w:name w:val="Standard"/>
    <w:qFormat/>
    <w:rsid w:val="002a3b60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eastAsia="zh-CN" w:val="ru-RU" w:bidi="ar-SA"/>
    </w:rPr>
  </w:style>
  <w:style w:type="paragraph" w:styleId="Default" w:customStyle="1">
    <w:name w:val="Default"/>
    <w:qFormat/>
    <w:rsid w:val="0072001c"/>
    <w:pPr>
      <w:widowControl/>
      <w:suppressAutoHyphens w:val="true"/>
      <w:bidi w:val="0"/>
      <w:spacing w:before="0" w:after="0"/>
      <w:jc w:val="left"/>
    </w:pPr>
    <w:rPr>
      <w:rFonts w:eastAsia="MS Mincho" w:ascii="Times New Roman" w:hAnsi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PlainText">
    <w:name w:val="Plain Text"/>
    <w:basedOn w:val="Normal"/>
    <w:link w:val="Style14"/>
    <w:uiPriority w:val="99"/>
    <w:semiHidden/>
    <w:unhideWhenUsed/>
    <w:qFormat/>
    <w:rsid w:val="007b286f"/>
    <w:pPr/>
    <w:rPr>
      <w:rFonts w:ascii="Calibri" w:hAnsi="Calibri" w:eastAsia="Calibri" w:cs="Arial" w:cstheme="minorBidi" w:eastAsiaTheme="minorHAnsi"/>
      <w:sz w:val="22"/>
      <w:szCs w:val="21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20070-5966-4031-885F-5C9810759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AlterOffice/3.4.0.9$Linux_X86_64 LibreOffice_project/b8daf9e823b1a5463a2f48435ddc2e8696e7d4fc</Application>
  <AppVersion>15.0000</AppVersion>
  <Pages>6</Pages>
  <Words>648</Words>
  <Characters>4359</Characters>
  <CharactersWithSpaces>4883</CharactersWithSpaces>
  <Paragraphs>131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2026-11-06T08:48:00Z</dcterms:created>
  <dc:creator>Быстров Олег Геннадьевич</dc:creator>
  <dc:description/>
  <dc:language>ru-RU</dc:language>
  <cp:lastModifiedBy>Нестеренко Владимир Александрович</cp:lastModifiedBy>
  <cp:lastPrinted>2023-01-14T04:55:00Z</cp:lastPrinted>
  <dcterms:modified xsi:type="dcterms:W3CDTF">2026-11-06T09:34:00Z</dcterms:modified>
  <cp:revision>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