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header8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header7.xml" ContentType="application/vnd.openxmlformats-officedocument.wordprocessingml.header+xml"/>
  <Override PartName="/word/header6.xml" ContentType="application/vnd.openxmlformats-officedocument.wordprocessingml.header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4"/>
          <w:szCs w:val="24"/>
        </w:rPr>
      </w:pPr>
      <w:r>
        <w:rPr/>
      </w:r>
    </w:p>
    <w:p>
      <w:pPr>
        <w:pStyle w:val="Normal"/>
        <w:jc w:val="right"/>
        <w:rPr>
          <w:sz w:val="24"/>
          <w:szCs w:val="24"/>
        </w:rPr>
      </w:pPr>
      <w:r>
        <w:rPr/>
      </w:r>
    </w:p>
    <w:p>
      <w:pPr>
        <w:pStyle w:val="Normal"/>
        <w:jc w:val="right"/>
        <w:rPr>
          <w:sz w:val="24"/>
          <w:szCs w:val="24"/>
        </w:rPr>
      </w:pPr>
      <w:r>
        <w:rPr/>
      </w:r>
    </w:p>
    <w:p>
      <w:pPr>
        <w:pStyle w:val="Normal"/>
        <w:jc w:val="right"/>
        <w:rPr>
          <w:sz w:val="24"/>
          <w:szCs w:val="24"/>
        </w:rPr>
      </w:pPr>
      <w:r>
        <w:rPr/>
      </w:r>
    </w:p>
    <w:p>
      <w:pPr>
        <w:pStyle w:val="Normal"/>
        <w:jc w:val="right"/>
        <w:rPr>
          <w:sz w:val="24"/>
          <w:szCs w:val="24"/>
        </w:rPr>
      </w:pPr>
      <w:r>
        <w:rPr/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sz w:val="32"/>
          <w:szCs w:val="32"/>
        </w:rPr>
      </w:pPr>
      <w:r>
        <w:rPr>
          <w:rFonts w:eastAsia="Calibri"/>
          <w:b/>
          <w:sz w:val="32"/>
          <w:szCs w:val="32"/>
        </w:rPr>
        <w:t>Технические требования на поставку ТМЦ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BlockText"/>
        <w:shd w:val="clear" w:color="auto" w:fill="FFFFFF"/>
        <w:ind w:left="0" w:right="-2" w:hanging="0"/>
        <w:rPr>
          <w:sz w:val="28"/>
          <w:szCs w:val="28"/>
        </w:rPr>
      </w:pPr>
      <w:r>
        <w:rPr>
          <w:sz w:val="26"/>
          <w:szCs w:val="26"/>
        </w:rPr>
        <w:t>ОКПД2 27.11.32.110 Поставка материалов, для нужд Филиала ПАО «РусГидро»- «Карачаево-Черкесский филиал»</w:t>
      </w:r>
    </w:p>
    <w:p>
      <w:pPr>
        <w:pStyle w:val="BlockText"/>
        <w:shd w:val="clear" w:color="auto" w:fill="FFFFFF"/>
        <w:ind w:left="0" w:right="-2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0"/>
        </w:numPr>
        <w:ind w:left="0" w:hanging="0"/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numPr>
          <w:ilvl w:val="0"/>
          <w:numId w:val="0"/>
        </w:numPr>
        <w:ind w:left="0" w:hanging="0"/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numPr>
          <w:ilvl w:val="0"/>
          <w:numId w:val="0"/>
        </w:numPr>
        <w:ind w:left="0" w:hanging="0"/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numPr>
          <w:ilvl w:val="0"/>
          <w:numId w:val="0"/>
        </w:numPr>
        <w:ind w:left="0" w:hanging="0"/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numPr>
          <w:ilvl w:val="0"/>
          <w:numId w:val="0"/>
        </w:numPr>
        <w:ind w:left="0" w:hanging="0"/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numPr>
          <w:ilvl w:val="0"/>
          <w:numId w:val="0"/>
        </w:numPr>
        <w:ind w:left="0" w:hanging="0"/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numPr>
          <w:ilvl w:val="0"/>
          <w:numId w:val="0"/>
        </w:numPr>
        <w:ind w:left="0" w:hanging="0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пгт. Правокубанский 2026</w:t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r>
            <w:fldChar w:fldCharType="begin"/>
          </w:r>
          <w:r>
            <w:rPr>
              <w:rStyle w:val="Style14"/>
            </w:rPr>
            <w:instrText xml:space="preserve"> TOC \o "1-4" \h</w:instrText>
          </w:r>
          <w:r>
            <w:rPr>
              <w:rStyle w:val="Style14"/>
            </w:rPr>
            <w:fldChar w:fldCharType="separate"/>
          </w:r>
          <w:hyperlink w:anchor="_Toc75446566">
            <w:r>
              <w:rPr>
                <w:rStyle w:val="Style14"/>
              </w:rPr>
              <w:t>1.</w:t>
            </w:r>
            <w:r>
              <w:rPr>
                <w:rStyle w:val="Style14"/>
                <w:rFonts w:eastAsia="PMingLiU" w:cs="Arial" w:ascii="Calibri" w:hAnsi="Calibr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Общие сведения</w:t>
              <w:tab/>
            </w:r>
          </w:hyperlink>
          <w:r>
            <w:rPr/>
            <w:t>3</w:t>
          </w:r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sz w:val="24"/>
              <w:szCs w:val="24"/>
            </w:rPr>
          </w:pPr>
          <w:r>
            <w:rPr>
              <w:sz w:val="24"/>
              <w:szCs w:val="24"/>
            </w:rPr>
            <w:t>1.1.</w:t>
            <w:tab/>
            <w:t>Обозначения и сокращения</w:t>
            <w:tab/>
            <w:t>3</w:t>
          </w:r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sz w:val="24"/>
              <w:szCs w:val="24"/>
            </w:rPr>
          </w:pPr>
          <w:r>
            <w:rPr>
              <w:sz w:val="24"/>
              <w:szCs w:val="24"/>
            </w:rPr>
            <w:t>1.2.</w:t>
            <w:tab/>
            <w:t>Наименование закупаемого Товара</w:t>
            <w:tab/>
            <w:t>4</w:t>
          </w:r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sz w:val="24"/>
              <w:szCs w:val="24"/>
            </w:rPr>
          </w:pPr>
          <w:r>
            <w:rPr>
              <w:sz w:val="24"/>
              <w:szCs w:val="24"/>
            </w:rPr>
            <w:t>1.3.</w:t>
            <w:tab/>
            <w:t xml:space="preserve">Цель использования закупаемого Товара </w:t>
            <w:tab/>
            <w:t>4</w:t>
          </w:r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sz w:val="24"/>
              <w:szCs w:val="24"/>
            </w:rPr>
          </w:pPr>
          <w:r>
            <w:rPr>
              <w:sz w:val="24"/>
              <w:szCs w:val="24"/>
            </w:rPr>
            <w:t>1.4.</w:t>
            <w:tab/>
            <w:t xml:space="preserve">Существующее положение </w:t>
            <w:tab/>
            <w:t>4</w:t>
          </w:r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sz w:val="24"/>
              <w:szCs w:val="24"/>
            </w:rPr>
          </w:pPr>
          <w:r>
            <w:rPr>
              <w:sz w:val="24"/>
              <w:szCs w:val="24"/>
            </w:rPr>
            <w:t>1.5.</w:t>
            <w:tab/>
            <w:t xml:space="preserve"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 </w:t>
            <w:tab/>
            <w:t>5</w:t>
          </w:r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75446572">
            <w:r>
              <w:rPr>
                <w:rStyle w:val="Style14"/>
                <w:iCs/>
                <w:sz w:val="24"/>
                <w:szCs w:val="24"/>
              </w:rPr>
              <w:t>1.6.</w:t>
            </w:r>
            <w:r>
              <w:rPr>
                <w:rStyle w:val="Style14"/>
                <w:rFonts w:eastAsia="PMingLiU" w:cs="Arial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 xml:space="preserve">Иные требования и сведения общего характера 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hyperlink w:anchor="_Toc75446573">
            <w:r>
              <w:rPr>
                <w:rStyle w:val="Style14"/>
              </w:rPr>
              <w:t>2.</w:t>
            </w:r>
            <w:r>
              <w:rPr>
                <w:rStyle w:val="Style14"/>
                <w:rFonts w:eastAsia="PMingLiU" w:cs="Arial"/>
                <w:b w:val="false"/>
                <w:bCs w:val="false"/>
              </w:rPr>
              <w:tab/>
            </w:r>
            <w:r>
              <w:rPr>
                <w:rStyle w:val="Style14"/>
                <w:iCs/>
              </w:rPr>
              <w:t xml:space="preserve">Требования к </w:t>
            </w:r>
            <w:r>
              <w:rPr>
                <w:rStyle w:val="Style14"/>
                <w:iCs/>
                <w:lang w:val="en-US"/>
              </w:rPr>
              <w:t>Товару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75446574">
            <w:r>
              <w:rPr>
                <w:rStyle w:val="Style14"/>
                <w:iCs/>
                <w:sz w:val="24"/>
                <w:szCs w:val="24"/>
              </w:rPr>
              <w:t>2.1.</w:t>
            </w:r>
            <w:r>
              <w:rPr>
                <w:rStyle w:val="Style14"/>
                <w:rFonts w:eastAsia="PMingLiU" w:cs="Arial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Требования к объемам и срокам поставки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75446575">
            <w:r>
              <w:rPr>
                <w:rStyle w:val="Style14"/>
                <w:sz w:val="24"/>
                <w:szCs w:val="24"/>
              </w:rPr>
              <w:t>2.1.1.</w:t>
            </w:r>
            <w:r>
              <w:rPr>
                <w:rStyle w:val="Style14"/>
                <w:rFonts w:eastAsia="PMingLiU" w:cs="Arial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 xml:space="preserve">Перечень и объем закупаемого </w:t>
            </w:r>
            <w:r>
              <w:rPr>
                <w:rStyle w:val="Style14"/>
                <w:sz w:val="24"/>
                <w:szCs w:val="24"/>
                <w:lang w:val="en-US"/>
              </w:rPr>
              <w:t>Товара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75446576">
            <w:r>
              <w:rPr>
                <w:rStyle w:val="Style14"/>
              </w:rPr>
              <w:t xml:space="preserve">Таблица 1.1 Перечень и объем закупаемого </w:t>
            </w:r>
            <w:r>
              <w:rPr>
                <w:rStyle w:val="Style14"/>
                <w:lang w:val="en-US"/>
              </w:rPr>
              <w:t>Товара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75446577">
            <w:r>
              <w:rPr>
                <w:rStyle w:val="Style14"/>
              </w:rPr>
              <w:t>Таблица 1.2 Перечень и объем закупаемых сопутствующих услуг</w:t>
              <w:tab/>
            </w:r>
          </w:hyperlink>
          <w:r>
            <w:rPr/>
            <w:t>5</w:t>
          </w:r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sz w:val="24"/>
              <w:szCs w:val="24"/>
            </w:rPr>
          </w:pPr>
          <w:r>
            <w:rPr>
              <w:sz w:val="24"/>
              <w:szCs w:val="24"/>
            </w:rPr>
            <w:t>2.1.2.</w:t>
            <w:tab/>
            <w:t>Требования к срокам поставки Товара и оказания сопутствующих услуг</w:t>
            <w:tab/>
            <w:t>6</w:t>
          </w:r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75446579">
            <w:r>
              <w:rPr>
                <w:rStyle w:val="Style14"/>
              </w:rPr>
              <w:t xml:space="preserve">Таблица 2.1 Требования по срокам поставки </w:t>
            </w:r>
            <w:r>
              <w:rPr>
                <w:rStyle w:val="Style14"/>
                <w:lang w:val="en-US"/>
              </w:rPr>
              <w:t>Товара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75446580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_Toc75446580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Таблица 2.2 Требования по срокам оказания сопутствующих услуг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sz w:val="24"/>
              <w:szCs w:val="24"/>
            </w:rPr>
          </w:pPr>
          <w:r>
            <w:rPr>
              <w:sz w:val="24"/>
              <w:szCs w:val="24"/>
            </w:rPr>
            <w:t>2.2.</w:t>
            <w:tab/>
            <w:t>Требования к качеству Товара</w:t>
            <w:tab/>
            <w:t>7</w:t>
          </w:r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75446582">
            <w:r>
              <w:rPr>
                <w:rStyle w:val="Style14"/>
              </w:rPr>
              <w:t>Таблица</w:t>
            </w:r>
          </w:hyperlink>
          <w:r>
            <w:rPr>
              <w:color w:val="000000"/>
            </w:rPr>
            <w:t> </w:t>
          </w:r>
          <w:hyperlink w:anchor="_Toc75446582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_Toc75446582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3. Требования к Товару</w:t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hyperlink w:anchor="_Toc75446583">
            <w:r>
              <w:rPr>
                <w:rStyle w:val="Style14"/>
              </w:rPr>
              <w:t>3.</w:t>
            </w:r>
            <w:r>
              <w:rPr>
                <w:rStyle w:val="Style14"/>
                <w:rFonts w:eastAsia="PMingLiU" w:cs="Arial"/>
                <w:b w:val="false"/>
                <w:bCs w:val="false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закупки</w:t>
              <w:tab/>
            </w:r>
          </w:hyperlink>
          <w:r>
            <w:rPr/>
            <w:t>78</w:t>
          </w:r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r>
            <w:rPr/>
            <w:t>4</w:t>
          </w:r>
          <w:hyperlink w:anchor="_Toc75446585">
            <w:r>
              <w:rPr>
                <w:rStyle w:val="Style14"/>
              </w:rPr>
              <w:t>.</w:t>
            </w:r>
            <w:r>
              <w:rPr>
                <w:rStyle w:val="Style14"/>
                <w:rFonts w:eastAsia="PMingLiU" w:cs="Arial"/>
                <w:b w:val="false"/>
                <w:bCs w:val="false"/>
              </w:rPr>
              <w:tab/>
            </w:r>
            <w:r>
              <w:rPr>
                <w:rStyle w:val="Style14"/>
                <w:iCs/>
              </w:rPr>
              <w:t>Приложения</w:t>
            </w:r>
            <w:r>
              <w:rPr>
                <w:rStyle w:val="Style14"/>
              </w:rPr>
              <w:tab/>
            </w:r>
          </w:hyperlink>
          <w:r>
            <w:rPr/>
            <w:t>79</w:t>
          </w:r>
          <w:r>
            <w:rPr/>
            <w:fldChar w:fldCharType="end"/>
          </w:r>
        </w:p>
      </w:sdtContent>
    </w:sdt>
    <w:p>
      <w:pPr>
        <w:pStyle w:val="Heading2"/>
        <w:tabs>
          <w:tab w:val="clear" w:pos="0"/>
        </w:tabs>
        <w:ind w:left="0" w:hanging="0"/>
        <w:rPr>
          <w:b w:val="false"/>
          <w:i/>
          <w:i/>
        </w:rPr>
      </w:pPr>
      <w:r>
        <w:rPr/>
        <w:t>4.1.Приложение №1 к ТТ…………………………………………………………………………</w:t>
      </w:r>
      <w:r>
        <w:rPr>
          <w:b w:val="false"/>
          <w:i/>
        </w:rPr>
        <w:t>...</w:t>
      </w:r>
      <w:r>
        <w:rPr/>
        <w:t>80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0" w:name="_Toc75446566"/>
      <w:bookmarkStart w:id="1" w:name="_Toc51339692"/>
      <w:r>
        <w:rPr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rPr/>
      </w:pPr>
      <w:bookmarkStart w:id="2" w:name="_Toc75446567"/>
      <w:bookmarkStart w:id="3" w:name="_Toc46743505"/>
      <w:r>
        <w:rPr/>
        <w:t>Обозначения и сокращения</w:t>
      </w:r>
      <w:bookmarkEnd w:id="2"/>
      <w:bookmarkEnd w:id="3"/>
    </w:p>
    <w:p>
      <w:pPr>
        <w:pStyle w:val="Normal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noVBand="0" w:val="0000" w:noHBand="0" w:lastColumn="0" w:firstColumn="0" w:lastRow="0" w:firstRow="0"/>
      </w:tblPr>
      <w:tblGrid>
        <w:gridCol w:w="1519"/>
        <w:gridCol w:w="8401"/>
      </w:tblGrid>
      <w:tr>
        <w:trPr/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ТТ</w:t>
            </w:r>
          </w:p>
        </w:tc>
        <w:tc>
          <w:tcPr>
            <w:tcW w:w="8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Технические требования</w:t>
            </w:r>
            <w:r>
              <w:rPr>
                <w:rStyle w:val="Style8"/>
                <w:bCs/>
                <w:i w:val="false"/>
                <w:sz w:val="24"/>
                <w:szCs w:val="24"/>
                <w:shd w:fill="FFFFFF" w:val="clear"/>
              </w:rPr>
              <w:t xml:space="preserve"> </w:t>
            </w:r>
          </w:p>
        </w:tc>
      </w:tr>
      <w:tr>
        <w:trPr/>
        <w:tc>
          <w:tcPr>
            <w:tcW w:w="151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</w:t>
            </w:r>
          </w:p>
        </w:tc>
        <w:tc>
          <w:tcPr>
            <w:tcW w:w="84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стандарт организации</w:t>
            </w:r>
            <w:r>
              <w:rPr>
                <w:rStyle w:val="Style8"/>
                <w:b w:val="false"/>
                <w:bCs/>
                <w:i w:val="false"/>
                <w:sz w:val="24"/>
                <w:szCs w:val="24"/>
              </w:rPr>
              <w:t xml:space="preserve"> </w:t>
            </w:r>
          </w:p>
        </w:tc>
      </w:tr>
      <w:tr>
        <w:trPr/>
        <w:tc>
          <w:tcPr>
            <w:tcW w:w="151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b w:val="false"/>
                <w:i w:val="false"/>
                <w:sz w:val="24"/>
                <w:szCs w:val="24"/>
                <w:shd w:fill="FFFFFF" w:val="clear"/>
              </w:rPr>
              <w:t>ГЭС</w:t>
            </w:r>
          </w:p>
        </w:tc>
        <w:tc>
          <w:tcPr>
            <w:tcW w:w="84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b w:val="false"/>
                <w:i w:val="false"/>
                <w:sz w:val="24"/>
                <w:szCs w:val="24"/>
                <w:shd w:fill="FFFFFF" w:val="clear"/>
              </w:rPr>
              <w:t>Гидроэлектростанция</w:t>
            </w:r>
          </w:p>
        </w:tc>
      </w:tr>
      <w:tr>
        <w:trPr/>
        <w:tc>
          <w:tcPr>
            <w:tcW w:w="151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b w:val="false"/>
                <w:i w:val="false"/>
                <w:sz w:val="24"/>
                <w:szCs w:val="24"/>
                <w:shd w:fill="FFFFFF" w:val="clear"/>
              </w:rPr>
              <w:t>ГАЭС</w:t>
            </w:r>
          </w:p>
        </w:tc>
        <w:tc>
          <w:tcPr>
            <w:tcW w:w="84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b w:val="false"/>
                <w:i w:val="false"/>
                <w:sz w:val="24"/>
                <w:szCs w:val="24"/>
                <w:shd w:fill="FFFFFF" w:val="clear"/>
              </w:rPr>
              <w:t>Гидро-акк</w:t>
            </w:r>
            <w:r>
              <w:rPr>
                <w:rStyle w:val="Style8"/>
                <w:b w:val="false"/>
                <w:i w:val="false"/>
                <w:sz w:val="24"/>
                <w:szCs w:val="24"/>
                <w:shd w:fill="FFFFFF" w:val="clear"/>
                <w:lang w:val="en-US"/>
              </w:rPr>
              <w:t>у</w:t>
            </w:r>
            <w:r>
              <w:rPr>
                <w:rStyle w:val="Style8"/>
                <w:b w:val="false"/>
                <w:i w:val="false"/>
                <w:sz w:val="24"/>
                <w:szCs w:val="24"/>
                <w:shd w:fill="FFFFFF" w:val="clear"/>
              </w:rPr>
              <w:t>мулирующая электростанция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rPr/>
      </w:pPr>
      <w:bookmarkStart w:id="4" w:name="_Toc75446568"/>
      <w:bookmarkStart w:id="5" w:name="_Toc46743506"/>
      <w:r>
        <w:rPr/>
        <w:t xml:space="preserve">Наименование закупаемого </w:t>
      </w:r>
      <w:bookmarkEnd w:id="4"/>
      <w:bookmarkEnd w:id="5"/>
      <w:r>
        <w:rPr>
          <w:lang w:val="ru-RU"/>
        </w:rPr>
        <w:t>Товара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>ОКПД2 27.11.32.110</w:t>
      </w:r>
      <w:r>
        <w:rPr>
          <w:rFonts w:eastAsia="Calibri"/>
          <w:sz w:val="24"/>
          <w:szCs w:val="24"/>
          <w:shd w:fill="auto" w:val="clear"/>
          <w:lang w:eastAsia="x-none"/>
        </w:rPr>
        <w:t xml:space="preserve"> </w:t>
      </w:r>
      <w:r>
        <w:rPr>
          <w:rFonts w:eastAsia="Calibri"/>
          <w:sz w:val="24"/>
          <w:szCs w:val="24"/>
          <w:lang w:eastAsia="x-none"/>
        </w:rPr>
        <w:t xml:space="preserve">Поставка материалов для нужд Филиала ПАО «РусГидро»- «Карачаево-Черкесский филиал» </w:t>
      </w:r>
    </w:p>
    <w:p>
      <w:pPr>
        <w:pStyle w:val="Heading4"/>
        <w:numPr>
          <w:ilvl w:val="1"/>
          <w:numId w:val="3"/>
        </w:numPr>
        <w:spacing w:before="240" w:after="60"/>
        <w:ind w:left="431" w:hanging="431"/>
        <w:rPr/>
      </w:pPr>
      <w:bookmarkStart w:id="6" w:name="_Toc75446569"/>
      <w:bookmarkStart w:id="7" w:name="_Toc46743507"/>
      <w:r>
        <w:rPr/>
        <w:t xml:space="preserve">Цель </w:t>
      </w:r>
      <w:bookmarkEnd w:id="7"/>
      <w:r>
        <w:rPr>
          <w:lang w:val="ru-RU"/>
        </w:rPr>
        <w:t xml:space="preserve">использования закупаемого </w:t>
      </w:r>
      <w:bookmarkEnd w:id="6"/>
      <w:r>
        <w:rPr>
          <w:lang w:val="ru-RU"/>
        </w:rPr>
        <w:t>Товара</w:t>
      </w:r>
    </w:p>
    <w:p>
      <w:pPr>
        <w:pStyle w:val="Normal"/>
        <w:ind w:firstLine="567"/>
        <w:jc w:val="both"/>
        <w:rPr/>
      </w:pPr>
      <w:r>
        <w:rPr>
          <w:rStyle w:val="Style8"/>
          <w:b w:val="false"/>
          <w:bCs/>
          <w:i w:val="false"/>
          <w:sz w:val="24"/>
          <w:szCs w:val="24"/>
          <w:shd w:fill="auto" w:val="clear"/>
        </w:rPr>
        <w:t>Закупка осуществляется с целю обеспечения надлежащих условий размещения персонала в защитных сооружениях.</w:t>
      </w:r>
    </w:p>
    <w:p>
      <w:pPr>
        <w:pStyle w:val="Heading4"/>
        <w:numPr>
          <w:ilvl w:val="1"/>
          <w:numId w:val="3"/>
        </w:numPr>
        <w:rPr/>
      </w:pPr>
      <w:bookmarkStart w:id="8" w:name="_Toc75446570"/>
      <w:bookmarkStart w:id="9" w:name="_Toc46743508"/>
      <w:r>
        <w:rPr/>
        <w:t>Существующее положение</w:t>
      </w:r>
      <w:bookmarkEnd w:id="9"/>
      <w:r>
        <w:rPr>
          <w:lang w:val="ru-RU"/>
        </w:rPr>
        <w:t xml:space="preserve"> </w:t>
      </w:r>
      <w:bookmarkEnd w:id="8"/>
    </w:p>
    <w:p>
      <w:pPr>
        <w:pStyle w:val="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1.4.1. Зеленчукская ГЭС - ГАЭС – деривационная гидроэлектростанция, расположена около поселка Правокубанский и аула Сары-Тюз Карачаевского района Карачаево-Черкесской Республики, в 42 км южнее г. Черкесска.</w:t>
      </w:r>
    </w:p>
    <w:p>
      <w:pPr>
        <w:pStyle w:val="BodyTextIndent"/>
        <w:ind w:left="0" w:firstLine="567"/>
        <w:jc w:val="both"/>
        <w:rPr/>
      </w:pPr>
      <w:r>
        <w:rPr>
          <w:rStyle w:val="Style8"/>
          <w:b w:val="false"/>
          <w:i w:val="false"/>
          <w:shd w:fill="auto" w:val="clear"/>
        </w:rPr>
        <w:t xml:space="preserve">1.4.2. </w:t>
      </w:r>
      <w:r>
        <w:rPr>
          <w:rStyle w:val="Style8"/>
          <w:b w:val="false"/>
          <w:bCs/>
          <w:i w:val="false"/>
          <w:shd w:fill="auto" w:val="clear"/>
        </w:rPr>
        <w:t>Техническая схема Зеленчукской ГЭС- ГАЭС построена на объединении части стока рек Большой и Малый Зеленчуки и переброске объединенного стока в р. Кубань. Забор воды осуществляется из водохранилищ трех однотипных водозаборных гидроузлов, расположенных последовательно на реках Большой Зеленчук, Маруха и Аксаут. По деривационным сооружениям вода из водозаборных гидроузлов поступает в бассейн суточного регулирования (БСР) и из бассейна по напорным трубопроводам и туннелям подается на гидроагрегаты в здание ГЭС-ГАЭС, расположенное вблизи русла р. Кубань. Общая площадь гидротехнического комплекса Зеленчукской ГЭС-ГАЭС по проекту составляет 957 га (согласно актам отвода земельных участков). Комплекс предназначен для энергетических целей.</w:t>
      </w:r>
    </w:p>
    <w:p>
      <w:pPr>
        <w:pStyle w:val="BodyTextIndent"/>
        <w:ind w:left="0" w:firstLine="567"/>
        <w:jc w:val="both"/>
        <w:rPr/>
      </w:pPr>
      <w:r>
        <w:rPr>
          <w:rStyle w:val="Style8"/>
          <w:b w:val="false"/>
          <w:bCs/>
          <w:i w:val="false"/>
          <w:shd w:fill="auto" w:val="clear"/>
        </w:rPr>
        <w:t xml:space="preserve">1.4.3. Площадки существующих сооружений Зеленчукской ГЭС-ГАЭС расположены на высотах 740-1012 м между метеостанциями г. Карачаевск (высота 861 м) и г. Черкесск (высота 525 м).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Сейсмичность площадки демонтажа здания – 8 баллов (карта общего сейсмического районирования ОСР-2015).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Климатические условия в месте расположения Зеленчукской ГЭС-ГАЭС: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а) Температура воздуха в районе строительства: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максимальная, º С                           </w:t>
        <w:tab/>
        <w:tab/>
        <w:tab/>
        <w:tab/>
        <w:t>+38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минимальная, º С                                            </w:t>
        <w:tab/>
        <w:t xml:space="preserve">            </w:t>
        <w:tab/>
        <w:t>- 31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- среднегодовая º С                                                                         +8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Относительная влажность, % 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среднемесячная максимальная,               </w:t>
        <w:tab/>
        <w:tab/>
        <w:tab/>
        <w:t xml:space="preserve"> </w:t>
        <w:tab/>
        <w:t xml:space="preserve"> 73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среднемесячная минимальная,                </w:t>
        <w:tab/>
        <w:tab/>
        <w:t xml:space="preserve">          </w:t>
        <w:tab/>
        <w:t xml:space="preserve"> </w:t>
        <w:tab/>
        <w:t xml:space="preserve"> 66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в) Среднегодовая скорость ветра, м/с                                </w:t>
        <w:tab/>
        <w:tab/>
        <w:t xml:space="preserve"> 3,1</w:t>
      </w:r>
    </w:p>
    <w:p>
      <w:pPr>
        <w:pStyle w:val="Style37"/>
        <w:tabs>
          <w:tab w:val="clear" w:pos="708"/>
          <w:tab w:val="left" w:pos="6270" w:leader="none"/>
        </w:tabs>
        <w:spacing w:before="0" w:after="0"/>
        <w:ind w:firstLine="567"/>
        <w:jc w:val="both"/>
        <w:rPr/>
      </w:pPr>
      <w:r>
        <w:rPr/>
        <w:t>Согласно СП 131.13330.2020 «Строительная климатология» (с Изменением №1)</w:t>
      </w:r>
      <w:r>
        <w:rPr>
          <w:rStyle w:val="Hyperlink"/>
          <w:color w:val="BF2F1C"/>
        </w:rPr>
        <w:t xml:space="preserve"> </w:t>
      </w:r>
      <w:r>
        <w:rPr/>
        <w:t>актуализированная редакция СНиП 23-01-99* , район реконструкции сооружений Зеленчукской ГЭС-ГАЭС  характеризуется следующими климатическими характеристиками:</w:t>
      </w:r>
    </w:p>
    <w:p>
      <w:pPr>
        <w:pStyle w:val="Style37"/>
        <w:tabs>
          <w:tab w:val="clear" w:pos="708"/>
          <w:tab w:val="left" w:pos="6270" w:leader="none"/>
        </w:tabs>
        <w:spacing w:before="0" w:after="0"/>
        <w:ind w:hanging="0"/>
        <w:rPr/>
      </w:pPr>
      <w:r>
        <w:rPr/>
        <w:t xml:space="preserve">- климатический район строительства – </w:t>
      </w:r>
      <w:r>
        <w:rPr>
          <w:lang w:val="en-US"/>
        </w:rPr>
        <w:t>III</w:t>
      </w:r>
      <w:r>
        <w:rPr/>
        <w:t xml:space="preserve"> - климатический подрайон строительства – </w:t>
      </w:r>
      <w:r>
        <w:rPr>
          <w:lang w:val="en-US"/>
        </w:rPr>
        <w:t>III</w:t>
      </w:r>
      <w:r>
        <w:rPr/>
        <w:t xml:space="preserve"> Б;</w:t>
      </w:r>
    </w:p>
    <w:p>
      <w:pPr>
        <w:pStyle w:val="Style37"/>
        <w:tabs>
          <w:tab w:val="clear" w:pos="708"/>
          <w:tab w:val="left" w:pos="6270" w:leader="none"/>
        </w:tabs>
        <w:spacing w:before="0" w:after="0"/>
        <w:ind w:hanging="0"/>
        <w:rPr/>
      </w:pPr>
      <w:r>
        <w:rPr/>
        <w:t xml:space="preserve">- температура воздуха наиболее холодной пятидневки при обеспеченности 0,92 </w:t>
      </w:r>
      <w:r>
        <w:rPr>
          <w:lang w:val="en-US"/>
        </w:rPr>
        <w:t>t</w:t>
      </w:r>
      <w:r>
        <w:rPr/>
        <w:t xml:space="preserve"> </w:t>
      </w:r>
      <w:r>
        <w:rPr>
          <w:vertAlign w:val="subscript"/>
        </w:rPr>
        <w:t>н</w:t>
      </w:r>
      <w:r>
        <w:rPr/>
        <w:t>= минус 18</w:t>
      </w:r>
      <w:r>
        <w:rPr>
          <w:vertAlign w:val="superscript"/>
        </w:rPr>
        <w:t>0</w:t>
      </w:r>
      <w:r>
        <w:rPr/>
        <w:t>С;</w:t>
      </w:r>
    </w:p>
    <w:p>
      <w:pPr>
        <w:pStyle w:val="Style37"/>
        <w:tabs>
          <w:tab w:val="clear" w:pos="708"/>
          <w:tab w:val="left" w:pos="6270" w:leader="none"/>
        </w:tabs>
        <w:spacing w:before="0" w:after="0"/>
        <w:ind w:hanging="0"/>
        <w:rPr/>
      </w:pPr>
      <w:r>
        <w:rPr/>
        <w:t>- средняя температура периода со среднесуточной температурой наружного воздуха не более минус 8</w:t>
      </w:r>
      <w:r>
        <w:rPr>
          <w:vertAlign w:val="superscript"/>
        </w:rPr>
        <w:t>0</w:t>
      </w:r>
      <w:r>
        <w:rPr/>
        <w:t xml:space="preserve">С – </w:t>
      </w:r>
      <w:r>
        <w:rPr>
          <w:lang w:val="en-US"/>
        </w:rPr>
        <w:t>t</w:t>
      </w:r>
      <w:r>
        <w:rPr>
          <w:vertAlign w:val="subscript"/>
        </w:rPr>
        <w:t xml:space="preserve">ср </w:t>
      </w:r>
      <w:r>
        <w:rPr/>
        <w:t>= минус 0,6</w:t>
      </w:r>
      <w:r>
        <w:rPr>
          <w:vertAlign w:val="superscript"/>
        </w:rPr>
        <w:t>0</w:t>
      </w:r>
      <w:r>
        <w:rPr/>
        <w:t>С;</w:t>
      </w:r>
    </w:p>
    <w:p>
      <w:pPr>
        <w:pStyle w:val="BodyTextIndent"/>
        <w:ind w:left="0" w:hanging="0"/>
        <w:jc w:val="both"/>
        <w:rPr/>
      </w:pPr>
      <w:r>
        <w:rPr>
          <w:rStyle w:val="Style8"/>
          <w:b w:val="false"/>
          <w:bCs/>
          <w:i w:val="false"/>
          <w:shd w:fill="auto" w:val="clear"/>
        </w:rPr>
        <w:t xml:space="preserve">- по расчетному значению веса снегового покрова для </w:t>
      </w:r>
      <w:r>
        <w:rPr>
          <w:rStyle w:val="Style8"/>
          <w:b w:val="false"/>
          <w:bCs/>
          <w:i w:val="false"/>
          <w:shd w:fill="auto" w:val="clear"/>
          <w:lang w:val="en-US"/>
        </w:rPr>
        <w:t>II</w:t>
      </w:r>
      <w:r>
        <w:rPr>
          <w:rStyle w:val="Style8"/>
          <w:b w:val="false"/>
          <w:bCs/>
          <w:i w:val="false"/>
          <w:shd w:fill="auto" w:val="clear"/>
        </w:rPr>
        <w:t xml:space="preserve"> района по СП 20.13330.2016 (с изменением №4), актуализированная редакция СНиП 2.01.07-85* «Нагрузки и воздействия»- кПа=120кгс/м</w:t>
      </w:r>
      <w:r>
        <w:rPr>
          <w:rStyle w:val="Style8"/>
          <w:b w:val="false"/>
          <w:bCs/>
          <w:i w:val="false"/>
          <w:shd w:fill="auto" w:val="clear"/>
          <w:vertAlign w:val="superscript"/>
        </w:rPr>
        <w:t>2.</w:t>
      </w:r>
    </w:p>
    <w:p>
      <w:pPr>
        <w:pStyle w:val="Heading4"/>
        <w:numPr>
          <w:ilvl w:val="1"/>
          <w:numId w:val="3"/>
        </w:numPr>
        <w:rPr/>
      </w:pPr>
      <w:bookmarkStart w:id="10" w:name="_Toc75446571"/>
      <w:bookmarkStart w:id="11" w:name="_Hlk49857604"/>
      <w:bookmarkStart w:id="12" w:name="_Toc46743509"/>
      <w:r>
        <w:rPr/>
        <w:t xml:space="preserve">Информация в отношении исполнения договора, </w:t>
      </w:r>
      <w:bookmarkStart w:id="13" w:name="_Hlk46492347"/>
      <w:r>
        <w:rPr/>
        <w:t xml:space="preserve">которая должна быть учтена при подготовке заявки </w:t>
      </w:r>
      <w:bookmarkEnd w:id="13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11"/>
      <w:bookmarkEnd w:id="12"/>
      <w:r>
        <w:rPr>
          <w:lang w:val="ru-RU"/>
        </w:rPr>
        <w:t xml:space="preserve"> </w:t>
      </w:r>
      <w:bookmarkEnd w:id="10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ind w:firstLine="567"/>
        <w:jc w:val="both"/>
        <w:rPr/>
      </w:pPr>
      <w:r>
        <w:rPr>
          <w:rStyle w:val="Style8"/>
          <w:b w:val="false"/>
          <w:i w:val="false"/>
          <w:sz w:val="24"/>
          <w:szCs w:val="24"/>
          <w:shd w:fill="FFFFFF" w:val="clear"/>
        </w:rPr>
        <w:t>1.5.1. При необходимости, Поставщику предоставляется возможность работы с технической документацией (по заявке) в архиве Зеленчукской ГЭС-ГАЭС (если запрашиваемая</w:t>
      </w:r>
      <w:r>
        <w:rPr>
          <w:rStyle w:val="Style8"/>
          <w:b w:val="false"/>
          <w:iCs/>
          <w:sz w:val="24"/>
          <w:szCs w:val="24"/>
          <w:shd w:fill="FFFFFF" w:val="clear"/>
        </w:rPr>
        <w:t xml:space="preserve"> </w:t>
      </w:r>
      <w:r>
        <w:rPr>
          <w:rStyle w:val="Style8"/>
          <w:b w:val="false"/>
          <w:i w:val="false"/>
          <w:sz w:val="24"/>
          <w:szCs w:val="24"/>
          <w:shd w:fill="FFFFFF" w:val="clear"/>
        </w:rPr>
        <w:t>документация не является ДСП).</w:t>
      </w:r>
    </w:p>
    <w:p>
      <w:pPr>
        <w:pStyle w:val="Heading4"/>
        <w:numPr>
          <w:ilvl w:val="1"/>
          <w:numId w:val="3"/>
        </w:numPr>
        <w:rPr/>
      </w:pPr>
      <w:bookmarkStart w:id="14" w:name="_Toc75446572"/>
      <w:bookmarkStart w:id="15" w:name="_Toc50125126"/>
      <w:bookmarkStart w:id="16" w:name="_Hlk48209761_Копия_1"/>
      <w:bookmarkStart w:id="17" w:name="_Toc46743510"/>
      <w:bookmarkEnd w:id="15"/>
      <w:bookmarkEnd w:id="16"/>
      <w:bookmarkEnd w:id="17"/>
      <w:r>
        <w:rPr/>
        <w:t>Иные требования и сведения общего характера</w:t>
      </w:r>
      <w:r>
        <w:rPr>
          <w:lang w:val="ru-RU"/>
        </w:rPr>
        <w:t xml:space="preserve"> </w:t>
      </w:r>
      <w:bookmarkEnd w:id="14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ind w:firstLine="567"/>
        <w:jc w:val="both"/>
        <w:rPr/>
      </w:pPr>
      <w:r>
        <w:rPr>
          <w:rStyle w:val="Style8"/>
          <w:b w:val="false"/>
          <w:bCs/>
          <w:i w:val="false"/>
          <w:sz w:val="24"/>
          <w:szCs w:val="24"/>
          <w:shd w:fill="FFFFFF" w:val="clear"/>
        </w:rPr>
        <w:t xml:space="preserve">1.6.1. </w:t>
      </w:r>
      <w:r>
        <w:rPr>
          <w:rStyle w:val="Style8"/>
          <w:b w:val="false"/>
          <w:bCs/>
          <w:i w:val="false"/>
          <w:sz w:val="24"/>
          <w:szCs w:val="24"/>
          <w:shd w:fill="auto" w:val="clear"/>
        </w:rPr>
        <w:t>Выполняются следующие услуги: поставка Товара и разгрузка в указанном Заказчиком месте (на территории Филиала).</w:t>
      </w:r>
      <w:r>
        <w:rPr>
          <w:rStyle w:val="Style8"/>
          <w:b w:val="false"/>
          <w:bCs/>
          <w:i w:val="false"/>
          <w:sz w:val="24"/>
          <w:szCs w:val="24"/>
          <w:shd w:fill="FFFFFF" w:val="clear"/>
        </w:rPr>
        <w:t xml:space="preserve"> </w:t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18" w:name="_Toc75446573"/>
      <w:bookmarkStart w:id="19" w:name="_Toc51339693"/>
      <w:r>
        <w:rPr>
          <w:iCs/>
        </w:rPr>
        <w:t xml:space="preserve">Требования к </w:t>
      </w:r>
      <w:bookmarkEnd w:id="18"/>
      <w:bookmarkEnd w:id="19"/>
      <w:r>
        <w:rPr>
          <w:iCs/>
          <w:lang w:val="en-US"/>
        </w:rPr>
        <w:t>Товару</w:t>
      </w:r>
    </w:p>
    <w:p>
      <w:pPr>
        <w:pStyle w:val="Heading4"/>
        <w:numPr>
          <w:ilvl w:val="1"/>
          <w:numId w:val="3"/>
        </w:numPr>
        <w:rPr/>
      </w:pPr>
      <w:bookmarkStart w:id="20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20"/>
    </w:p>
    <w:p>
      <w:pPr>
        <w:pStyle w:val="Heading3"/>
        <w:numPr>
          <w:ilvl w:val="2"/>
          <w:numId w:val="3"/>
        </w:numPr>
        <w:rPr/>
      </w:pPr>
      <w:bookmarkStart w:id="21" w:name="_Toc75446575"/>
      <w:r>
        <w:rPr>
          <w:lang w:val="ru-RU"/>
        </w:rPr>
        <w:t xml:space="preserve">Перечень и объем закупаемого </w:t>
      </w:r>
      <w:bookmarkEnd w:id="21"/>
      <w:r>
        <w:rPr>
          <w:lang w:val="en-US"/>
        </w:rPr>
        <w:t>Товара</w:t>
      </w:r>
    </w:p>
    <w:p>
      <w:pPr>
        <w:pStyle w:val="Heading1"/>
        <w:keepLines/>
        <w:tabs>
          <w:tab w:val="clear" w:pos="0"/>
        </w:tabs>
        <w:spacing w:before="240" w:after="60"/>
        <w:ind w:left="0" w:hanging="0"/>
        <w:jc w:val="right"/>
        <w:rPr>
          <w:sz w:val="24"/>
          <w:szCs w:val="24"/>
        </w:rPr>
      </w:pPr>
      <w:bookmarkStart w:id="22" w:name="_Toc75446576"/>
      <w:bookmarkStart w:id="23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3"/>
      <w:r>
        <w:rPr>
          <w:sz w:val="24"/>
          <w:szCs w:val="24"/>
          <w:lang w:val="ru-RU"/>
        </w:rPr>
        <w:t xml:space="preserve">и объем закупаемого </w:t>
      </w:r>
      <w:bookmarkEnd w:id="22"/>
      <w:r>
        <w:rPr>
          <w:sz w:val="24"/>
          <w:szCs w:val="24"/>
          <w:lang w:val="ru-RU"/>
        </w:rPr>
        <w:t>Товара</w:t>
      </w:r>
    </w:p>
    <w:tbl>
      <w:tblPr>
        <w:tblW w:w="981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35"/>
        <w:gridCol w:w="6142"/>
        <w:gridCol w:w="1425"/>
        <w:gridCol w:w="1409"/>
      </w:tblGrid>
      <w:tr>
        <w:trPr/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Аварийная лампа с двумя аккумуляторами.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Лампа керосиновая, резервуар 0.2 л, металл, 24.5х12 см.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Воздухонагреватель электрический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Биг-Бэг МКР 95x95x180 см 160г/м2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Инверторный бензогенератор 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Печь отопительная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Биотуалет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Лавочка садовая складная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садовый складной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Резиновый коврик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Лопата снеговая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Лопата совковая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Ведро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Лом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Дверь металлическая (техническая, противопожарная)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1"/>
        <w:keepLines/>
        <w:tabs>
          <w:tab w:val="clear" w:pos="0"/>
        </w:tabs>
        <w:spacing w:before="240" w:after="60"/>
        <w:ind w:left="0" w:hanging="0"/>
        <w:jc w:val="right"/>
        <w:rPr>
          <w:bCs/>
          <w:i/>
          <w:i/>
          <w:sz w:val="24"/>
          <w:szCs w:val="24"/>
          <w:shd w:fill="FFFF99" w:val="clear"/>
        </w:rPr>
      </w:pPr>
      <w:bookmarkStart w:id="24" w:name="_Toc7544657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1.2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и объем закупаемых сопутствующих услуг</w:t>
      </w:r>
      <w:bookmarkEnd w:id="24"/>
    </w:p>
    <w:tbl>
      <w:tblPr>
        <w:tblW w:w="981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48"/>
        <w:gridCol w:w="4849"/>
        <w:gridCol w:w="1996"/>
        <w:gridCol w:w="2116"/>
      </w:tblGrid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Доставка ТМЦ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>Усл.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25" w:name="_Toc75446578"/>
      <w:bookmarkStart w:id="26" w:name="_Toc51339696"/>
      <w:r>
        <w:rPr>
          <w:lang w:val="ru-RU"/>
        </w:rPr>
        <w:t xml:space="preserve">Требования </w:t>
      </w:r>
      <w:bookmarkEnd w:id="26"/>
      <w:r>
        <w:rPr>
          <w:lang w:val="ru-RU"/>
        </w:rPr>
        <w:t>к срокам поставки Товара и оказанию сопутствующих услуг</w:t>
      </w:r>
      <w:bookmarkEnd w:id="25"/>
    </w:p>
    <w:p>
      <w:pPr>
        <w:pStyle w:val="Heading1"/>
        <w:keepLines/>
        <w:tabs>
          <w:tab w:val="clear" w:pos="0"/>
        </w:tabs>
        <w:spacing w:before="240" w:after="60"/>
        <w:ind w:left="0" w:hanging="0"/>
        <w:jc w:val="right"/>
        <w:rPr>
          <w:sz w:val="24"/>
          <w:szCs w:val="24"/>
          <w:lang w:val="ru-RU"/>
        </w:rPr>
      </w:pPr>
      <w:bookmarkStart w:id="27" w:name="_Toc75446579"/>
      <w:bookmarkStart w:id="28" w:name="_Toc51339697"/>
      <w:bookmarkStart w:id="29" w:name="_Toc50125127"/>
      <w:bookmarkStart w:id="30" w:name="_Toc50125126_Копия_1"/>
      <w:bookmarkEnd w:id="30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31" w:name="_Hlk50465284"/>
      <w:r>
        <w:rPr>
          <w:sz w:val="24"/>
          <w:szCs w:val="24"/>
        </w:rPr>
        <w:t xml:space="preserve">Требования по срокам </w:t>
      </w:r>
      <w:bookmarkEnd w:id="28"/>
      <w:bookmarkEnd w:id="29"/>
      <w:bookmarkEnd w:id="31"/>
      <w:r>
        <w:rPr>
          <w:sz w:val="24"/>
          <w:szCs w:val="24"/>
          <w:lang w:val="ru-RU"/>
        </w:rPr>
        <w:t xml:space="preserve">поставки </w:t>
      </w:r>
      <w:bookmarkEnd w:id="27"/>
      <w:r>
        <w:rPr>
          <w:sz w:val="24"/>
          <w:szCs w:val="24"/>
          <w:lang w:val="ru-RU"/>
        </w:rPr>
        <w:t>Товара</w:t>
      </w:r>
    </w:p>
    <w:tbl>
      <w:tblPr>
        <w:tblW w:w="100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46"/>
        <w:gridCol w:w="4111"/>
        <w:gridCol w:w="2561"/>
        <w:gridCol w:w="2520"/>
      </w:tblGrid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  <w:lang w:val="en-US"/>
              </w:rPr>
              <w:t>Товара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Товара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Товара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/>
            </w:pPr>
            <w:r>
              <w:rP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rStyle w:val="Style8"/>
                <w:b w:val="false"/>
                <w:bCs/>
                <w:i w:val="false"/>
                <w:color w:val="000000"/>
                <w:sz w:val="24"/>
                <w:szCs w:val="24"/>
                <w:shd w:fill="auto" w:val="clear"/>
                <w:lang w:val="en-US"/>
              </w:rPr>
              <w:t>ТМЦ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с даты заключения договора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30</w:t>
            </w:r>
            <w:r>
              <w:rPr>
                <w:sz w:val="24"/>
                <w:szCs w:val="24"/>
              </w:rPr>
              <w:t>.11.2026</w:t>
            </w:r>
          </w:p>
        </w:tc>
      </w:tr>
    </w:tbl>
    <w:p>
      <w:pPr>
        <w:pStyle w:val="Heading1"/>
        <w:tabs>
          <w:tab w:val="clear" w:pos="0"/>
        </w:tabs>
        <w:ind w:left="0" w:hanging="0"/>
        <w:rPr>
          <w:sz w:val="24"/>
          <w:szCs w:val="24"/>
        </w:rPr>
      </w:pPr>
      <w:r>
        <w:rPr>
          <w:sz w:val="24"/>
          <w:szCs w:val="24"/>
        </w:rPr>
      </w:r>
      <w:bookmarkStart w:id="32" w:name="_Toc46743510_Копия_1"/>
      <w:bookmarkStart w:id="33" w:name="_Toc46743510_Копия_1"/>
      <w:bookmarkEnd w:id="33"/>
    </w:p>
    <w:p>
      <w:pPr>
        <w:pStyle w:val="Heading1"/>
        <w:tabs>
          <w:tab w:val="clear" w:pos="0"/>
        </w:tabs>
        <w:ind w:left="0" w:hanging="0"/>
        <w:jc w:val="right"/>
        <w:rPr>
          <w:bCs/>
          <w:i/>
          <w:i/>
          <w:iCs/>
          <w:sz w:val="24"/>
          <w:szCs w:val="24"/>
          <w:shd w:fill="FFFF99" w:val="clear"/>
        </w:rPr>
      </w:pPr>
      <w:bookmarkStart w:id="34" w:name="_Toc75446580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 Требования по срокам </w:t>
      </w:r>
      <w:r>
        <w:rPr>
          <w:sz w:val="24"/>
          <w:szCs w:val="24"/>
          <w:lang w:val="ru-RU"/>
        </w:rPr>
        <w:t xml:space="preserve">оказания </w:t>
      </w:r>
      <w:r>
        <w:rPr>
          <w:sz w:val="24"/>
          <w:szCs w:val="24"/>
        </w:rPr>
        <w:t>сопутствующих услуг</w:t>
      </w:r>
      <w:bookmarkEnd w:id="34"/>
    </w:p>
    <w:tbl>
      <w:tblPr>
        <w:tblW w:w="991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1113"/>
        <w:gridCol w:w="3120"/>
        <w:gridCol w:w="1887"/>
        <w:gridCol w:w="2131"/>
        <w:gridCol w:w="1667"/>
      </w:tblGrid>
      <w:tr>
        <w:trPr/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>
        <w:trPr/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Доставка ТМЦ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30.11.2026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</w:tbl>
    <w:p>
      <w:pPr>
        <w:sectPr>
          <w:headerReference w:type="default" r:id="rId2"/>
          <w:headerReference w:type="first" r:id="rId3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35" w:name="_Toc51339698"/>
      <w:bookmarkStart w:id="36" w:name="_Toc75446581"/>
      <w:bookmarkStart w:id="37" w:name="_Toc46743511"/>
      <w:r>
        <w:rPr/>
        <w:t xml:space="preserve">Требования к </w:t>
      </w:r>
      <w:bookmarkEnd w:id="37"/>
      <w:r>
        <w:rPr>
          <w:lang w:val="ru-RU"/>
        </w:rPr>
        <w:t xml:space="preserve">качеству </w:t>
      </w:r>
      <w:bookmarkEnd w:id="36"/>
      <w:r>
        <w:rPr>
          <w:lang w:val="en-US"/>
        </w:rPr>
        <w:t>Товара</w:t>
      </w:r>
    </w:p>
    <w:p>
      <w:pPr>
        <w:pStyle w:val="Heading1"/>
        <w:keepLines/>
        <w:tabs>
          <w:tab w:val="clear" w:pos="0"/>
        </w:tabs>
        <w:spacing w:before="240" w:after="60"/>
        <w:ind w:left="0" w:hanging="0"/>
        <w:jc w:val="right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 </w:t>
      </w:r>
      <w:bookmarkStart w:id="38" w:name="_Toc7544658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bookmarkEnd w:id="35"/>
      <w:bookmarkEnd w:id="38"/>
      <w:r>
        <w:rPr>
          <w:sz w:val="24"/>
          <w:szCs w:val="24"/>
          <w:lang w:val="en-US"/>
        </w:rPr>
        <w:t>Товару</w:t>
      </w:r>
    </w:p>
    <w:p>
      <w:pPr>
        <w:pStyle w:val="Normal"/>
        <w:rPr/>
      </w:pPr>
      <w:r>
        <w:rPr/>
      </w:r>
    </w:p>
    <w:p>
      <w:pPr>
        <w:pStyle w:val="Normal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Наименование продукции (позиция №1 Таблицы 1.1): ТМЦ для оборудования защитных сооружений</w:t>
      </w:r>
      <w:r>
        <w:rPr>
          <w:b/>
          <w:bCs/>
          <w:i/>
          <w:color w:val="111111"/>
          <w:sz w:val="26"/>
          <w:szCs w:val="22"/>
        </w:rPr>
        <w:t xml:space="preserve"> </w:t>
      </w:r>
    </w:p>
    <w:tbl>
      <w:tblPr>
        <w:tblW w:w="1531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51"/>
        <w:gridCol w:w="1982"/>
        <w:gridCol w:w="5244"/>
        <w:gridCol w:w="2273"/>
        <w:gridCol w:w="2550"/>
        <w:gridCol w:w="2408"/>
        <w:gridCol w:w="7"/>
      </w:tblGrid>
      <w:tr>
        <w:trPr/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5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8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2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Аварийная лампа с двумя аккумуляторами.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Лампа керосиновая, резервуар 0.2 л, металл, 24.5х12 см.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Воздухонагреватель электрический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/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Биг-Бэг МКР 95x95x180 см 160г/м2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/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Инверторный бензогенератор 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/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Печь отопительная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/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Биотуалет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/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Лавочка садовая складная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/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садовый складной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/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Резиновый коврик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/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Лопата снеговая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/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Лопата совковая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/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Ведро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/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Лом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/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Дверь металлическая (техническая, противопожарная)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/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>Область применения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Служит для создания должных бытовых условий для персонала в защитных сооружениях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 услуги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1"/>
              <w:widowControl w:val="false"/>
              <w:tabs>
                <w:tab w:val="clear" w:pos="708"/>
                <w:tab w:val="left" w:pos="302" w:leader="none"/>
              </w:tabs>
              <w:rPr/>
            </w:pPr>
            <w:r>
              <w:rPr/>
              <w:t>Защита персонала от поражающих факторов БПЛА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>Требования к продукции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Аварийная лампа с двумя аккумуляторами.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uk-UA" w:eastAsia="en-US"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4"/>
                <w:szCs w:val="24"/>
                <w:lang w:val="uk-UA" w:eastAsia="en-US" w:bidi="ar-SA"/>
              </w:rPr>
              <w:t>- Цоколь — Е27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uk-UA" w:eastAsia="en-US"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4"/>
                <w:szCs w:val="24"/>
                <w:lang w:val="uk-UA" w:eastAsia="en-US" w:bidi="ar-SA"/>
              </w:rPr>
              <w:t>- Тип- Лампочка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uk-UA" w:eastAsia="en-US"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4"/>
                <w:szCs w:val="24"/>
                <w:lang w:val="uk-UA" w:eastAsia="en-US" w:bidi="ar-SA"/>
              </w:rPr>
              <w:t>- Технология - Светодиодная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uk-UA" w:eastAsia="en-US"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4"/>
                <w:szCs w:val="24"/>
                <w:lang w:val="uk-UA" w:eastAsia="en-US" w:bidi="ar-SA"/>
              </w:rPr>
              <w:t>- Мощность, Вт - 20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uk-UA" w:eastAsia="en-US"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4"/>
                <w:szCs w:val="24"/>
                <w:lang w:val="uk-UA" w:eastAsia="en-US" w:bidi="ar-SA"/>
              </w:rPr>
              <w:t>- Напряжение питания, В - 185-265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uk-UA" w:eastAsia="en-US"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4"/>
                <w:szCs w:val="24"/>
                <w:lang w:val="uk-UA" w:eastAsia="en-US" w:bidi="ar-SA"/>
              </w:rPr>
              <w:t>- Номинальное (входное) напряжение — 185-265В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Calibri" w:cs="Times New Roman"/>
                <w:color w:val="auto"/>
                <w:kern w:val="0"/>
                <w:sz w:val="24"/>
                <w:szCs w:val="24"/>
                <w:lang w:val="uk-UA" w:eastAsia="en-US" w:bidi="ar-SA"/>
              </w:rPr>
              <w:t xml:space="preserve">- </w:t>
            </w:r>
            <w:r>
              <w:rPr>
                <w:rFonts w:eastAsia="Calibri" w:cs="Times New Roman" w:ascii="Ozon-Sans-VF;arial;sans-serif" w:hAnsi="Ozon-Sans-VF;arial;sans-serif"/>
                <w:b w:val="false"/>
                <w:i w:val="false"/>
                <w:caps w:val="false"/>
                <w:smallCaps w:val="false"/>
                <w:color w:val="001A34"/>
                <w:spacing w:val="0"/>
                <w:kern w:val="0"/>
                <w:sz w:val="21"/>
                <w:szCs w:val="24"/>
                <w:lang w:val="uk-UA" w:eastAsia="en-US" w:bidi="ar-SA"/>
              </w:rPr>
              <w:t>аккумулятор 18650 — 2 шт.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к продукции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Лампа керосиновая, резервуар 0.2 л, металл, 24.5х12 см.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Характеристики: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Материал: металл, стекло.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Размер: 24.5х12 см.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Объем резервуара: 0.2 л.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Фитиль в комплекте.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Длина фитиля: ~15 см.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Ширина фитиля: 1 см.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Лампа без топлива в комплекте.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Дополнительная информация: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Лампа оснащена рычагом, с помощью которого можно удобно регулировать фитиль.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Воздухонагреватель электрический</w:t>
            </w:r>
          </w:p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характеристики R</w:t>
            </w:r>
          </w:p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Напряжение 220(230) В</w:t>
            </w:r>
          </w:p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Потребляемая мощность вентилятора 25/1000/2000 Вт</w:t>
            </w:r>
          </w:p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Мощность при обогреве 2 кВт</w:t>
            </w:r>
          </w:p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 площадь обогрева 30 м²</w:t>
            </w:r>
          </w:p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 воздуха 120 м³/ч</w:t>
            </w:r>
          </w:p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Нагревательный элемент керамический</w:t>
            </w:r>
          </w:p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Термостат есть</w:t>
            </w:r>
          </w:p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сетевой вилки Schuko (тип F)</w:t>
            </w:r>
          </w:p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Температура эксплуатации от -10 до +30 °С</w:t>
            </w:r>
          </w:p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 защиты IP20</w:t>
            </w:r>
          </w:p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 электробезопасности I</w:t>
            </w:r>
          </w:p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цилиндрическая</w:t>
            </w:r>
          </w:p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 ток 9.09 А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Биг-Бэг МКР 95x95x180 см 160г/м2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ВерхСборка</w:t>
            </w:r>
          </w:p>
          <w:p>
            <w:pPr>
              <w:pStyle w:val="Normal"/>
              <w:widowControl w:val="false"/>
              <w:spacing w:before="0" w:after="0"/>
              <w:ind w:left="0" w:right="0" w:hanging="0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НизЛюк</w:t>
            </w:r>
          </w:p>
          <w:p>
            <w:pPr>
              <w:pStyle w:val="Normal"/>
              <w:widowControl w:val="false"/>
              <w:spacing w:before="0" w:after="0"/>
              <w:ind w:left="0" w:right="0" w:hanging="0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Плотность биг-бэга, г/м2160</w:t>
            </w:r>
          </w:p>
          <w:p>
            <w:pPr>
              <w:pStyle w:val="Normal"/>
              <w:widowControl w:val="false"/>
              <w:spacing w:before="0" w:after="0"/>
              <w:ind w:left="0" w:right="0" w:hanging="0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Вместимость, м³1,8</w:t>
            </w:r>
          </w:p>
          <w:p>
            <w:pPr>
              <w:pStyle w:val="Normal"/>
              <w:widowControl w:val="false"/>
              <w:spacing w:before="0" w:after="0"/>
              <w:ind w:left="0" w:right="0" w:hanging="0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Грузоподъемность, кг1200</w:t>
            </w:r>
          </w:p>
          <w:p>
            <w:pPr>
              <w:pStyle w:val="Normal"/>
              <w:widowControl w:val="false"/>
              <w:spacing w:before="0" w:after="0"/>
              <w:ind w:left="0" w:right="0" w:hanging="0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Вес биг-бэга, г2,1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Инверторный бензогенератор 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Рабочее напряжение В210..240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Исполнение Открытый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Тип стартера Ручной/электрический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Количество фаз Однофазный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Вид двигателя Четырехтактный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Объем топливного бака, л не менее 15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Уровень шума, дБ 78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Тип охлажденияВоздушное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Аккумулятор Есть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Индикатор уровня топлива Есть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Мощность на выходе, Вт 5000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Тип генератора Синхронный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Номинальный ток, А21.7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Частота тока, Гц 50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Расход топлива, л/ч не более 2.4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Степень защиты IP 23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Конструкционный тип Мобильный 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Класс товара Промышленный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Время работы, ч5.4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Инверторная технология Есть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Печь отопительная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Мощность: 5 кВт.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Отапливаемый объём: до 50 м³.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Материал корпуса: сталь марки СТ3 толщиной 3 мм.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Габариты (Ш×В×Г): 330 × 490 × 510 мм.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Масса: около 23–24 кг.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Диаметр дымохода: 115 мм.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Максимальная длина дров: 450 мм.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Гарантия: 12 месяцев.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Особенности конструкции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Дверь топки оснащена ручкой-фиксатором для безопасной эксплуатации.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Коллектор предназначен для подключения дымохода.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Заслонка (шибер) позволяет регулировать интенсивность горения.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Отсутствует варочная плита, встроенный теплообменник и шибер.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Дверца без стекла. 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Биотуалет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Габариты (Г×Ш×В): 120×110×220 см.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Вес: 75 кг.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Полезный объём накопительного бака: 250 л. Рассчитан примерно на 500 посещений.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Материал корпуса: ударопрочный полиэтилен низкого давления (ПНД) с добавлением графитовой крошки. Устойчив к УФ-излучению и перепадам температур (от -50 °C до +50 °C).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Цвет: синий или зелёный.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Особенности конструкции: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Полукруглая светопропускающая крыша для естественного освещения.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Металлический каркас лицевой панели и стальные заклёпочные петли для прочности.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Возвратная пружина двери для предотвращения её распахивания от ветра.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Антискользящий рифлёный пол.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Вытяжная труба для вентиляции.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Защёлка с индикатором занятости («свободно/занято»). 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Лавочка садовая складная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Пластиковая туристическая (180×30×43 см в разложенном виде, в сложенном — 90×30×8 см, нагрузка до 150 кг, вес 7,2 кг; материал устойчив к влаге)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Стол садовый складной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Особенности колеса, складная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столешницы прямоугольная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 каркаса металл, пластик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Длина 152 см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 45 см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 72 см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 12.2 кг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Максимальная нагрузка 60 кг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Резиновый коврик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Резиновый ячеистый коврик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длина — 1500 мм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ширина — 1000 мм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высота 16 мм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Лопата снеговая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ширина ковша — 40-50 см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материал черенка — дерево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Лопата совковая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Рабочая часть: из рельсовой стали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Черенок: деревянный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Покрытие: порошковое окрашивание, эмаль 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Ведро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Объем 12 л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Материал — сталь оцинкованная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Лом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Длина. 800–1000 мм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Масса. От 5 до 9 кг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Диаметр стержня 25–30 мм. 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Дверь металлическая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- Тип — техническая дверь противопожарная</w:t>
            </w:r>
          </w:p>
          <w:p>
            <w:pPr>
              <w:pStyle w:val="Normal"/>
              <w:widowControl w:val="false"/>
              <w:jc w:val="both"/>
              <w:rPr>
                <w:b w:val="false"/>
                <w:sz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- Размеры </w:t>
            </w:r>
            <w:r>
              <w:rPr>
                <w:rFonts w:ascii="Arial;Tahoma;Verdana;sans-serif" w:hAnsi="Arial;Tahoma;Verdana;sans-serif"/>
                <w:b w:val="false"/>
                <w:i w:val="false"/>
                <w:caps w:val="false"/>
                <w:smallCaps w:val="false"/>
                <w:color w:val="2C2D2E"/>
                <w:spacing w:val="0"/>
                <w:sz w:val="23"/>
              </w:rPr>
              <w:t>1900х800 (проем)</w:t>
            </w:r>
          </w:p>
          <w:p>
            <w:pPr>
              <w:pStyle w:val="Normal"/>
              <w:widowControl w:val="false"/>
              <w:jc w:val="both"/>
              <w:rPr>
                <w:b w:val="false"/>
                <w:sz w:val="24"/>
              </w:rPr>
            </w:pPr>
            <w:r>
              <w:rPr>
                <w:rFonts w:ascii="Arial;Tahoma;Verdana;sans-serif" w:hAnsi="Arial;Tahoma;Verdana;sans-serif"/>
                <w:b w:val="false"/>
                <w:i w:val="false"/>
                <w:caps w:val="false"/>
                <w:smallCaps w:val="false"/>
                <w:color w:val="2C2D2E"/>
                <w:spacing w:val="0"/>
                <w:sz w:val="23"/>
              </w:rPr>
              <w:t>- Замок</w:t>
            </w:r>
          </w:p>
          <w:p>
            <w:pPr>
              <w:pStyle w:val="Normal"/>
              <w:widowControl w:val="false"/>
              <w:jc w:val="both"/>
              <w:rPr>
                <w:b w:val="false"/>
                <w:sz w:val="24"/>
              </w:rPr>
            </w:pPr>
            <w:r>
              <w:rPr>
                <w:rFonts w:ascii="Arial;Tahoma;Verdana;sans-serif" w:hAnsi="Arial;Tahoma;Verdana;sans-serif"/>
                <w:b w:val="false"/>
                <w:i w:val="false"/>
                <w:caps w:val="false"/>
                <w:smallCaps w:val="false"/>
                <w:color w:val="2C2D2E"/>
                <w:spacing w:val="0"/>
                <w:sz w:val="23"/>
              </w:rPr>
              <w:t>- Толщина полотна — 1,5 — 2 мм</w:t>
            </w:r>
          </w:p>
          <w:p>
            <w:pPr>
              <w:pStyle w:val="Normal"/>
              <w:widowControl w:val="false"/>
              <w:jc w:val="both"/>
              <w:rPr>
                <w:b w:val="false"/>
                <w:sz w:val="24"/>
              </w:rPr>
            </w:pPr>
            <w:r>
              <w:rPr>
                <w:rFonts w:ascii="Arial;Tahoma;Verdana;sans-serif" w:hAnsi="Arial;Tahoma;Verdana;sans-serif"/>
                <w:b w:val="false"/>
                <w:i w:val="false"/>
                <w:caps w:val="false"/>
                <w:smallCaps w:val="false"/>
                <w:color w:val="2C2D2E"/>
                <w:spacing w:val="0"/>
                <w:sz w:val="23"/>
              </w:rPr>
              <w:t>- Навесы - слева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  <w:lang w:val="uk-UA" w:eastAsia="en-US"/>
              </w:rPr>
              <w:t>Температурный режим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  <w:lang w:val="uk-UA" w:eastAsia="en-US"/>
              </w:rPr>
              <w:t>Температурный режим эксплуатации от минус 15</w:t>
            </w:r>
            <w:r>
              <w:rPr>
                <w:rFonts w:eastAsia="Calibri"/>
                <w:sz w:val="24"/>
                <w:szCs w:val="24"/>
                <w:lang w:val="uk-UA" w:eastAsia="en-US"/>
              </w:rPr>
              <w:t>°</w:t>
            </w:r>
            <w:r>
              <w:rPr>
                <w:rFonts w:eastAsia="Calibri"/>
                <w:bCs/>
                <w:sz w:val="24"/>
                <w:szCs w:val="24"/>
                <w:lang w:val="uk-UA" w:eastAsia="en-US"/>
              </w:rPr>
              <w:t>до плюс 50</w:t>
            </w:r>
            <w:r>
              <w:rPr>
                <w:rFonts w:eastAsia="Calibri"/>
                <w:sz w:val="24"/>
                <w:szCs w:val="24"/>
                <w:lang w:val="uk-UA" w:eastAsia="en-US"/>
              </w:rPr>
              <w:t>°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  <w:lang w:val="uk-UA" w:eastAsia="en-US"/>
              </w:rPr>
              <w:t>Влажность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  <w:lang w:val="uk-UA" w:eastAsia="en-US"/>
              </w:rPr>
              <w:t>Повышенная относительная влажность: 80%</w:t>
            </w:r>
            <w:bookmarkStart w:id="39" w:name="_GoBack_Копия_1"/>
            <w:bookmarkEnd w:id="39"/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>Доставка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>Доставка</w:t>
            </w:r>
            <w:r>
              <w:rPr/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>ТМЦ</w:t>
            </w: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 до Заказчика (до территории Филиала).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>Разгрузка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32" w:leader="none"/>
                <w:tab w:val="left" w:pos="459" w:leader="none"/>
              </w:tabs>
              <w:spacing w:before="0" w:after="200"/>
              <w:ind w:left="72" w:hanging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>Разгрузка осуществляется Филиалом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>Гарантийные обязательства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0" w:hanging="0"/>
              <w:jc w:val="both"/>
              <w:rPr>
                <w:lang w:val="uk-UA" w:eastAsia="en-US"/>
              </w:rPr>
            </w:pPr>
            <w:r>
              <w:rPr>
                <w:lang w:val="uk-UA" w:eastAsia="en-US"/>
              </w:rPr>
              <w:t>Срок</w:t>
            </w:r>
            <w:r>
              <w:rPr>
                <w:lang w:eastAsia="en-US"/>
              </w:rPr>
              <w:t xml:space="preserve"> службы</w:t>
            </w:r>
            <w:r>
              <w:rPr>
                <w:lang w:val="uk-UA" w:eastAsia="en-US"/>
              </w:rPr>
              <w:t xml:space="preserve"> не менее 7 лет с даты ввода в эксплуатацию. Гарантийный срок эксплуатации не менее 12 месяцев с даты ввода в эксплуатацию.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Документы, передаваемые вместе с изделиями и СИЗ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eastAsia="Calibri"/>
                <w:sz w:val="24"/>
                <w:szCs w:val="24"/>
                <w:lang w:val="uk-UA" w:eastAsia="en-US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Все поставляемые ТМЦ должны иметь в комплекте поставки паспорта, сертификаты и инструкции производителя. 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Поставщик обязан одновременно с передачей защитных сооружений передать Покупателю относящиеся к ним документы, оформленные надлежащим образом: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сертификаты качества;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технические паспорта;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руководства по эксплуатации;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упаковочные листы, упаковочные ярлыки;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товарно-транспортную накладную формы №1-Т;</w:t>
            </w:r>
          </w:p>
          <w:p>
            <w:pPr>
              <w:pStyle w:val="Normal"/>
              <w:widowControl w:val="false"/>
              <w:jc w:val="both"/>
              <w:rPr>
                <w:rFonts w:eastAsia="Calibri"/>
                <w:sz w:val="24"/>
                <w:szCs w:val="24"/>
                <w:lang w:val="uk-UA" w:eastAsia="en-US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>- товарную накладную унифицированной формы ТОРГ-12 в 2 экз..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сопутствующим услугам: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шефмонтажу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pacing w:before="60" w:after="60"/>
              <w:ind w:left="1224" w:hanging="1199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>Требования к исполнителю работ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0" w:hanging="0"/>
              <w:jc w:val="both"/>
              <w:rPr>
                <w:lang w:val="uk-UA" w:eastAsia="en-US"/>
              </w:rPr>
            </w:pPr>
            <w:r>
              <w:rPr/>
              <w:t>Не требуется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прочим сопутствующим услугам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pacing w:before="60" w:after="60"/>
              <w:ind w:left="1224" w:hanging="1199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80" w:leader="none"/>
                <w:tab w:val="left" w:pos="1134" w:leader="none"/>
              </w:tabs>
              <w:ind w:left="0" w:hanging="0"/>
              <w:textAlignment w:val="baseline"/>
              <w:rPr>
                <w:lang w:val="uk-UA" w:eastAsia="en-US"/>
              </w:rPr>
            </w:pPr>
            <w:r>
              <w:rPr>
                <w:lang w:val="uk-UA" w:eastAsia="en-US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обязательствам Поставщика, влияющим на исполнение договора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bCs/>
                <w:iCs/>
                <w:sz w:val="24"/>
                <w:szCs w:val="24"/>
                <w:lang w:val="uk-UA" w:eastAsia="en-US"/>
              </w:rPr>
              <w:t>Общие требования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0" w:hanging="0"/>
              <w:jc w:val="both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1. </w:t>
            </w:r>
            <w:r>
              <w:rPr>
                <w:lang w:eastAsia="en-US"/>
              </w:rPr>
              <w:t>К</w:t>
            </w:r>
            <w:r>
              <w:rPr>
                <w:lang w:val="uk-UA" w:eastAsia="en-US"/>
              </w:rPr>
              <w:t>ачеств</w:t>
            </w:r>
            <w:r>
              <w:rPr>
                <w:lang w:eastAsia="en-US"/>
              </w:rPr>
              <w:t>о, количество и сроки поставки</w:t>
            </w:r>
            <w:r>
              <w:rPr>
                <w:lang w:val="uk-UA" w:eastAsia="en-US"/>
              </w:rPr>
              <w:t xml:space="preserve"> </w:t>
            </w:r>
            <w:r>
              <w:rPr>
                <w:lang w:eastAsia="en-US"/>
              </w:rPr>
              <w:t>поставляемой Продукции должно быть</w:t>
            </w:r>
            <w:r>
              <w:rPr>
                <w:lang w:val="uk-UA" w:eastAsia="en-US"/>
              </w:rPr>
              <w:t xml:space="preserve"> в полном</w:t>
            </w:r>
            <w:r>
              <w:rPr>
                <w:lang w:eastAsia="en-US"/>
              </w:rPr>
              <w:t xml:space="preserve"> соответствии с условиями договора</w:t>
            </w:r>
            <w:r>
              <w:rPr>
                <w:lang w:val="uk-UA" w:eastAsia="en-US"/>
              </w:rPr>
              <w:t>.</w:t>
            </w:r>
          </w:p>
          <w:p>
            <w:pPr>
              <w:pStyle w:val="ListParagraph"/>
              <w:widowControl w:val="false"/>
              <w:ind w:left="0" w:hanging="0"/>
              <w:jc w:val="both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2. Основные условия </w:t>
            </w:r>
            <w:r>
              <w:rPr>
                <w:lang w:eastAsia="en-US"/>
              </w:rPr>
              <w:t>поставки</w:t>
            </w:r>
            <w:r>
              <w:rPr>
                <w:lang w:val="uk-UA" w:eastAsia="en-US"/>
              </w:rPr>
              <w:t xml:space="preserve"> указаны в договоре Заказчика.</w:t>
            </w:r>
          </w:p>
          <w:p>
            <w:pPr>
              <w:pStyle w:val="ListParagraph"/>
              <w:widowControl w:val="false"/>
              <w:ind w:left="0" w:hanging="0"/>
              <w:jc w:val="both"/>
              <w:rPr>
                <w:lang w:val="uk-UA" w:eastAsia="en-US"/>
              </w:rPr>
            </w:pPr>
            <w:r>
              <w:rPr>
                <w:lang w:val="uk-UA" w:eastAsia="en-US"/>
              </w:rPr>
              <w:t>3. Допускается привлечение Подрядчиком третьих лиц для исполнения обязательств по договору.</w:t>
            </w:r>
          </w:p>
          <w:p>
            <w:pPr>
              <w:pStyle w:val="ListParagraph"/>
              <w:widowControl w:val="false"/>
              <w:ind w:left="0" w:hanging="0"/>
              <w:jc w:val="both"/>
              <w:rPr>
                <w:lang w:val="uk-UA" w:eastAsia="en-US"/>
              </w:rPr>
            </w:pPr>
            <w:r>
              <w:rPr>
                <w:lang w:val="uk-UA" w:eastAsia="en-US"/>
              </w:rPr>
              <w:t>4. Продукция должна быть изготовлена на территории РФ из материалов, изготовленных в РФ (подтверждаются сертификатами).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/>
            </w:pPr>
            <w:r>
              <w:rPr/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/>
            </w:pPr>
            <w:r>
              <w:rPr/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eastAsia="Calibri"/>
                <w:bCs/>
                <w:iCs/>
                <w:sz w:val="24"/>
                <w:szCs w:val="24"/>
                <w:lang w:val="uk-UA" w:eastAsia="en-US"/>
              </w:rPr>
            </w:pPr>
            <w:r>
              <w:rPr>
                <w:rFonts w:eastAsia="Calibri"/>
                <w:bCs/>
                <w:iCs/>
                <w:sz w:val="24"/>
                <w:szCs w:val="24"/>
                <w:lang w:val="uk-UA" w:eastAsia="en-US"/>
              </w:rPr>
              <w:t>Сведения о новизне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eastAsia="Calibri"/>
                <w:sz w:val="24"/>
                <w:szCs w:val="24"/>
                <w:lang w:val="uk-UA" w:eastAsia="en-US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>Поставляемые изделия должны быть новыми, выпуска не ранее 1 квартала 2026 г., (не бывшим в употреблении, не восстановленным, если это не оговорено требованиями технического задания), не являться выставочными образцами, свободным от прав третьих лиц.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sectPr>
          <w:headerReference w:type="default" r:id="rId4"/>
          <w:headerReference w:type="first" r:id="rId5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lang w:val="ru-RU"/>
        </w:rPr>
      </w:pPr>
      <w:bookmarkStart w:id="40" w:name="_Toc75446583"/>
      <w:bookmarkStart w:id="41" w:name="_Toc53393312"/>
      <w:r>
        <w:rPr>
          <w:lang w:val="ru-RU"/>
        </w:rPr>
        <w:t>Требования к документации по ценообразованию</w:t>
      </w:r>
      <w:bookmarkEnd w:id="41"/>
      <w:r>
        <w:rPr>
          <w:lang w:val="ru-RU"/>
        </w:rPr>
        <w:t xml:space="preserve"> на этапе закупки</w:t>
      </w:r>
      <w:bookmarkEnd w:id="40"/>
    </w:p>
    <w:p>
      <w:pPr>
        <w:pStyle w:val="Normal"/>
        <w:spacing w:lineRule="auto" w:line="240" w:before="0" w:after="120"/>
        <w:ind w:left="284" w:hanging="0"/>
        <w:contextualSpacing/>
        <w:jc w:val="both"/>
        <w:rPr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требования к документации по ценообразованию на этапе закупки.</w:t>
      </w:r>
    </w:p>
    <w:p>
      <w:pPr>
        <w:pStyle w:val="Normal"/>
        <w:spacing w:lineRule="auto" w:line="240"/>
        <w:ind w:left="284" w:hanging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ab/>
      </w:r>
      <w:bookmarkStart w:id="42" w:name="_Toc75446583_Копия_1"/>
      <w:bookmarkEnd w:id="42"/>
    </w:p>
    <w:p>
      <w:pPr>
        <w:pStyle w:val="Heading1"/>
        <w:numPr>
          <w:ilvl w:val="0"/>
          <w:numId w:val="0"/>
        </w:numPr>
        <w:ind w:left="357" w:hanging="0"/>
        <w:jc w:val="both"/>
        <w:rPr/>
      </w:pPr>
      <w:r>
        <w:rPr>
          <w:rStyle w:val="Style8"/>
          <w:b w:val="false"/>
          <w:i w:val="false"/>
          <w:sz w:val="28"/>
          <w:szCs w:val="28"/>
          <w:shd w:fill="auto" w:val="clear"/>
        </w:rPr>
        <w:t xml:space="preserve"> </w:t>
      </w:r>
      <w:r>
        <w:rPr>
          <w:rStyle w:val="Style8"/>
          <w:b w:val="false"/>
          <w:i w:val="false"/>
          <w:sz w:val="28"/>
          <w:szCs w:val="28"/>
          <w:shd w:fill="auto" w:val="clear"/>
        </w:rPr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приложение №1 к ТТ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426" w:leader="none"/>
        </w:tabs>
        <w:spacing w:before="120" w:after="120"/>
        <w:ind w:left="1080" w:hanging="0"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426" w:leader="none"/>
        </w:tabs>
        <w:spacing w:before="120" w:after="120"/>
        <w:ind w:left="1080" w:hanging="0"/>
        <w:jc w:val="right"/>
        <w:rPr>
          <w:b/>
          <w:bCs/>
        </w:rPr>
      </w:pPr>
      <w:r>
        <w:rPr>
          <w:b/>
          <w:bCs/>
          <w:i/>
          <w:iCs/>
          <w:sz w:val="24"/>
          <w:szCs w:val="24"/>
          <w:lang w:eastAsia="x-none"/>
        </w:rPr>
        <w:t>Приложение №1 к ТТ</w:t>
      </w:r>
    </w:p>
    <w:p>
      <w:pPr>
        <w:pStyle w:val="Normal"/>
        <w:numPr>
          <w:ilvl w:val="0"/>
          <w:numId w:val="0"/>
        </w:numPr>
        <w:ind w:left="709" w:hanging="0"/>
        <w:rPr>
          <w:bCs/>
          <w:i/>
          <w:i/>
          <w:iCs/>
          <w:sz w:val="24"/>
          <w:szCs w:val="24"/>
          <w:lang w:eastAsia="x-none"/>
        </w:rPr>
      </w:pPr>
      <w:r>
        <w:rPr>
          <w:bCs/>
          <w:i/>
          <w:iCs/>
          <w:sz w:val="24"/>
          <w:szCs w:val="24"/>
          <w:lang w:eastAsia="x-none"/>
        </w:rPr>
      </w:r>
    </w:p>
    <w:p>
      <w:pPr>
        <w:pStyle w:val="24"/>
        <w:keepNext w:val="false"/>
        <w:tabs>
          <w:tab w:val="left" w:pos="1134" w:leader="none"/>
          <w:tab w:val="left" w:pos="1440" w:leader="none"/>
          <w:tab w:val="left" w:pos="2736" w:leader="none"/>
        </w:tabs>
        <w:spacing w:lineRule="exact" w:line="360" w:before="0" w:after="160"/>
        <w:ind w:left="1134" w:hanging="1134"/>
        <w:jc w:val="both"/>
        <w:outlineLvl w:val="9"/>
        <w:rPr>
          <w:sz w:val="26"/>
        </w:rPr>
      </w:pPr>
      <w:r>
        <w:rPr/>
        <w:t>Ф</w:t>
      </w:r>
      <w:bookmarkStart w:id="43" w:name="_Toc141972716"/>
      <w:bookmarkStart w:id="44" w:name="_Ref511135236"/>
      <w:r>
        <w:rPr/>
        <w:t xml:space="preserve">орма </w:t>
      </w:r>
      <w:bookmarkEnd w:id="44"/>
      <w:r>
        <w:rPr/>
        <w:t>Коммерческого предложения</w:t>
      </w:r>
      <w:bookmarkEnd w:id="43"/>
    </w:p>
    <w:p>
      <w:pPr>
        <w:pStyle w:val="Normal"/>
        <w:keepNext w:val="true"/>
        <w:pBdr>
          <w:top w:val="single" w:sz="4" w:space="1" w:color="000000"/>
        </w:pBdr>
        <w:shd w:val="clear" w:color="auto" w:fill="D9D9D9" w:themeFill="background1" w:themeFillShade="d9"/>
        <w:spacing w:before="0" w:after="120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начало формы</w:t>
      </w:r>
    </w:p>
    <w:p>
      <w:pPr>
        <w:pStyle w:val="Normal"/>
        <w:numPr>
          <w:ilvl w:val="0"/>
          <w:numId w:val="0"/>
        </w:numPr>
        <w:ind w:left="0" w:hanging="0"/>
        <w:rPr>
          <w:sz w:val="24"/>
        </w:rPr>
      </w:pPr>
      <w:r>
        <w:rPr>
          <w:sz w:val="24"/>
        </w:rPr>
      </w:r>
    </w:p>
    <w:p>
      <w:pPr>
        <w:pStyle w:val="Normal"/>
        <w:rPr>
          <w:sz w:val="26"/>
        </w:rPr>
      </w:pPr>
      <w:r>
        <w:rPr>
          <w:sz w:val="26"/>
        </w:rPr>
      </w:r>
    </w:p>
    <w:p>
      <w:pPr>
        <w:pStyle w:val="Normal"/>
        <w:rPr>
          <w:b/>
          <w:sz w:val="32"/>
        </w:rPr>
      </w:pPr>
      <w:r>
        <w:rPr>
          <w:b/>
          <w:caps/>
          <w:spacing w:val="20"/>
        </w:rPr>
        <w:t>Коммерческое предложение</w:t>
      </w:r>
    </w:p>
    <w:p>
      <w:pPr>
        <w:pStyle w:val="Normal"/>
        <w:spacing w:before="0" w:after="120"/>
        <w:rPr/>
      </w:pPr>
      <w:r>
        <w:rPr/>
        <w:t>Наименование и ИНН Участника: _________________________________</w:t>
      </w:r>
    </w:p>
    <w:p>
      <w:pPr>
        <w:pStyle w:val="Normal"/>
        <w:rPr>
          <w:rStyle w:val="Style8"/>
          <w:b w:val="false"/>
          <w:sz w:val="26"/>
          <w:highlight w:val="lightGray"/>
        </w:rPr>
      </w:pPr>
      <w:r>
        <w:rPr>
          <w:i/>
          <w:highlight w:val="lightGray"/>
          <w:shd w:fill="BFBFBF" w:val="clear"/>
        </w:rPr>
        <w:t>[</w:t>
      </w:r>
      <w:r>
        <w:rPr>
          <w:rStyle w:val="Style8"/>
          <w:highlight w:val="lightGray"/>
          <w:shd w:fill="BFBFBF" w:val="clear"/>
        </w:rPr>
        <w:t xml:space="preserve">Здесь Участник приводит свое Коммерческое предложение вместе </w:t>
      </w:r>
      <w:r>
        <w:rPr>
          <w:rStyle w:val="Style8"/>
          <w:highlight w:val="lightGray"/>
          <w:u w:val="single"/>
          <w:shd w:fill="BFBFBF" w:val="clear"/>
        </w:rPr>
        <w:t>с приложением в обязательном порядке подтверждающей документации, составленной в соответствии с Техническими требованиями Заказчика</w:t>
      </w:r>
      <w:r>
        <w:rPr>
          <w:rStyle w:val="Style8"/>
          <w:highlight w:val="lightGray"/>
          <w:shd w:fill="BFBFBF" w:val="clear"/>
        </w:rPr>
        <w:t xml:space="preserve"> </w:t>
      </w:r>
    </w:p>
    <w:p>
      <w:pPr>
        <w:pStyle w:val="Normal"/>
        <w:ind w:hanging="0"/>
        <w:jc w:val="center"/>
        <w:rPr>
          <w:rStyle w:val="Style8"/>
          <w:b w:val="false"/>
        </w:rPr>
      </w:pPr>
      <w:r>
        <w:rPr>
          <w:b w:val="false"/>
        </w:rPr>
      </w:r>
    </w:p>
    <w:tbl>
      <w:tblPr>
        <w:tblW w:w="1483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24"/>
        <w:gridCol w:w="567"/>
        <w:gridCol w:w="992"/>
        <w:gridCol w:w="798"/>
        <w:gridCol w:w="1134"/>
        <w:gridCol w:w="1240"/>
        <w:gridCol w:w="573"/>
        <w:gridCol w:w="1418"/>
        <w:gridCol w:w="1132"/>
        <w:gridCol w:w="737"/>
        <w:gridCol w:w="847"/>
        <w:gridCol w:w="4972"/>
      </w:tblGrid>
      <w:tr>
        <w:trPr/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-105" w:right="-81" w:firstLine="56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№ </w:t>
            </w:r>
            <w:r>
              <w:rPr>
                <w:rFonts w:eastAsia="Calibri"/>
                <w:sz w:val="18"/>
                <w:szCs w:val="18"/>
                <w:lang w:eastAsia="en-US"/>
              </w:rPr>
              <w:t>п/п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Наименование предлагаемой продукции (товары, работы, услуги)</w:t>
            </w:r>
            <w:r>
              <w:rPr>
                <w:rStyle w:val="Style8"/>
                <w:sz w:val="18"/>
                <w:szCs w:val="18"/>
                <w:highlight w:val="lightGray"/>
                <w:shd w:fill="BFBFBF" w:val="clear"/>
              </w:rPr>
              <w:t>]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Страна происхождения товара 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Производитель продукции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Номер реестровой записи из реестра, предусмотренного приложением №1 ПП 1875</w:t>
            </w:r>
          </w:p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val="en-US" w:eastAsia="en-US"/>
              </w:rPr>
              <w:t>Е</w:t>
            </w:r>
            <w:r>
              <w:rPr>
                <w:rFonts w:eastAsia="Calibri"/>
                <w:sz w:val="18"/>
                <w:szCs w:val="18"/>
                <w:lang w:eastAsia="en-US"/>
              </w:rPr>
              <w:t>д.</w:t>
            </w:r>
          </w:p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изм.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НМЦ единицы продукции (руб. без НДС) </w:t>
              <w:br/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i/>
                <w:i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Предлагаемая цена одной единицы </w:t>
            </w:r>
            <w:r>
              <w:rPr>
                <w:sz w:val="18"/>
                <w:szCs w:val="18"/>
              </w:rPr>
              <w:t>продукции</w:t>
            </w:r>
            <w:r>
              <w:rPr>
                <w:rFonts w:eastAsia="Calibri"/>
                <w:sz w:val="18"/>
                <w:szCs w:val="18"/>
                <w:lang w:eastAsia="en-US"/>
              </w:rPr>
              <w:t>, руб. без НДС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Кол-во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Итоговая стоимость позиции</w:t>
              <w:br/>
              <w:t>(руб. без НДС)</w:t>
            </w:r>
          </w:p>
        </w:tc>
        <w:tc>
          <w:tcPr>
            <w:tcW w:w="4972" w:type="dxa"/>
            <w:tcBorders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4972" w:type="dxa"/>
            <w:tcBorders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…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4972" w:type="dxa"/>
            <w:tcBorders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</w:r>
          </w:p>
        </w:tc>
        <w:tc>
          <w:tcPr>
            <w:tcW w:w="8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ИТОГО без НДС: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</w:r>
          </w:p>
        </w:tc>
        <w:tc>
          <w:tcPr>
            <w:tcW w:w="4972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8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Кроме того, НДС (__%):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</w:r>
          </w:p>
        </w:tc>
        <w:tc>
          <w:tcPr>
            <w:tcW w:w="4972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8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ИТОГО с НДС: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</w:r>
          </w:p>
        </w:tc>
        <w:tc>
          <w:tcPr>
            <w:tcW w:w="4972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</w:tbl>
    <w:p>
      <w:pPr>
        <w:pStyle w:val="Normal"/>
        <w:jc w:val="center"/>
        <w:rPr>
          <w:i/>
          <w:i/>
        </w:rPr>
      </w:pPr>
      <w:r>
        <w:rPr>
          <w:i/>
          <w:highlight w:val="lightGray"/>
        </w:rPr>
        <w:t>В случае неуказания Участником в данной форме Страны происхождения товара и Производителя продукции и невозможности определения Организатором суммарной доли российской продукции в составе заявки – предлагаемый им товар будет считаться иностранного происхождения.</w:t>
      </w:r>
    </w:p>
    <w:p>
      <w:pPr>
        <w:pStyle w:val="Normal"/>
        <w:jc w:val="center"/>
        <w:rPr/>
      </w:pPr>
      <w:r>
        <w:rPr/>
        <w:t>____________________________________</w:t>
      </w:r>
    </w:p>
    <w:p>
      <w:pPr>
        <w:pStyle w:val="Normal"/>
        <w:ind w:right="3684" w:firstLine="567"/>
        <w:jc w:val="center"/>
        <w:rPr>
          <w:vertAlign w:val="superscript"/>
        </w:rPr>
      </w:pPr>
      <w:r>
        <w:rPr>
          <w:vertAlign w:val="superscript"/>
        </w:rPr>
        <w:t>(подпись, М.П.)</w:t>
      </w:r>
    </w:p>
    <w:p>
      <w:pPr>
        <w:pStyle w:val="Normal"/>
        <w:jc w:val="center"/>
        <w:rPr/>
      </w:pPr>
      <w:r>
        <w:rPr/>
        <w:t>____________________________________</w:t>
      </w:r>
    </w:p>
    <w:p>
      <w:pPr>
        <w:pStyle w:val="Normal"/>
        <w:ind w:right="3684" w:firstLine="567"/>
        <w:jc w:val="center"/>
        <w:rPr>
          <w:vertAlign w:val="superscript"/>
        </w:rPr>
      </w:pPr>
      <w:r>
        <w:rPr>
          <w:vertAlign w:val="superscript"/>
        </w:rPr>
        <w:t>(фамилия, имя, отчество подписавшего, должность)</w:t>
      </w:r>
    </w:p>
    <w:p>
      <w:pPr>
        <w:sectPr>
          <w:headerReference w:type="default" r:id="rId6"/>
          <w:headerReference w:type="first" r:id="rId7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81" w:charSpace="0"/>
        </w:sectPr>
        <w:pStyle w:val="Normal"/>
        <w:pBdr>
          <w:bottom w:val="single" w:sz="4" w:space="1" w:color="000000"/>
        </w:pBdr>
        <w:shd w:val="clear" w:color="auto" w:fill="D9D9D9" w:themeFill="background1" w:themeFillShade="d9"/>
        <w:spacing w:before="0" w:after="120"/>
        <w:jc w:val="center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конец формы</w:t>
      </w:r>
      <w:r>
        <w:br w:type="page"/>
      </w:r>
    </w:p>
    <w:p>
      <w:pPr>
        <w:pStyle w:val="24"/>
        <w:keepNext w:val="false"/>
        <w:tabs>
          <w:tab w:val="clear" w:pos="1134"/>
          <w:tab w:val="left" w:pos="1440" w:leader="none"/>
          <w:tab w:val="left" w:pos="2736" w:leader="none"/>
        </w:tabs>
        <w:spacing w:lineRule="exact" w:line="360" w:before="0" w:after="160"/>
        <w:ind w:left="0" w:hanging="0"/>
        <w:jc w:val="both"/>
        <w:outlineLvl w:val="9"/>
        <w:rPr>
          <w:rFonts w:ascii="Times New Roman" w:hAnsi="Times New Roman" w:cs="Times New Roman"/>
        </w:rPr>
      </w:pPr>
      <w:bookmarkStart w:id="45" w:name="_Toc141972717"/>
      <w:r>
        <w:rPr>
          <w:rFonts w:cs="Times New Roman"/>
        </w:rPr>
        <w:t>Инструкции по заполнению</w:t>
      </w:r>
      <w:bookmarkEnd w:id="45"/>
      <w:r>
        <w:rPr>
          <w:rFonts w:cs="Times New Roman"/>
        </w:rPr>
        <w:t xml:space="preserve"> Участник приводит номер и дату письма о подаче оферты, приложением к которому является данное Коммерческое предложение.</w:t>
      </w:r>
    </w:p>
    <w:p>
      <w:pPr>
        <w:pStyle w:val="Style22"/>
        <w:tabs>
          <w:tab w:val="clear" w:pos="1134"/>
          <w:tab w:val="left" w:pos="2268" w:leader="none"/>
        </w:tabs>
        <w:ind w:left="0" w:hanging="0"/>
        <w:rPr>
          <w:rFonts w:ascii="Times New Roman" w:hAnsi="Times New Roman" w:cs="Times New Roman"/>
        </w:rPr>
      </w:pPr>
      <w:r>
        <w:rPr>
          <w:rFonts w:cs="Times New Roman"/>
        </w:rPr>
        <w:t>Участник указывает свое фирменное наименование (в т.ч. организационно-правовую форму) и свой ИНН.</w:t>
      </w:r>
    </w:p>
    <w:p>
      <w:pPr>
        <w:pStyle w:val="Style22"/>
        <w:tabs>
          <w:tab w:val="clear" w:pos="1134"/>
        </w:tabs>
        <w:ind w:left="0" w:hanging="0"/>
        <w:rPr>
          <w:rFonts w:ascii="Times New Roman" w:hAnsi="Times New Roman" w:cs="Times New Roman"/>
        </w:rPr>
      </w:pPr>
      <w:r>
        <w:rPr>
          <w:rFonts w:cs="Times New Roman"/>
        </w:rPr>
        <w:t>Все расчеты округляются до двух знаков после запятой.</w:t>
      </w:r>
    </w:p>
    <w:p>
      <w:pPr>
        <w:pStyle w:val="Style22"/>
        <w:tabs>
          <w:tab w:val="clear" w:pos="1134"/>
        </w:tabs>
        <w:ind w:left="0" w:hanging="0"/>
        <w:rPr>
          <w:rFonts w:ascii="Times New Roman" w:hAnsi="Times New Roman" w:cs="Times New Roman"/>
        </w:rPr>
      </w:pPr>
      <w:r>
        <w:rPr>
          <w:rFonts w:cs="Times New Roman"/>
        </w:rPr>
        <w:t xml:space="preserve">Результат суммирования стоимостей отдельных видов продукции, указанных в Коммерческом предложении, должен совпадать с суммами (в рублях без НДС и с НДС), указанными в Письме о подаче оферты </w:t>
      </w:r>
    </w:p>
    <w:p>
      <w:pPr>
        <w:pStyle w:val="Style22"/>
        <w:tabs>
          <w:tab w:val="clear" w:pos="1134"/>
        </w:tabs>
        <w:ind w:left="0" w:hanging="0"/>
        <w:rPr>
          <w:rFonts w:ascii="Times New Roman" w:hAnsi="Times New Roman" w:cs="Times New Roman"/>
        </w:rPr>
      </w:pPr>
      <w:r>
        <w:rPr>
          <w:rFonts w:cs="Times New Roman"/>
        </w:rPr>
        <w:t>Данная форма должна быть в обязательном порядке представлена в формате, доступном для редактирования (</w:t>
      </w:r>
      <w:r>
        <w:rPr>
          <w:rFonts w:cs="Times New Roman"/>
          <w:lang w:val="en-US"/>
        </w:rPr>
        <w:t>MicrosoftExcelSheet</w:t>
      </w:r>
      <w:r>
        <w:rPr>
          <w:rFonts w:cs="Times New Roman"/>
        </w:rPr>
        <w:t xml:space="preserve"> (*.</w:t>
      </w:r>
      <w:r>
        <w:rPr>
          <w:rFonts w:cs="Times New Roman"/>
          <w:lang w:val="en-US"/>
        </w:rPr>
        <w:t>xls</w:t>
      </w:r>
      <w:r>
        <w:rPr>
          <w:rFonts w:cs="Times New Roman"/>
        </w:rPr>
        <w:t>)).</w:t>
      </w:r>
    </w:p>
    <w:p>
      <w:pPr>
        <w:pStyle w:val="Normal"/>
        <w:spacing w:lineRule="auto" w:line="240"/>
        <w:ind w:left="284" w:hanging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/>
      </w:r>
      <w:bookmarkStart w:id="46" w:name="_GoBack"/>
      <w:bookmarkStart w:id="47" w:name="_GoBack"/>
      <w:bookmarkEnd w:id="47"/>
    </w:p>
    <w:sectPr>
      <w:headerReference w:type="default" r:id="rId8"/>
      <w:headerReference w:type="first" r:id="rId9"/>
      <w:footerReference w:type="default" r:id="rId10"/>
      <w:type w:val="nextPage"/>
      <w:pgSz w:w="11906" w:h="16838"/>
      <w:pgMar w:left="1134" w:right="851" w:gutter="0" w:header="680" w:top="1134" w:footer="414" w:bottom="1073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Ozon-Sans-VF">
    <w:altName w:val="arial"/>
    <w:charset w:val="01"/>
    <w:family w:val="roman"/>
    <w:pitch w:val="variable"/>
  </w:font>
  <w:font w:name="Arial">
    <w:altName w:val="Tahoma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sz w:val="24"/>
        <w:szCs w:val="24"/>
        <w:highlight w:val="none"/>
        <w:shd w:fill="FFFFFF" w:val="clear"/>
      </w:rPr>
    </w:pPr>
    <w:r>
      <w:rPr>
        <w:sz w:val="24"/>
        <w:szCs w:val="24"/>
        <w:shd w:fill="FFFFFF" w:val="clear"/>
      </w:rPr>
      <w:fldChar w:fldCharType="begin"/>
    </w:r>
    <w:r>
      <w:rPr>
        <w:sz w:val="24"/>
        <w:shd w:fill="FFFFFF" w:val="clear"/>
        <w:szCs w:val="24"/>
      </w:rPr>
      <w:instrText xml:space="preserve"> PAGE </w:instrText>
    </w:r>
    <w:r>
      <w:rPr>
        <w:sz w:val="24"/>
        <w:shd w:fill="FFFFFF" w:val="clear"/>
        <w:szCs w:val="24"/>
      </w:rPr>
      <w:fldChar w:fldCharType="separate"/>
    </w:r>
    <w:r>
      <w:rPr>
        <w:sz w:val="24"/>
        <w:shd w:fill="FFFFFF" w:val="clear"/>
        <w:szCs w:val="24"/>
      </w:rPr>
      <w:t>18</w:t>
    </w:r>
    <w:r>
      <w:rPr>
        <w:sz w:val="24"/>
        <w:shd w:fill="FFFFFF" w:val="clear"/>
        <w:szCs w:val="24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17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1844"/>
        </w:tabs>
        <w:ind w:left="6882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350"/>
        </w:tabs>
        <w:ind w:left="114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  <w:rPr/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qFormat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qFormat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rPr>
      <w:color w:val="0000FF"/>
      <w:u w:val="single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rong1">
    <w:name w:val="Strong1"/>
    <w:qFormat/>
    <w:rPr>
      <w:b/>
      <w:bCs/>
    </w:rPr>
  </w:style>
  <w:style w:type="character" w:styleId="6" w:customStyle="1">
    <w:name w:val="Заголовок 6 Знак"/>
    <w:qFormat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qFormat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qFormat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qFormat/>
    <w:rPr>
      <w:b/>
      <w:bCs/>
      <w:i/>
      <w:iCs/>
      <w:sz w:val="26"/>
      <w:szCs w:val="26"/>
    </w:rPr>
  </w:style>
  <w:style w:type="character" w:styleId="9" w:customStyle="1">
    <w:name w:val="Заголовок 9 Знак"/>
    <w:qFormat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qFormat/>
    <w:rPr>
      <w:sz w:val="28"/>
    </w:rPr>
  </w:style>
  <w:style w:type="character" w:styleId="Style2" w:customStyle="1">
    <w:name w:val="Подзаголовок Знак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21" w:customStyle="1">
    <w:name w:val="Цитата 2 Знак"/>
    <w:link w:val="Quote"/>
    <w:qFormat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qFormat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qFormat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rPr>
      <w:sz w:val="28"/>
    </w:rPr>
  </w:style>
  <w:style w:type="character" w:styleId="Style5" w:customStyle="1">
    <w:name w:val="Текст сноски Знак"/>
    <w:qFormat/>
    <w:rPr/>
  </w:style>
  <w:style w:type="character" w:styleId="Style6" w:customStyle="1">
    <w:name w:val="Основной текст Знак"/>
    <w:qFormat/>
    <w:rPr>
      <w:sz w:val="28"/>
      <w:szCs w:val="28"/>
    </w:rPr>
  </w:style>
  <w:style w:type="character" w:styleId="Blk" w:customStyle="1">
    <w:name w:val="blk"/>
    <w:qFormat/>
    <w:rPr/>
  </w:style>
  <w:style w:type="character" w:styleId="Style7" w:customStyle="1">
    <w:name w:val="Абзац списка Знак"/>
    <w:link w:val="ListParagraph"/>
    <w:qFormat/>
    <w:rPr>
      <w:rFonts w:eastAsia="Calibri"/>
      <w:sz w:val="24"/>
      <w:szCs w:val="24"/>
    </w:rPr>
  </w:style>
  <w:style w:type="character" w:styleId="Style8" w:customStyle="1">
    <w:name w:val="комментарий"/>
    <w:qFormat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rPr>
      <w:sz w:val="26"/>
      <w:szCs w:val="26"/>
    </w:rPr>
  </w:style>
  <w:style w:type="character" w:styleId="31" w:customStyle="1">
    <w:name w:val="УРОВЕНЬ_Абзац_тип3 Знак"/>
    <w:link w:val="36"/>
    <w:qFormat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qFormat/>
    <w:rPr>
      <w:sz w:val="24"/>
      <w:szCs w:val="24"/>
    </w:rPr>
  </w:style>
  <w:style w:type="character" w:styleId="Style11" w:customStyle="1">
    <w:name w:val="Текст примечания Знак"/>
    <w:link w:val="Annotationtext"/>
    <w:qFormat/>
    <w:rPr/>
  </w:style>
  <w:style w:type="character" w:styleId="Style12" w:customStyle="1">
    <w:name w:val="Текст концевой сноски Знак"/>
    <w:basedOn w:val="DefaultParagraphFont"/>
    <w:qFormat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Pr>
      <w:b/>
      <w:sz w:val="28"/>
    </w:rPr>
  </w:style>
  <w:style w:type="character" w:styleId="12" w:customStyle="1">
    <w:name w:val="УРОВЕНЬ_1. Знак"/>
    <w:link w:val="19"/>
    <w:qFormat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qFormat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Linenumber">
    <w:name w:val="line number"/>
    <w:qFormat/>
    <w:rPr/>
  </w:style>
  <w:style w:type="character" w:styleId="Strong2">
    <w:name w:val="Strong2"/>
    <w:qFormat/>
    <w:rPr>
      <w:b/>
      <w:bCs/>
    </w:rPr>
  </w:style>
  <w:style w:type="character" w:styleId="Strong3">
    <w:name w:val="Strong3"/>
    <w:qFormat/>
    <w:rPr>
      <w:b/>
      <w:bCs/>
    </w:rPr>
  </w:style>
  <w:style w:type="character" w:styleId="Style15">
    <w:name w:val="Маркеры"/>
    <w:qFormat/>
    <w:rPr>
      <w:rFonts w:ascii="OpenSymbol" w:hAnsi="OpenSymbol" w:eastAsia="OpenSymbol" w:cs="OpenSymbol"/>
    </w:rPr>
  </w:style>
  <w:style w:type="character" w:styleId="Strong4">
    <w:name w:val="Strong4"/>
    <w:qFormat/>
    <w:rPr>
      <w:b/>
      <w:bCs/>
    </w:rPr>
  </w:style>
  <w:style w:type="character" w:styleId="Strong">
    <w:name w:val="Strong"/>
    <w:qFormat/>
    <w:rPr>
      <w:b/>
      <w:bCs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pPr/>
    <w:rPr>
      <w:sz w:val="20"/>
      <w:szCs w:val="20"/>
    </w:rPr>
  </w:style>
  <w:style w:type="paragraph" w:styleId="14" w:customStyle="1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qFormat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pPr>
      <w:ind w:left="360" w:hanging="0"/>
    </w:pPr>
    <w:rPr>
      <w:sz w:val="24"/>
      <w:szCs w:val="24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pPr>
      <w:shd w:val="clear" w:color="auto" w:fill="FFFFFF"/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pPr>
      <w:shd w:val="clear" w:color="auto" w:fill="FFFFFF"/>
      <w:ind w:left="280" w:hanging="0"/>
    </w:pPr>
    <w:rPr>
      <w:rFonts w:cs="Calibri"/>
      <w:sz w:val="20"/>
      <w:szCs w:val="20"/>
    </w:rPr>
  </w:style>
  <w:style w:type="paragraph" w:styleId="Style23" w:customStyle="1">
    <w:name w:val="Раздел регламента"/>
    <w:basedOn w:val="Normal"/>
    <w:qFormat/>
    <w:pPr/>
    <w:rPr/>
  </w:style>
  <w:style w:type="paragraph" w:styleId="Style24" w:customStyle="1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next w:val="Normal"/>
    <w:autoRedefine/>
    <w:pPr>
      <w:spacing w:before="240" w:after="0"/>
    </w:pPr>
    <w:rPr>
      <w:rFonts w:cs="Calibri"/>
      <w:b/>
      <w:bCs/>
      <w:sz w:val="20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16" w:customStyle="1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pPr>
      <w:ind w:left="1960" w:hanging="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next w:val="Normal"/>
    <w:autoRedefine/>
    <w:pPr>
      <w:ind w:left="840" w:hanging="0"/>
    </w:pPr>
    <w:rPr>
      <w:rFonts w:ascii="Calibri" w:hAnsi="Calibri" w:cs="Calibri"/>
      <w:sz w:val="20"/>
      <w:szCs w:val="20"/>
    </w:rPr>
  </w:style>
  <w:style w:type="paragraph" w:styleId="TOC4">
    <w:name w:val="TOC 4"/>
    <w:basedOn w:val="Normal"/>
    <w:next w:val="Normal"/>
    <w:autoRedefine/>
    <w:pPr>
      <w:shd w:val="clear" w:color="auto" w:fill="FFFFFF"/>
      <w:ind w:left="560" w:hanging="0"/>
    </w:pPr>
    <w:rPr>
      <w:rFonts w:cs="Calibri"/>
      <w:sz w:val="20"/>
      <w:szCs w:val="20"/>
    </w:rPr>
  </w:style>
  <w:style w:type="paragraph" w:styleId="25" w:customStyle="1">
    <w:name w:val="Раздел положения 2"/>
    <w:basedOn w:val="Normal"/>
    <w:qFormat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qFormat/>
    <w:pPr>
      <w:spacing w:lineRule="auto" w:line="360"/>
    </w:pPr>
    <w:rPr>
      <w:rFonts w:eastAsia="Calibri"/>
      <w:sz w:val="24"/>
      <w:szCs w:val="24"/>
    </w:rPr>
  </w:style>
  <w:style w:type="paragraph" w:styleId="Caption1111" w:customStyle="1">
    <w:name w:val="caption111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qFormat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qFormat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qFormat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qFormat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qFormat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qFormat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pPr/>
    <w:rPr>
      <w:sz w:val="20"/>
      <w:szCs w:val="20"/>
    </w:rPr>
  </w:style>
  <w:style w:type="paragraph" w:styleId="28" w:customStyle="1">
    <w:name w:val="Заголовок 2 КВВ"/>
    <w:basedOn w:val="Normal"/>
    <w:qFormat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pPr>
      <w:ind w:left="1120" w:hanging="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autoRedefine/>
    <w:pPr>
      <w:ind w:left="1400" w:hanging="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autoRedefine/>
    <w:pPr>
      <w:ind w:left="1680" w:hanging="0"/>
    </w:pPr>
    <w:rPr>
      <w:rFonts w:ascii="Calibri" w:hAnsi="Calibri" w:cs="Calibri"/>
      <w:sz w:val="20"/>
      <w:szCs w:val="20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6" w:customStyle="1">
    <w:name w:val="Заголовок таблицы"/>
    <w:basedOn w:val="Style35"/>
    <w:qFormat/>
    <w:pPr>
      <w:jc w:val="center"/>
    </w:pPr>
    <w:rPr>
      <w:b/>
      <w:bCs/>
    </w:rPr>
  </w:style>
  <w:style w:type="paragraph" w:styleId="Style37" w:customStyle="1">
    <w:name w:val="ККГЭС Текст"/>
    <w:basedOn w:val="Normal"/>
    <w:qFormat/>
    <w:pPr>
      <w:spacing w:before="60" w:after="60"/>
      <w:ind w:firstLine="708"/>
    </w:pPr>
    <w:rPr>
      <w:rFonts w:eastAsia="Calibri"/>
      <w:sz w:val="24"/>
      <w:szCs w:val="24"/>
      <w:lang w:eastAsia="en-US"/>
    </w:rPr>
  </w:style>
  <w:style w:type="paragraph" w:styleId="Style91" w:customStyle="1">
    <w:name w:val="Style9"/>
    <w:basedOn w:val="Normal"/>
    <w:qFormat/>
    <w:pPr>
      <w:widowControl w:val="false"/>
      <w:jc w:val="both"/>
    </w:pPr>
    <w:rPr>
      <w:sz w:val="24"/>
      <w:szCs w:val="24"/>
    </w:rPr>
  </w:style>
  <w:style w:type="paragraph" w:styleId="Style71" w:customStyle="1">
    <w:name w:val="Style7"/>
    <w:basedOn w:val="Normal"/>
    <w:qFormat/>
    <w:pPr>
      <w:widowControl w:val="false"/>
      <w:spacing w:lineRule="exact" w:line="264"/>
      <w:jc w:val="both"/>
    </w:pPr>
    <w:rPr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qFormat/>
  </w:style>
  <w:style w:type="numbering" w:styleId="29" w:customStyle="1">
    <w:name w:val="Стиль2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header" Target="header8.xml"/><Relationship Id="rId10" Type="http://schemas.openxmlformats.org/officeDocument/2006/relationships/footer" Target="footer1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1636</TotalTime>
  <Application>AlterOffice/3.4.0.9$Linux_X86_64 LibreOffice_project/b8daf9e823b1a5463a2f48435ddc2e8696e7d4fc</Application>
  <AppVersion>15.0000</AppVersion>
  <Pages>18</Pages>
  <Words>2271</Words>
  <Characters>14508</Characters>
  <CharactersWithSpaces>16528</CharactersWithSpaces>
  <Paragraphs>553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2024-06-11T10:35:00Z</dcterms:created>
  <dc:creator>Быстров Олег Геннадьевич</dc:creator>
  <dc:description/>
  <dc:language>ru-RU</dc:language>
  <cp:lastModifiedBy>zabelkinans@corp.gidroogk.com</cp:lastModifiedBy>
  <cp:lastPrinted>2026-11-06T13:39:55Z</cp:lastPrinted>
  <dcterms:modified xsi:type="dcterms:W3CDTF">2026-11-06T15:07:04Z</dcterms:modified>
  <cp:revision>31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