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50E4" w14:textId="1546F644" w:rsidR="007C1AFD" w:rsidRDefault="008870E5" w:rsidP="008870E5">
      <w:pPr>
        <w:tabs>
          <w:tab w:val="left" w:pos="4305"/>
        </w:tabs>
      </w:pPr>
      <w:r>
        <w:tab/>
      </w:r>
    </w:p>
    <w:tbl>
      <w:tblPr>
        <w:tblW w:w="168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28"/>
        <w:gridCol w:w="874"/>
        <w:gridCol w:w="582"/>
        <w:gridCol w:w="1455"/>
        <w:gridCol w:w="767"/>
        <w:gridCol w:w="6509"/>
        <w:gridCol w:w="4950"/>
        <w:gridCol w:w="254"/>
      </w:tblGrid>
      <w:tr w:rsidR="007C1AFD" w:rsidRPr="00AC347B" w14:paraId="6232A3D9" w14:textId="77777777" w:rsidTr="007A7871">
        <w:trPr>
          <w:trHeight w:val="1818"/>
        </w:trPr>
        <w:tc>
          <w:tcPr>
            <w:tcW w:w="5115" w:type="dxa"/>
            <w:gridSpan w:val="6"/>
            <w:shd w:val="clear" w:color="auto" w:fill="auto"/>
          </w:tcPr>
          <w:tbl>
            <w:tblPr>
              <w:tblW w:w="22127" w:type="dxa"/>
              <w:tblInd w:w="594" w:type="dxa"/>
              <w:tblLayout w:type="fixed"/>
              <w:tblLook w:val="04A0" w:firstRow="1" w:lastRow="0" w:firstColumn="1" w:lastColumn="0" w:noHBand="0" w:noVBand="1"/>
            </w:tblPr>
            <w:tblGrid>
              <w:gridCol w:w="5823"/>
              <w:gridCol w:w="4076"/>
              <w:gridCol w:w="4076"/>
              <w:gridCol w:w="4076"/>
              <w:gridCol w:w="4076"/>
            </w:tblGrid>
            <w:tr w:rsidR="00F60625" w:rsidRPr="00AC347B" w14:paraId="300A738B" w14:textId="77777777" w:rsidTr="002B54EC">
              <w:trPr>
                <w:trHeight w:val="1317"/>
              </w:trPr>
              <w:tc>
                <w:tcPr>
                  <w:tcW w:w="5823" w:type="dxa"/>
                  <w:shd w:val="clear" w:color="auto" w:fill="auto"/>
                </w:tcPr>
                <w:p w14:paraId="10689E06" w14:textId="70C39239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  <w:bookmarkStart w:id="0" w:name="_Hlk76563911"/>
                  <w:r w:rsidRPr="00AC347B">
                    <w:rPr>
                      <w:rFonts w:ascii="PF Din Text Cond Pro Light" w:eastAsia="Calibri" w:hAnsi="PF Din Text Cond Pro Light"/>
                      <w:noProof/>
                      <w:lang w:eastAsia="ru-RU"/>
                    </w:rPr>
                    <w:drawing>
                      <wp:inline distT="0" distB="0" distL="0" distR="0" wp14:anchorId="0E4D652D" wp14:editId="15D39338">
                        <wp:extent cx="2438400" cy="80010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9032" b="695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830FFE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77094582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39BC7BF2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</w:p>
                <w:p w14:paraId="061DE52B" w14:textId="05187EBD" w:rsidR="00F60625" w:rsidRPr="00AC347B" w:rsidRDefault="00F60625" w:rsidP="00A30AD3">
                  <w:pPr>
                    <w:spacing w:after="60"/>
                    <w:ind w:left="-384"/>
                    <w:contextualSpacing/>
                    <w:jc w:val="both"/>
                    <w:rPr>
                      <w:rFonts w:ascii="PF Din Text Cond Pro Light" w:eastAsia="Calibri" w:hAnsi="PF Din Text Cond Pro Light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</w:rPr>
                    <w:t>\С</w:t>
                  </w:r>
                </w:p>
              </w:tc>
              <w:tc>
                <w:tcPr>
                  <w:tcW w:w="4076" w:type="dxa"/>
                  <w:shd w:val="clear" w:color="auto" w:fill="auto"/>
                </w:tcPr>
                <w:p w14:paraId="43ED6708" w14:textId="06E112D1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05967188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778E16CA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</w:tc>
              <w:tc>
                <w:tcPr>
                  <w:tcW w:w="4076" w:type="dxa"/>
                  <w:shd w:val="clear" w:color="auto" w:fill="auto"/>
                </w:tcPr>
                <w:p w14:paraId="210D3FEA" w14:textId="77777777" w:rsidR="00F60625" w:rsidRPr="00AC347B" w:rsidRDefault="00F60625" w:rsidP="00F60625">
                  <w:pPr>
                    <w:spacing w:after="60"/>
                    <w:ind w:left="5529" w:hanging="5529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Публичное акционерное общество</w:t>
                  </w:r>
                </w:p>
                <w:p w14:paraId="1459C9A7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 xml:space="preserve">«Межрегиональная распределительная </w:t>
                  </w:r>
                </w:p>
                <w:p w14:paraId="5399D6BF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сетевая компания Центра»</w:t>
                  </w:r>
                </w:p>
                <w:p w14:paraId="4FD03760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</w:p>
                <w:p w14:paraId="01E93D7D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Малая Ордынка ул., д. 15, Москва, 119017</w:t>
                  </w:r>
                </w:p>
                <w:p w14:paraId="6BE88F31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Тел. (495) 747-92-92, факс (495) 747-92-95</w:t>
                  </w:r>
                </w:p>
                <w:p w14:paraId="53CA4024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Прямая линия энергетиков: 8-800-220-0-220</w:t>
                  </w:r>
                </w:p>
                <w:p w14:paraId="110B80DE" w14:textId="77777777" w:rsidR="00F60625" w:rsidRPr="00AC347B" w:rsidRDefault="00F60625" w:rsidP="00F60625">
                  <w:pPr>
                    <w:spacing w:after="60"/>
                    <w:contextualSpacing/>
                    <w:jc w:val="both"/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 xml:space="preserve">e-mail: </w:t>
                  </w:r>
                  <w:hyperlink r:id="rId7" w:history="1">
                    <w:r w:rsidRPr="00AC347B">
                      <w:rPr>
                        <w:rFonts w:ascii="PF Din Text Cond Pro Light" w:eastAsia="Calibri" w:hAnsi="PF Din Text Cond Pro Light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posta@mrsk-1.ru</w:t>
                    </w:r>
                  </w:hyperlink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>, http://</w:t>
                  </w:r>
                  <w:hyperlink r:id="rId8" w:history="1">
                    <w:r w:rsidRPr="00AC347B">
                      <w:rPr>
                        <w:rFonts w:ascii="PF Din Text Cond Pro Light" w:eastAsia="Calibri" w:hAnsi="PF Din Text Cond Pro Light"/>
                        <w:color w:val="0000FF"/>
                        <w:sz w:val="18"/>
                        <w:szCs w:val="18"/>
                        <w:u w:val="single"/>
                        <w:lang w:val="en-US"/>
                      </w:rPr>
                      <w:t>www.mrsk-1.ru</w:t>
                    </w:r>
                  </w:hyperlink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015B8BAF" w14:textId="77777777" w:rsidR="00F60625" w:rsidRPr="00AC347B" w:rsidRDefault="00F60625" w:rsidP="00F60625">
                  <w:pPr>
                    <w:spacing w:after="60"/>
                    <w:ind w:right="747"/>
                    <w:contextualSpacing/>
                    <w:jc w:val="both"/>
                    <w:rPr>
                      <w:rFonts w:ascii="PF Din Text Cond Pro Light" w:eastAsia="Calibri" w:hAnsi="PF Din Text Cond Pro Light"/>
                      <w:lang w:val="en-US"/>
                    </w:rPr>
                  </w:pPr>
                  <w:r w:rsidRPr="00AC347B">
                    <w:rPr>
                      <w:rFonts w:ascii="PF Din Text Cond Pro Light" w:eastAsia="Calibri" w:hAnsi="PF Din Text Cond Pro Light"/>
                      <w:sz w:val="18"/>
                      <w:szCs w:val="18"/>
                    </w:rPr>
                    <w:t>ИНН/КПП 6901067107/770501001</w:t>
                  </w:r>
                </w:p>
              </w:tc>
            </w:tr>
          </w:tbl>
          <w:p w14:paraId="16FF05D6" w14:textId="4682BCF0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6509" w:type="dxa"/>
            <w:vMerge w:val="restart"/>
            <w:shd w:val="clear" w:color="auto" w:fill="auto"/>
          </w:tcPr>
          <w:p w14:paraId="508F8F6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7D1FC9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3932CC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┌</w:t>
            </w:r>
          </w:p>
        </w:tc>
        <w:tc>
          <w:tcPr>
            <w:tcW w:w="4950" w:type="dxa"/>
            <w:vMerge w:val="restart"/>
            <w:shd w:val="clear" w:color="auto" w:fill="auto"/>
          </w:tcPr>
          <w:p w14:paraId="5A5E683E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39B9C71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Публичное акционерное общество </w:t>
            </w:r>
          </w:p>
          <w:p w14:paraId="03CD5D97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AC3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 и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Приволжье» </w:t>
            </w:r>
          </w:p>
          <w:p w14:paraId="788C28B8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  <w:p w14:paraId="340303E5" w14:textId="2BA0B07D" w:rsidR="002B54EC" w:rsidRPr="00AC347B" w:rsidRDefault="002B54EC" w:rsidP="002B54EC">
            <w:pPr>
              <w:widowControl w:val="0"/>
              <w:suppressLineNumbers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Д</w:t>
            </w:r>
            <w:r w:rsidR="007558AD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А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 </w:t>
            </w:r>
            <w:r w:rsidRPr="00AC347B">
              <w:rPr>
                <w:rFonts w:ascii="Times New Roman" w:eastAsia="NSimSun" w:hAnsi="Times New Roman" w:cs="Times New Roman"/>
                <w:spacing w:val="4"/>
                <w:kern w:val="2"/>
                <w:sz w:val="20"/>
                <w:szCs w:val="20"/>
                <w:lang w:eastAsia="zh-CN" w:bidi="hi-IN"/>
              </w:rPr>
              <w:t>ПАО «</w:t>
            </w:r>
            <w:proofErr w:type="spellStart"/>
            <w:r w:rsidRPr="00AC347B">
              <w:rPr>
                <w:rFonts w:ascii="Times New Roman" w:eastAsia="NSimSun" w:hAnsi="Times New Roman" w:cs="Times New Roman"/>
                <w:spacing w:val="4"/>
                <w:kern w:val="2"/>
                <w:sz w:val="20"/>
                <w:szCs w:val="20"/>
                <w:lang w:eastAsia="zh-CN" w:bidi="hi-IN"/>
              </w:rPr>
              <w:t>Россети</w:t>
            </w:r>
            <w:proofErr w:type="spellEnd"/>
            <w:r w:rsidRPr="00AC347B">
              <w:rPr>
                <w:rFonts w:ascii="Times New Roman" w:eastAsia="NSimSun" w:hAnsi="Times New Roman" w:cs="Times New Roman"/>
                <w:spacing w:val="4"/>
                <w:kern w:val="2"/>
                <w:sz w:val="20"/>
                <w:szCs w:val="20"/>
                <w:lang w:eastAsia="zh-CN" w:bidi="hi-IN"/>
              </w:rPr>
              <w:t xml:space="preserve"> Центр и Приволжье» -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Акционерное общество «Автотранспортное хозяйство»</w:t>
            </w:r>
          </w:p>
          <w:p w14:paraId="72B93524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612080 Кировская обл. п. Оричи, ул. Южная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 xml:space="preserve">, 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д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. 50</w:t>
            </w:r>
          </w:p>
          <w:p w14:paraId="463894D2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Тел</w:t>
            </w: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. +7 (8332) 25-58-11</w:t>
            </w:r>
          </w:p>
          <w:p w14:paraId="03B2281D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en-US" w:eastAsia="zh-CN" w:bidi="hi-IN"/>
              </w:rPr>
              <w:t>e-mail: secr@kiravto.ru, kiravto.ru</w:t>
            </w:r>
          </w:p>
          <w:p w14:paraId="64B9A29F" w14:textId="77777777" w:rsidR="002B54EC" w:rsidRPr="00AC347B" w:rsidRDefault="002B54EC" w:rsidP="002B54EC">
            <w:pPr>
              <w:widowControl w:val="0"/>
              <w:suppressAutoHyphens/>
              <w:spacing w:after="0" w:line="240" w:lineRule="auto"/>
              <w:ind w:right="510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ОКПО 711 92 701, ОГРН 1034314502771</w:t>
            </w:r>
          </w:p>
          <w:p w14:paraId="72D1EBD6" w14:textId="40A08F8B" w:rsidR="007C1AFD" w:rsidRPr="00AC347B" w:rsidRDefault="002B54EC" w:rsidP="002B5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ИНН/КПП 4324006553/432401001</w:t>
            </w:r>
          </w:p>
          <w:p w14:paraId="2A832FF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" w:type="dxa"/>
            <w:vMerge w:val="restart"/>
            <w:shd w:val="clear" w:color="auto" w:fill="auto"/>
          </w:tcPr>
          <w:p w14:paraId="05D317CE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44F8DB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B93D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┐</w:t>
            </w:r>
          </w:p>
        </w:tc>
      </w:tr>
      <w:tr w:rsidR="007C1AFD" w:rsidRPr="00AC347B" w14:paraId="1D227AC6" w14:textId="77777777" w:rsidTr="007A7871">
        <w:trPr>
          <w:trHeight w:val="225"/>
        </w:trPr>
        <w:tc>
          <w:tcPr>
            <w:tcW w:w="709" w:type="dxa"/>
            <w:vMerge w:val="restart"/>
            <w:shd w:val="clear" w:color="auto" w:fill="auto"/>
            <w:vAlign w:val="bottom"/>
          </w:tcPr>
          <w:p w14:paraId="4BC49D63" w14:textId="77777777" w:rsidR="007C1AFD" w:rsidRPr="007558AD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D6CBD6" w14:textId="66BBA471" w:rsidR="007C1AFD" w:rsidRPr="007558AD" w:rsidRDefault="00334B51" w:rsidP="00CC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4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B0F6D"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B0F6D" w:rsidRPr="00235F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87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2" w:type="dxa"/>
            <w:shd w:val="clear" w:color="auto" w:fill="auto"/>
            <w:vAlign w:val="bottom"/>
          </w:tcPr>
          <w:p w14:paraId="5B56A7A8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6ACCD9" w14:textId="48FD27A2" w:rsidR="007C1AFD" w:rsidRPr="00AC347B" w:rsidRDefault="00B46745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б/н</w:t>
            </w:r>
          </w:p>
        </w:tc>
        <w:tc>
          <w:tcPr>
            <w:tcW w:w="767" w:type="dxa"/>
            <w:vMerge w:val="restart"/>
            <w:shd w:val="clear" w:color="auto" w:fill="auto"/>
            <w:vAlign w:val="bottom"/>
          </w:tcPr>
          <w:p w14:paraId="6A415B20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9" w:type="dxa"/>
            <w:vMerge/>
            <w:shd w:val="clear" w:color="auto" w:fill="auto"/>
          </w:tcPr>
          <w:p w14:paraId="6851C09A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shd w:val="clear" w:color="auto" w:fill="auto"/>
          </w:tcPr>
          <w:p w14:paraId="2356B5F4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shd w:val="clear" w:color="auto" w:fill="auto"/>
          </w:tcPr>
          <w:p w14:paraId="508F1B98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AFD" w:rsidRPr="00AC347B" w14:paraId="15FE9FC3" w14:textId="77777777" w:rsidTr="007A7871">
        <w:trPr>
          <w:trHeight w:val="225"/>
        </w:trPr>
        <w:tc>
          <w:tcPr>
            <w:tcW w:w="709" w:type="dxa"/>
            <w:vMerge/>
            <w:shd w:val="clear" w:color="auto" w:fill="auto"/>
            <w:vAlign w:val="bottom"/>
          </w:tcPr>
          <w:p w14:paraId="4ECCCEA0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vAlign w:val="bottom"/>
          </w:tcPr>
          <w:p w14:paraId="221FC205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№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62F0E4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shd w:val="clear" w:color="auto" w:fill="auto"/>
            <w:vAlign w:val="bottom"/>
          </w:tcPr>
          <w:p w14:paraId="69C021B5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A1684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shd w:val="clear" w:color="auto" w:fill="auto"/>
            <w:vAlign w:val="bottom"/>
          </w:tcPr>
          <w:p w14:paraId="6B9E7FCC" w14:textId="77777777" w:rsidR="007C1AFD" w:rsidRPr="00AC347B" w:rsidRDefault="007C1AFD" w:rsidP="007C1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09" w:type="dxa"/>
            <w:vMerge/>
            <w:shd w:val="clear" w:color="auto" w:fill="auto"/>
          </w:tcPr>
          <w:p w14:paraId="3A9997A4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shd w:val="clear" w:color="auto" w:fill="auto"/>
          </w:tcPr>
          <w:p w14:paraId="315B430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shd w:val="clear" w:color="auto" w:fill="auto"/>
          </w:tcPr>
          <w:p w14:paraId="15270BDB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C1AFD" w:rsidRPr="00AC347B" w14:paraId="36E88748" w14:textId="77777777" w:rsidTr="007A7871">
        <w:trPr>
          <w:trHeight w:val="312"/>
        </w:trPr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6443AF17" w14:textId="25F4867F" w:rsidR="007C1AFD" w:rsidRPr="00AC347B" w:rsidRDefault="005C5509" w:rsidP="007C1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7C1AFD" w:rsidRPr="00AC34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┌  </w:t>
            </w:r>
          </w:p>
        </w:tc>
        <w:tc>
          <w:tcPr>
            <w:tcW w:w="3639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1F03C2CD" w14:textId="694E4BF7" w:rsidR="007C1AFD" w:rsidRPr="00AC347B" w:rsidRDefault="00EE71B3" w:rsidP="005C5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470858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азъяснени</w:t>
            </w:r>
            <w:r w:rsidR="00673CC3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470858" w:rsidRPr="00AC34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запросу</w:t>
            </w:r>
          </w:p>
        </w:tc>
        <w:tc>
          <w:tcPr>
            <w:tcW w:w="767" w:type="dxa"/>
            <w:tcBorders>
              <w:bottom w:val="nil"/>
            </w:tcBorders>
            <w:shd w:val="clear" w:color="auto" w:fill="auto"/>
          </w:tcPr>
          <w:p w14:paraId="6E54FF9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34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┐</w:t>
            </w:r>
          </w:p>
        </w:tc>
        <w:tc>
          <w:tcPr>
            <w:tcW w:w="6509" w:type="dxa"/>
            <w:vMerge/>
            <w:tcBorders>
              <w:bottom w:val="nil"/>
            </w:tcBorders>
            <w:shd w:val="clear" w:color="auto" w:fill="auto"/>
          </w:tcPr>
          <w:p w14:paraId="4DDD80B8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50" w:type="dxa"/>
            <w:vMerge/>
            <w:tcBorders>
              <w:bottom w:val="nil"/>
            </w:tcBorders>
            <w:shd w:val="clear" w:color="auto" w:fill="auto"/>
          </w:tcPr>
          <w:p w14:paraId="459FF646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" w:type="dxa"/>
            <w:vMerge/>
            <w:tcBorders>
              <w:bottom w:val="nil"/>
            </w:tcBorders>
            <w:shd w:val="clear" w:color="auto" w:fill="auto"/>
          </w:tcPr>
          <w:p w14:paraId="24B7B6B2" w14:textId="77777777" w:rsidR="007C1AFD" w:rsidRPr="00AC347B" w:rsidRDefault="007C1AFD" w:rsidP="007C1A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14:paraId="054A4985" w14:textId="77777777" w:rsidR="00CA159A" w:rsidRDefault="00CA159A" w:rsidP="00017F60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1D30D9A" w14:textId="68C5BF57" w:rsidR="000B151E" w:rsidRPr="0028229A" w:rsidRDefault="001E126C" w:rsidP="00017F60">
      <w:pPr>
        <w:jc w:val="center"/>
        <w:rPr>
          <w:rFonts w:ascii="Times New Roman" w:hAnsi="Times New Roman" w:cs="Times New Roman"/>
        </w:rPr>
      </w:pPr>
      <w:r w:rsidRPr="0028229A">
        <w:rPr>
          <w:rFonts w:ascii="Times New Roman" w:hAnsi="Times New Roman" w:cs="Times New Roman"/>
        </w:rPr>
        <w:t>Уважаемы</w:t>
      </w:r>
      <w:r w:rsidR="001823BD" w:rsidRPr="0028229A">
        <w:rPr>
          <w:rFonts w:ascii="Times New Roman" w:hAnsi="Times New Roman" w:cs="Times New Roman"/>
        </w:rPr>
        <w:t>й</w:t>
      </w:r>
      <w:r w:rsidRPr="0028229A">
        <w:rPr>
          <w:rFonts w:ascii="Times New Roman" w:hAnsi="Times New Roman" w:cs="Times New Roman"/>
        </w:rPr>
        <w:t xml:space="preserve"> участник!</w:t>
      </w:r>
    </w:p>
    <w:p w14:paraId="76A4468B" w14:textId="2DFCF1A4" w:rsidR="004B2874" w:rsidRPr="0028229A" w:rsidRDefault="001823BD" w:rsidP="00343C8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8229A">
        <w:rPr>
          <w:rFonts w:ascii="Times New Roman" w:eastAsia="Times New Roman" w:hAnsi="Times New Roman" w:cs="Times New Roman"/>
          <w:snapToGrid w:val="0"/>
        </w:rPr>
        <w:t>Заказчик, АО «АТХ» (</w:t>
      </w:r>
      <w:r w:rsidRPr="0028229A">
        <w:rPr>
          <w:rFonts w:ascii="Times New Roman" w:eastAsia="Calibri" w:hAnsi="Times New Roman" w:cs="Times New Roman"/>
          <w:bCs/>
          <w:lang w:eastAsia="ar-SA"/>
        </w:rPr>
        <w:t>610044, г. Киров, ул. Ломоносова, 7а</w:t>
      </w:r>
      <w:r w:rsidRPr="0028229A">
        <w:rPr>
          <w:rFonts w:ascii="Times New Roman" w:eastAsia="Times New Roman" w:hAnsi="Times New Roman" w:cs="Times New Roman"/>
          <w:snapToGrid w:val="0"/>
        </w:rPr>
        <w:t xml:space="preserve">), являющийся Организатором </w:t>
      </w:r>
      <w:bookmarkStart w:id="1" w:name="_Hlk128661645"/>
      <w:r w:rsidR="00FF7527" w:rsidRPr="0028229A">
        <w:rPr>
          <w:rFonts w:ascii="Times New Roman" w:eastAsia="Times New Roman" w:hAnsi="Times New Roman" w:cs="Times New Roman"/>
          <w:snapToGrid w:val="0"/>
        </w:rPr>
        <w:t>конкурса</w:t>
      </w:r>
      <w:r w:rsidRPr="0028229A">
        <w:rPr>
          <w:rFonts w:ascii="Times New Roman" w:eastAsia="Calibri" w:hAnsi="Times New Roman" w:cs="Times New Roman"/>
        </w:rPr>
        <w:t xml:space="preserve"> в электронной форме</w:t>
      </w:r>
      <w:r w:rsidR="00ED577E" w:rsidRPr="0028229A">
        <w:rPr>
          <w:rFonts w:ascii="Times New Roman" w:eastAsia="Calibri" w:hAnsi="Times New Roman" w:cs="Times New Roman"/>
        </w:rPr>
        <w:t xml:space="preserve"> на право заключения договора</w:t>
      </w:r>
      <w:r w:rsidRPr="0028229A">
        <w:rPr>
          <w:rFonts w:ascii="Times New Roman" w:eastAsia="Calibri" w:hAnsi="Times New Roman" w:cs="Times New Roman"/>
        </w:rPr>
        <w:t xml:space="preserve"> </w:t>
      </w:r>
      <w:bookmarkStart w:id="2" w:name="_Hlk192585290"/>
      <w:bookmarkStart w:id="3" w:name="_Hlk128661630"/>
      <w:bookmarkEnd w:id="1"/>
      <w:r w:rsidR="00FF7527" w:rsidRPr="0028229A">
        <w:rPr>
          <w:rFonts w:ascii="Times New Roman" w:eastAsia="Calibri" w:hAnsi="Times New Roman" w:cs="Times New Roman"/>
          <w:color w:val="0000FF"/>
          <w:spacing w:val="-2"/>
        </w:rPr>
        <w:t xml:space="preserve">поставки </w:t>
      </w:r>
      <w:r w:rsidR="007558AD" w:rsidRPr="007558AD">
        <w:rPr>
          <w:rFonts w:ascii="Times New Roman" w:eastAsia="Calibri" w:hAnsi="Times New Roman" w:cs="Times New Roman"/>
          <w:color w:val="0000FF"/>
          <w:spacing w:val="-2"/>
        </w:rPr>
        <w:t>автомобильных масел, смазок и технических жидкостей</w:t>
      </w:r>
      <w:bookmarkEnd w:id="2"/>
      <w:r w:rsidR="00343C84" w:rsidRPr="0028229A">
        <w:rPr>
          <w:rFonts w:ascii="Times New Roman" w:eastAsia="Calibri" w:hAnsi="Times New Roman" w:cs="Times New Roman"/>
          <w:color w:val="0000FF"/>
          <w:spacing w:val="-2"/>
        </w:rPr>
        <w:t xml:space="preserve">, </w:t>
      </w:r>
      <w:bookmarkEnd w:id="3"/>
      <w:r w:rsidR="00343C84" w:rsidRPr="0028229A">
        <w:rPr>
          <w:rFonts w:ascii="Times New Roman" w:eastAsia="Calibri" w:hAnsi="Times New Roman" w:cs="Times New Roman"/>
          <w:spacing w:val="-2"/>
        </w:rPr>
        <w:t>и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звещение о проведении </w:t>
      </w:r>
      <w:r w:rsidR="00FF7527" w:rsidRPr="0028229A">
        <w:rPr>
          <w:rFonts w:ascii="Times New Roman" w:eastAsia="Times New Roman" w:hAnsi="Times New Roman" w:cs="Times New Roman"/>
          <w:lang w:eastAsia="ru-RU"/>
        </w:rPr>
        <w:t>конкурса</w:t>
      </w:r>
      <w:r w:rsidRPr="0028229A">
        <w:rPr>
          <w:rFonts w:ascii="Times New Roman" w:eastAsia="Calibri" w:hAnsi="Times New Roman" w:cs="Times New Roman"/>
        </w:rPr>
        <w:t xml:space="preserve"> в электронной форме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было опубликовано 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>«</w:t>
      </w:r>
      <w:r w:rsidR="007558AD">
        <w:rPr>
          <w:rFonts w:ascii="Times New Roman" w:eastAsia="Times New Roman" w:hAnsi="Times New Roman" w:cs="Times New Roman"/>
          <w:color w:val="0000FF"/>
          <w:lang w:eastAsia="ru-RU"/>
        </w:rPr>
        <w:t>0</w:t>
      </w:r>
      <w:r w:rsidR="00FF7527" w:rsidRPr="0028229A">
        <w:rPr>
          <w:rFonts w:ascii="Times New Roman" w:eastAsia="Times New Roman" w:hAnsi="Times New Roman" w:cs="Times New Roman"/>
          <w:color w:val="0000FF"/>
          <w:lang w:eastAsia="ru-RU"/>
        </w:rPr>
        <w:t>6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>»</w:t>
      </w:r>
      <w:r w:rsidRPr="0028229A">
        <w:rPr>
          <w:rFonts w:ascii="Times New Roman" w:eastAsia="Times New Roman" w:hAnsi="Times New Roman" w:cs="Times New Roman"/>
          <w:bCs/>
          <w:color w:val="0000FF"/>
          <w:lang w:eastAsia="ru-RU"/>
        </w:rPr>
        <w:t xml:space="preserve"> </w:t>
      </w:r>
      <w:r w:rsidR="007558AD">
        <w:rPr>
          <w:rFonts w:ascii="Times New Roman" w:eastAsia="Times New Roman" w:hAnsi="Times New Roman" w:cs="Times New Roman"/>
          <w:bCs/>
          <w:color w:val="0000FF"/>
          <w:lang w:eastAsia="ru-RU"/>
        </w:rPr>
        <w:t>марта</w:t>
      </w:r>
      <w:r w:rsidRPr="0028229A">
        <w:rPr>
          <w:rFonts w:ascii="Times New Roman" w:eastAsia="Times New Roman" w:hAnsi="Times New Roman" w:cs="Times New Roman"/>
          <w:bCs/>
          <w:color w:val="0000CC"/>
          <w:lang w:eastAsia="ru-RU"/>
        </w:rPr>
        <w:t xml:space="preserve"> 202</w:t>
      </w:r>
      <w:r w:rsidR="007558AD">
        <w:rPr>
          <w:rFonts w:ascii="Times New Roman" w:eastAsia="Times New Roman" w:hAnsi="Times New Roman" w:cs="Times New Roman"/>
          <w:bCs/>
          <w:color w:val="0000CC"/>
          <w:lang w:eastAsia="ru-RU"/>
        </w:rPr>
        <w:t>5</w:t>
      </w:r>
      <w:r w:rsidRPr="0028229A">
        <w:rPr>
          <w:rFonts w:ascii="Times New Roman" w:eastAsia="Times New Roman" w:hAnsi="Times New Roman" w:cs="Times New Roman"/>
          <w:bCs/>
          <w:color w:val="0000CC"/>
          <w:lang w:eastAsia="ru-RU"/>
        </w:rPr>
        <w:t xml:space="preserve"> года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на официальном сайте </w:t>
      </w:r>
      <w:r w:rsidRPr="0028229A">
        <w:rPr>
          <w:rFonts w:ascii="Times New Roman" w:eastAsia="Times New Roman" w:hAnsi="Times New Roman" w:cs="Times New Roman"/>
          <w:bCs/>
          <w:snapToGrid w:val="0"/>
          <w:lang w:eastAsia="ru-RU"/>
        </w:rPr>
        <w:t>ЕИС в сфере закупок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snapToGrid w:val="0"/>
          <w:color w:val="0000CC"/>
          <w:lang w:eastAsia="ru-RU"/>
        </w:rPr>
        <w:t>(</w:t>
      </w:r>
      <w:hyperlink r:id="rId9" w:history="1"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www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proofErr w:type="spellStart"/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zakupki</w:t>
        </w:r>
        <w:proofErr w:type="spellEnd"/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gov</w:t>
        </w:r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eastAsia="ru-RU"/>
          </w:rPr>
          <w:t>.</w:t>
        </w:r>
        <w:proofErr w:type="spellStart"/>
        <w:r w:rsidRPr="0028229A">
          <w:rPr>
            <w:rFonts w:ascii="Times New Roman" w:eastAsia="Times New Roman" w:hAnsi="Times New Roman" w:cs="Times New Roman"/>
            <w:snapToGrid w:val="0"/>
            <w:color w:val="0000CC"/>
            <w:u w:val="single"/>
            <w:lang w:val="en-US" w:eastAsia="ru-RU"/>
          </w:rPr>
          <w:t>ru</w:t>
        </w:r>
        <w:proofErr w:type="spellEnd"/>
      </w:hyperlink>
      <w:r w:rsidRPr="0028229A">
        <w:rPr>
          <w:rFonts w:ascii="Times New Roman" w:eastAsia="Times New Roman" w:hAnsi="Times New Roman" w:cs="Times New Roman"/>
          <w:snapToGrid w:val="0"/>
          <w:color w:val="0000CC"/>
          <w:lang w:eastAsia="ru-RU"/>
        </w:rPr>
        <w:t xml:space="preserve">) 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>(№</w:t>
      </w:r>
      <w:r w:rsidR="007558AD" w:rsidRPr="007558AD">
        <w:rPr>
          <w:rFonts w:ascii="Times New Roman" w:eastAsia="Times New Roman" w:hAnsi="Times New Roman" w:cs="Times New Roman"/>
          <w:color w:val="0000CC"/>
          <w:lang w:eastAsia="ru-RU"/>
        </w:rPr>
        <w:t>32514589856</w:t>
      </w:r>
      <w:r w:rsidRPr="0028229A">
        <w:rPr>
          <w:rFonts w:ascii="Times New Roman" w:eastAsia="Times New Roman" w:hAnsi="Times New Roman" w:cs="Times New Roman"/>
          <w:color w:val="0000CC"/>
          <w:lang w:eastAsia="ru-RU"/>
        </w:rPr>
        <w:t>)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на сайте </w:t>
      </w:r>
      <w:r w:rsidR="00673CC3"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Электронной торговой площадки Российского аукционного дома (РАД) </w:t>
      </w:r>
      <w:r w:rsidR="00673CC3" w:rsidRPr="0028229A">
        <w:rPr>
          <w:rFonts w:ascii="Times New Roman" w:eastAsia="Times New Roman" w:hAnsi="Times New Roman" w:cs="Times New Roman"/>
          <w:snapToGrid w:val="0"/>
          <w:color w:val="0000FF"/>
          <w:lang w:eastAsia="ru-RU"/>
        </w:rPr>
        <w:t>tender.lot-online.ru</w:t>
      </w:r>
      <w:r w:rsidR="00673CC3" w:rsidRPr="0028229A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343C84" w:rsidRPr="0028229A">
        <w:rPr>
          <w:rFonts w:ascii="Times New Roman" w:eastAsia="Times New Roman" w:hAnsi="Times New Roman" w:cs="Times New Roman"/>
          <w:iCs/>
          <w:snapToGrid w:val="0"/>
          <w:lang w:eastAsia="ru-RU"/>
        </w:rPr>
        <w:t>в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ответ на поступивший вопрос от участника </w:t>
      </w:r>
      <w:r w:rsidR="00FF7527"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конкурса </w:t>
      </w:r>
      <w:r w:rsidR="00673CC3"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 в электронной форме</w:t>
      </w:r>
      <w:r w:rsidRPr="0028229A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lang w:eastAsia="ru-RU"/>
        </w:rPr>
        <w:t>разъясня</w:t>
      </w:r>
      <w:r w:rsidR="00343C84" w:rsidRPr="0028229A">
        <w:rPr>
          <w:rFonts w:ascii="Times New Roman" w:eastAsia="Times New Roman" w:hAnsi="Times New Roman" w:cs="Times New Roman"/>
          <w:lang w:eastAsia="ru-RU"/>
        </w:rPr>
        <w:t>ет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следующее:</w:t>
      </w:r>
    </w:p>
    <w:p w14:paraId="7442E8B1" w14:textId="77777777" w:rsidR="00343C84" w:rsidRPr="0028229A" w:rsidRDefault="00343C84" w:rsidP="00343C8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tbl>
      <w:tblPr>
        <w:tblW w:w="1561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8293"/>
        <w:gridCol w:w="6804"/>
      </w:tblGrid>
      <w:tr w:rsidR="00772EF8" w:rsidRPr="008A1CE1" w14:paraId="12EE28D6" w14:textId="77777777" w:rsidTr="007A7871">
        <w:trPr>
          <w:trHeight w:val="565"/>
        </w:trPr>
        <w:tc>
          <w:tcPr>
            <w:tcW w:w="513" w:type="dxa"/>
            <w:vAlign w:val="center"/>
          </w:tcPr>
          <w:p w14:paraId="0FBFD4BA" w14:textId="77777777" w:rsidR="00772EF8" w:rsidRPr="008A1CE1" w:rsidRDefault="00772EF8">
            <w:pPr>
              <w:rPr>
                <w:rFonts w:ascii="Times New Roman" w:hAnsi="Times New Roman" w:cs="Times New Roman"/>
              </w:rPr>
            </w:pPr>
            <w:bookmarkStart w:id="4" w:name="_Hlk192496646"/>
            <w:bookmarkStart w:id="5" w:name="_Hlk76563970"/>
            <w:r w:rsidRPr="008A1CE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93" w:type="dxa"/>
            <w:vAlign w:val="center"/>
          </w:tcPr>
          <w:p w14:paraId="4D509F96" w14:textId="77777777" w:rsidR="00772EF8" w:rsidRPr="008A1CE1" w:rsidRDefault="00772EF8">
            <w:pPr>
              <w:rPr>
                <w:rFonts w:ascii="Times New Roman" w:hAnsi="Times New Roman" w:cs="Times New Roman"/>
              </w:rPr>
            </w:pPr>
            <w:r w:rsidRPr="008A1CE1">
              <w:rPr>
                <w:rFonts w:ascii="Times New Roman" w:hAnsi="Times New Roman" w:cs="Times New Roman"/>
              </w:rPr>
              <w:t>Вопрос Участника</w:t>
            </w:r>
          </w:p>
        </w:tc>
        <w:tc>
          <w:tcPr>
            <w:tcW w:w="6804" w:type="dxa"/>
            <w:vAlign w:val="center"/>
          </w:tcPr>
          <w:p w14:paraId="29072A4A" w14:textId="77777777" w:rsidR="00772EF8" w:rsidRPr="008A1CE1" w:rsidRDefault="00772EF8">
            <w:pPr>
              <w:rPr>
                <w:rFonts w:ascii="Times New Roman" w:hAnsi="Times New Roman" w:cs="Times New Roman"/>
              </w:rPr>
            </w:pPr>
            <w:r w:rsidRPr="008A1CE1">
              <w:rPr>
                <w:rFonts w:ascii="Times New Roman" w:hAnsi="Times New Roman" w:cs="Times New Roman"/>
              </w:rPr>
              <w:t>Ответ Заказчика</w:t>
            </w:r>
          </w:p>
        </w:tc>
      </w:tr>
      <w:tr w:rsidR="00772EF8" w:rsidRPr="008A1CE1" w14:paraId="449EEE0A" w14:textId="77777777" w:rsidTr="007A7871">
        <w:trPr>
          <w:trHeight w:val="701"/>
        </w:trPr>
        <w:tc>
          <w:tcPr>
            <w:tcW w:w="513" w:type="dxa"/>
          </w:tcPr>
          <w:p w14:paraId="55A145F3" w14:textId="77777777" w:rsidR="00772EF8" w:rsidRPr="008A1CE1" w:rsidRDefault="00772EF8">
            <w:pPr>
              <w:rPr>
                <w:rFonts w:ascii="Times New Roman" w:hAnsi="Times New Roman" w:cs="Times New Roman"/>
              </w:rPr>
            </w:pPr>
            <w:r w:rsidRPr="008A1C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3" w:type="dxa"/>
          </w:tcPr>
          <w:p w14:paraId="04D78A03" w14:textId="77777777" w:rsidR="00772EF8" w:rsidRPr="00E87A93" w:rsidRDefault="00772EF8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0A2B0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Требование устранения противоречий в ТЗ в соответствии с законодательством</w:t>
            </w:r>
          </w:p>
          <w:p w14:paraId="124DFD9A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A8F7B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Уважаемый заказчик!</w:t>
            </w:r>
          </w:p>
          <w:p w14:paraId="566E7FF0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F0BEE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Внесённые вами изменения в Техническое задание по-прежнему вызывают вопросы с точки зрения их соответствия 223-ФЗ и антимонопольному законодательству, а также</w:t>
            </w:r>
          </w:p>
          <w:p w14:paraId="6FE98FF6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содержат избыточные ограничения, которые могут необоснованно сузить круг участников.</w:t>
            </w:r>
          </w:p>
          <w:p w14:paraId="6E44BCC9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Ваш текст в ТЗ направлен не на обеспечение качества закупаемой продукции, а на искусственное ограничение числа поставщиков, что является грубым нарушением законодательства.</w:t>
            </w:r>
          </w:p>
          <w:p w14:paraId="762BC650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3F2B0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В связи с этим просим предоставить разъяснения и внести соответствующие корректировки по следующим вопросам:</w:t>
            </w:r>
          </w:p>
          <w:p w14:paraId="31F62C2F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9CBEF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Ограничение эквивалентов на основании невозможности перехода между маслами</w:t>
            </w:r>
          </w:p>
          <w:p w14:paraId="2EE166E4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 xml:space="preserve">В ТЗ указывается, что переход на другую марку масел невозможен без полной промывки 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системы, что влечёт дополнительные расходы.</w:t>
            </w:r>
          </w:p>
          <w:p w14:paraId="18351538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Однако ни один ГОСТ, API, ACEA не содержит обязательных требований о промывке при смене масла, если оно соответствует спецификациям производителя.</w:t>
            </w:r>
          </w:p>
          <w:p w14:paraId="477BB765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Просим предоставить официальные технические заключения от производителей техники, где прямо указано, что использование эквивалентов невозможно.</w:t>
            </w:r>
          </w:p>
          <w:p w14:paraId="7037846A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В случае их отсутствия требуем исключить этот пункт как избыточное ограничение конкуренции.</w:t>
            </w:r>
          </w:p>
          <w:p w14:paraId="1CDFD7D6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873DF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Спекуляции на химическом составе масел</w:t>
            </w:r>
          </w:p>
          <w:p w14:paraId="545223FA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Утверждение о том, что масла содержат “более 25% различных химически активных присадок”, не имеет никакого юридического значения.</w:t>
            </w:r>
          </w:p>
          <w:p w14:paraId="6E3B124C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Согласно ГОСТ 17479.1-2015, ГОСТ 10541-2017, а также международным стандартам API и ACEA, масла подчиняются международным стандартам и не могут содержать присадки, которые приводят к катастрофическим реакциям при смешивании.</w:t>
            </w:r>
          </w:p>
          <w:p w14:paraId="6B39DDB3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Производители масел проводят испытания на совместимость, а утверждение о “непредсказуемости” реакций без научного обоснования – это манипуляция, вводящая участников в заблуждение.</w:t>
            </w:r>
          </w:p>
          <w:p w14:paraId="25FB120B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EFE6C5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Если производители техники действительно запрещают эквиваленты, просим предоставить соответствующие документы.</w:t>
            </w:r>
          </w:p>
          <w:p w14:paraId="787FAF10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BFDE2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Ответственность поставщика за эксплуатационные характеристики продукции</w:t>
            </w:r>
          </w:p>
          <w:p w14:paraId="2AF7B7B8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В ТЗ содержится требование, согласно которому поставщик обязан оплачивать возможный ремонт техники в случае выхода из строя при использовании эквивалента.</w:t>
            </w:r>
          </w:p>
          <w:p w14:paraId="7C4FE7E7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Однако 223-ФЗ не предусматривает возложения на поставщика ответственности за эксплуатацию техники заказчика.</w:t>
            </w:r>
          </w:p>
          <w:p w14:paraId="208095DC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Если масло сертифицировано по ГОСТ, API, ACEA и соответствует требованиям производителя техники, оно не может быть признано причиной выхода техники из строя без официального технического заключения.</w:t>
            </w:r>
          </w:p>
          <w:p w14:paraId="0001E607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Просим разъяснить, каким образом будет устанавливаться причинно-следственная связь между эквивалентом и поломкой, а также исключить требование о покрытии затрат поставщиком как несоответствующее законодательству.</w:t>
            </w:r>
          </w:p>
          <w:p w14:paraId="7B50CD91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B1CCC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Требование документов, подтверждающих право на продажу продукции с товарными знаками “Лукойл”, “Роснефть”, “OILRIGHT”</w:t>
            </w:r>
          </w:p>
          <w:p w14:paraId="07BCB852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Если в закупке допускаются эквиваленты, требование предоставлять документы на продажу конкретных брендов является избыточным и юридически ничтожным.</w:t>
            </w:r>
          </w:p>
          <w:p w14:paraId="6DF7DF14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Введение этого условия необоснованно ограничивает круг участников закупки и создаёт дискриминационные условия.</w:t>
            </w:r>
          </w:p>
          <w:p w14:paraId="5935F26F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Просим исключить этот пункт из ТЗ как не соответствующий 223-ФЗ и ФЗ-135 “О защите конкуренции”.</w:t>
            </w:r>
          </w:p>
          <w:p w14:paraId="41BD705D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C6672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Учитывая вышеизложенное, просим провести проверку внесённых изменений и привести Техническое задание в соответствие с законодательством.</w:t>
            </w:r>
          </w:p>
          <w:p w14:paraId="7442E1E7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1477D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067E5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официальных разъяснений и корректировок мы будем вынуждены:</w:t>
            </w:r>
          </w:p>
          <w:p w14:paraId="061E7BBC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Обратиться в ФАС России с требованием провести проверку закупочной документации.</w:t>
            </w:r>
          </w:p>
          <w:p w14:paraId="5A7D8FF8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Инициировать рассмотрение в УФАС на предмет ограничения конкуренции.</w:t>
            </w:r>
          </w:p>
          <w:p w14:paraId="1E091189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ab/>
              <w:t>Подать запрос в центральный аппарат ПАО “</w:t>
            </w:r>
            <w:proofErr w:type="spellStart"/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” с требованием разъяснить закупочную политику дочерних организаций.</w:t>
            </w:r>
          </w:p>
          <w:p w14:paraId="5CF27295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4FE40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Мы надеемся, что данный вопрос будет урегулирован в добровольном порядке в рамках установленных законодательных норм, без необходимости обращения в контролирующие органы.</w:t>
            </w:r>
          </w:p>
          <w:p w14:paraId="2F6AB8D0" w14:textId="77777777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47ECDA" w14:textId="2C40DC0E" w:rsidR="00E87A93" w:rsidRPr="00E87A93" w:rsidRDefault="00E87A93" w:rsidP="00E87A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>Просим предоставить официальный ответ в установленные законом сроки.</w:t>
            </w:r>
          </w:p>
          <w:p w14:paraId="1AA856E2" w14:textId="0CE0654B" w:rsidR="00E87A93" w:rsidRPr="00E87A93" w:rsidRDefault="00E87A93" w:rsidP="00E8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A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804" w:type="dxa"/>
          </w:tcPr>
          <w:p w14:paraId="71D3B912" w14:textId="77777777" w:rsidR="00A4750C" w:rsidRPr="00C958EB" w:rsidRDefault="00A4750C" w:rsidP="00A4750C">
            <w:pPr>
              <w:pStyle w:val="3"/>
              <w:widowControl w:val="0"/>
              <w:numPr>
                <w:ilvl w:val="0"/>
                <w:numId w:val="0"/>
              </w:numPr>
              <w:tabs>
                <w:tab w:val="left" w:pos="1276"/>
                <w:tab w:val="left" w:pos="1417"/>
                <w:tab w:val="left" w:pos="1559"/>
              </w:tabs>
              <w:rPr>
                <w:sz w:val="20"/>
                <w:szCs w:val="20"/>
              </w:rPr>
            </w:pPr>
            <w:bookmarkStart w:id="6" w:name="_Ref510768623"/>
            <w:r w:rsidRPr="00C958EB">
              <w:rPr>
                <w:sz w:val="20"/>
                <w:szCs w:val="20"/>
              </w:rPr>
              <w:lastRenderedPageBreak/>
              <w:t xml:space="preserve">В соответствии с </w:t>
            </w:r>
            <w:proofErr w:type="spellStart"/>
            <w:r w:rsidRPr="00C958EB">
              <w:rPr>
                <w:sz w:val="20"/>
                <w:szCs w:val="20"/>
              </w:rPr>
              <w:t>пп</w:t>
            </w:r>
            <w:proofErr w:type="spellEnd"/>
            <w:r w:rsidRPr="00C958EB">
              <w:rPr>
                <w:sz w:val="20"/>
                <w:szCs w:val="20"/>
              </w:rPr>
              <w:t xml:space="preserve">. 6.1. п. 6 ст. 3 Федерального закона от 18.07.2011 N 223-ФЗ  "О закупках товаров, работ, услуг отдельными видами юридических лиц и Единым стандартом закупок Публичного акционерного общества «Федеральная сетевая компания - </w:t>
            </w:r>
            <w:proofErr w:type="spellStart"/>
            <w:r w:rsidRPr="00C958EB">
              <w:rPr>
                <w:sz w:val="20"/>
                <w:szCs w:val="20"/>
              </w:rPr>
              <w:t>Россети</w:t>
            </w:r>
            <w:proofErr w:type="spellEnd"/>
            <w:r w:rsidRPr="00C958EB">
              <w:rPr>
                <w:sz w:val="20"/>
                <w:szCs w:val="20"/>
              </w:rPr>
              <w:t>» слова «или эквивалент» можно не указывать при</w:t>
            </w:r>
            <w:bookmarkEnd w:id="6"/>
            <w:r w:rsidRPr="00C958EB">
              <w:rPr>
                <w:sz w:val="20"/>
                <w:szCs w:val="20"/>
              </w:rPr>
              <w:t xml:space="preserve"> закупке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      </w:r>
          </w:p>
          <w:p w14:paraId="7601050C" w14:textId="77777777" w:rsidR="00A4750C" w:rsidRDefault="00A475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414E3" w14:textId="202B8CB5" w:rsidR="00BB6C90" w:rsidRPr="00C958EB" w:rsidRDefault="008A1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В Техническом задании определены 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r w:rsidR="00871B49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71B49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="00F576DB" w:rsidRPr="00C958EB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и эквивалентам </w:t>
            </w:r>
            <w:r w:rsidR="00F576DB" w:rsidRPr="00C958EB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4F07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1CBE94" w14:textId="6832A3F8" w:rsidR="00334B51" w:rsidRPr="00C958EB" w:rsidRDefault="00014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При подаче предложения в отношении предмета закупки (форма №1 приложения №4 к закупочной документации)</w:t>
            </w:r>
            <w:r w:rsidRPr="00C958EB">
              <w:rPr>
                <w:sz w:val="20"/>
                <w:szCs w:val="20"/>
              </w:rPr>
              <w:t xml:space="preserve"> </w:t>
            </w:r>
            <w:r w:rsidR="00BB6C90" w:rsidRPr="00C958EB">
              <w:rPr>
                <w:sz w:val="20"/>
                <w:szCs w:val="20"/>
              </w:rPr>
              <w:t>п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.6.1. Технического задания «Заказчик намерен приобрести следующую продукцию» Участник оформляет в виде таблицы №2 в соответствии с инструкциями по 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заполнению формы.</w:t>
            </w:r>
          </w:p>
          <w:p w14:paraId="3BD4BE39" w14:textId="34548E5B" w:rsidR="00334B51" w:rsidRPr="00C958EB" w:rsidRDefault="00F576DB" w:rsidP="00BC0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В п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.4.2 Технического задания определен перечень нормативных документов, которым должна соответствовать предлагаемая продукция.</w:t>
            </w:r>
          </w:p>
          <w:p w14:paraId="1D3728FE" w14:textId="682C6B97" w:rsidR="00014F07" w:rsidRPr="00C958EB" w:rsidRDefault="00014F07" w:rsidP="00BC0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При предложении поставщиком эквивалентов продукции поставщик предоставляет таблицу сравнения параметров эквивалентности, требуемой покупателем продукции и предлагаемого эквивалента и берет на себя ответственность за совместимость эквивалента продукции с запрашиваемым в Техническом задании видом и маркой продукции в соответствии с п. 4.3 Технического задания</w:t>
            </w:r>
          </w:p>
          <w:p w14:paraId="23AA2371" w14:textId="7C94A101" w:rsidR="00F576DB" w:rsidRPr="00C958EB" w:rsidRDefault="00F576DB" w:rsidP="00BC0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Правила п</w:t>
            </w:r>
            <w:r w:rsidR="00BC0949" w:rsidRPr="00C958EB">
              <w:rPr>
                <w:rFonts w:ascii="Times New Roman" w:hAnsi="Times New Roman" w:cs="Times New Roman"/>
                <w:sz w:val="20"/>
                <w:szCs w:val="20"/>
              </w:rPr>
              <w:t>ред</w:t>
            </w:r>
            <w:r w:rsidR="00014F07" w:rsidRPr="00C958E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 w:rsidR="00BC0949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эквивалентов продукции определя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BC0949"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тся 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34B51" w:rsidRPr="00C958EB">
              <w:rPr>
                <w:rFonts w:ascii="Times New Roman" w:hAnsi="Times New Roman" w:cs="Times New Roman"/>
                <w:sz w:val="20"/>
                <w:szCs w:val="20"/>
              </w:rPr>
              <w:t>.4.3 Технического задания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таблицей п. 6.1. </w:t>
            </w:r>
            <w:r w:rsidR="00A4750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Заказчик намерен приобрести следующую продукцию</w:t>
            </w:r>
            <w:r w:rsidR="00A4750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958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BB703E" w14:textId="77777777" w:rsidR="00334B51" w:rsidRPr="00C958EB" w:rsidRDefault="00334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9D220" w14:textId="1120AEDA" w:rsidR="00DE4BB8" w:rsidRPr="00C958EB" w:rsidRDefault="00DE4BB8" w:rsidP="00A47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5866CA74" w14:textId="77777777" w:rsidR="00C17540" w:rsidRPr="0028229A" w:rsidRDefault="00C17540" w:rsidP="001823B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898D2B" w14:textId="77777777" w:rsidR="00E87A93" w:rsidRDefault="00E87A93" w:rsidP="001823B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14:paraId="2B79A55B" w14:textId="7B9F6243" w:rsidR="001823BD" w:rsidRPr="0028229A" w:rsidRDefault="001823BD" w:rsidP="001823B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8229A">
        <w:rPr>
          <w:rFonts w:ascii="Times New Roman" w:eastAsia="Times New Roman" w:hAnsi="Times New Roman" w:cs="Times New Roman"/>
          <w:lang w:eastAsia="ru-RU"/>
        </w:rPr>
        <w:t>С уважением,</w:t>
      </w:r>
    </w:p>
    <w:p w14:paraId="545CC659" w14:textId="75139ADB" w:rsidR="00AC347B" w:rsidRDefault="00673CC3" w:rsidP="00424C94">
      <w:pPr>
        <w:keepNext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28229A">
        <w:rPr>
          <w:rFonts w:ascii="Times New Roman" w:eastAsia="Times New Roman" w:hAnsi="Times New Roman" w:cs="Times New Roman"/>
          <w:lang w:eastAsia="ru-RU"/>
        </w:rPr>
        <w:t>Начальник отдела закупок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АО «АТХ»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ab/>
      </w:r>
      <w:r w:rsidR="001823BD" w:rsidRPr="0028229A">
        <w:rPr>
          <w:rFonts w:ascii="Times New Roman" w:eastAsia="Times New Roman" w:hAnsi="Times New Roman" w:cs="Times New Roman"/>
          <w:lang w:eastAsia="ru-RU"/>
        </w:rPr>
        <w:tab/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1D2432" w:rsidRPr="0028229A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823BD" w:rsidRPr="002822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8229A">
        <w:rPr>
          <w:rFonts w:ascii="Times New Roman" w:eastAsia="Times New Roman" w:hAnsi="Times New Roman" w:cs="Times New Roman"/>
          <w:lang w:eastAsia="ru-RU"/>
        </w:rPr>
        <w:t xml:space="preserve">                                  С.Н. Божедомов</w:t>
      </w:r>
      <w:bookmarkStart w:id="7" w:name="_Hlk76563959"/>
      <w:bookmarkEnd w:id="5"/>
    </w:p>
    <w:p w14:paraId="19E3F3C1" w14:textId="77777777" w:rsidR="0045143F" w:rsidRDefault="0045143F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3FD6C5B" w14:textId="77777777" w:rsidR="0045143F" w:rsidRDefault="0045143F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05EB344E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2A70553A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4BD53078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01482F00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2C0D6642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3FFE8BF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2F3712DE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A37E7F6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59A7082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345CFE6E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2B09F0A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40878310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28937A68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E9390A8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4AEC57A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396A364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43CBAA47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B4A2B2C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57EC0119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E748681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7825EAFA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3FE0811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3F39E038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92C131A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15AF30D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079F8A33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323043D4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F3B6F5B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5613AF2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1730F915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6E87D105" w14:textId="77777777" w:rsid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488D9BD0" w14:textId="77777777" w:rsidR="00E87A93" w:rsidRPr="00E87A93" w:rsidRDefault="00E87A9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p w14:paraId="08BDBCD0" w14:textId="77777777" w:rsidR="00AC347B" w:rsidRPr="00AC347B" w:rsidRDefault="00AC347B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1E76714E" w14:textId="3987C4CE" w:rsidR="00105EF3" w:rsidRPr="00AC347B" w:rsidRDefault="00105EF3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Исполнитель:</w:t>
      </w:r>
    </w:p>
    <w:bookmarkEnd w:id="7"/>
    <w:p w14:paraId="01105BCF" w14:textId="788FD5D9" w:rsidR="00105EF3" w:rsidRPr="00AC347B" w:rsidRDefault="004B01DC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Исакова О.С.</w:t>
      </w:r>
    </w:p>
    <w:p w14:paraId="5881EB78" w14:textId="4DA45594" w:rsidR="00F219C1" w:rsidRPr="00A30AD3" w:rsidRDefault="00F219C1" w:rsidP="00105EF3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AC347B">
        <w:rPr>
          <w:rFonts w:ascii="Times New Roman" w:hAnsi="Times New Roman" w:cs="Times New Roman"/>
          <w:sz w:val="14"/>
          <w:szCs w:val="14"/>
        </w:rPr>
        <w:t>(8332)</w:t>
      </w:r>
      <w:r w:rsidR="00B2751B" w:rsidRPr="00AC347B">
        <w:rPr>
          <w:rFonts w:ascii="Times New Roman" w:hAnsi="Times New Roman" w:cs="Times New Roman"/>
          <w:sz w:val="14"/>
          <w:szCs w:val="14"/>
        </w:rPr>
        <w:t xml:space="preserve"> </w:t>
      </w:r>
      <w:r w:rsidR="002B0F6D" w:rsidRPr="00AC347B">
        <w:rPr>
          <w:rFonts w:ascii="Times New Roman" w:hAnsi="Times New Roman" w:cs="Times New Roman"/>
          <w:sz w:val="14"/>
          <w:szCs w:val="14"/>
        </w:rPr>
        <w:t>25-58-11 (доб. 70</w:t>
      </w:r>
      <w:r w:rsidR="004B01DC" w:rsidRPr="00AC347B">
        <w:rPr>
          <w:rFonts w:ascii="Times New Roman" w:hAnsi="Times New Roman" w:cs="Times New Roman"/>
          <w:sz w:val="14"/>
          <w:szCs w:val="14"/>
        </w:rPr>
        <w:t>21</w:t>
      </w:r>
      <w:r w:rsidR="002B0F6D" w:rsidRPr="00AC347B">
        <w:rPr>
          <w:rFonts w:ascii="Times New Roman" w:hAnsi="Times New Roman" w:cs="Times New Roman"/>
          <w:sz w:val="14"/>
          <w:szCs w:val="14"/>
        </w:rPr>
        <w:t>)</w:t>
      </w:r>
    </w:p>
    <w:sectPr w:rsidR="00F219C1" w:rsidRPr="00A30AD3" w:rsidSect="00334B51">
      <w:pgSz w:w="16838" w:h="11906" w:orient="landscape"/>
      <w:pgMar w:top="851" w:right="568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6D2"/>
    <w:multiLevelType w:val="multilevel"/>
    <w:tmpl w:val="FDBE11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 w15:restartNumberingAfterBreak="0">
    <w:nsid w:val="07D35ED9"/>
    <w:multiLevelType w:val="multilevel"/>
    <w:tmpl w:val="2B98AD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 w15:restartNumberingAfterBreak="0">
    <w:nsid w:val="09495EBC"/>
    <w:multiLevelType w:val="hybridMultilevel"/>
    <w:tmpl w:val="6EECECDC"/>
    <w:lvl w:ilvl="0" w:tplc="3B520E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78A"/>
    <w:multiLevelType w:val="hybridMultilevel"/>
    <w:tmpl w:val="9034A84C"/>
    <w:lvl w:ilvl="0" w:tplc="535C7F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1EEB"/>
    <w:multiLevelType w:val="multilevel"/>
    <w:tmpl w:val="0F6AD0FC"/>
    <w:lvl w:ilvl="0">
      <w:start w:val="1"/>
      <w:numFmt w:val="decimal"/>
      <w:pStyle w:val="1"/>
      <w:lvlText w:val="%1."/>
      <w:lvlJc w:val="center"/>
      <w:pPr>
        <w:tabs>
          <w:tab w:val="num" w:pos="2977"/>
        </w:tabs>
      </w:pPr>
      <w:rPr>
        <w:rFonts w:cs="Times New Roman" w:hint="default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4680"/>
        </w:tabs>
        <w:ind w:firstLine="567"/>
      </w:pPr>
      <w:rPr>
        <w:rFonts w:cs="Times New Roman" w:hint="default"/>
        <w:bCs/>
        <w:iCs w:val="0"/>
        <w: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5109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russianLower"/>
      <w:pStyle w:val="5"/>
      <w:lvlText w:val="%5)"/>
      <w:lvlJc w:val="left"/>
      <w:pPr>
        <w:tabs>
          <w:tab w:val="num" w:pos="1703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5" w15:restartNumberingAfterBreak="0">
    <w:nsid w:val="1C6D2CC7"/>
    <w:multiLevelType w:val="multilevel"/>
    <w:tmpl w:val="1C6D2C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D2776"/>
    <w:multiLevelType w:val="hybridMultilevel"/>
    <w:tmpl w:val="2134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9CE"/>
    <w:multiLevelType w:val="hybridMultilevel"/>
    <w:tmpl w:val="B5D67632"/>
    <w:lvl w:ilvl="0" w:tplc="CE842914">
      <w:start w:val="1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76624"/>
    <w:multiLevelType w:val="hybridMultilevel"/>
    <w:tmpl w:val="E47C1B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B9D1269"/>
    <w:multiLevelType w:val="hybridMultilevel"/>
    <w:tmpl w:val="36E4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53FA5"/>
    <w:multiLevelType w:val="hybridMultilevel"/>
    <w:tmpl w:val="7D8E52F0"/>
    <w:lvl w:ilvl="0" w:tplc="A0988D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35076"/>
    <w:multiLevelType w:val="hybridMultilevel"/>
    <w:tmpl w:val="F0F47908"/>
    <w:lvl w:ilvl="0" w:tplc="BBA2EF00">
      <w:start w:val="1"/>
      <w:numFmt w:val="decimal"/>
      <w:lvlText w:val="%1."/>
      <w:lvlJc w:val="left"/>
      <w:pPr>
        <w:ind w:left="531" w:hanging="311"/>
        <w:jc w:val="right"/>
      </w:pPr>
      <w:rPr>
        <w:rFonts w:hint="default"/>
        <w:spacing w:val="-1"/>
        <w:w w:val="105"/>
        <w:lang w:val="ru-RU" w:eastAsia="en-US" w:bidi="ar-SA"/>
      </w:rPr>
    </w:lvl>
    <w:lvl w:ilvl="1" w:tplc="9606D1B0">
      <w:numFmt w:val="bullet"/>
      <w:lvlText w:val="•"/>
      <w:lvlJc w:val="left"/>
      <w:pPr>
        <w:ind w:left="174" w:hanging="359"/>
      </w:pPr>
      <w:rPr>
        <w:rFonts w:ascii="Arial" w:eastAsia="Arial" w:hAnsi="Arial" w:cs="Arial" w:hint="default"/>
        <w:spacing w:val="0"/>
        <w:w w:val="99"/>
        <w:lang w:val="ru-RU" w:eastAsia="en-US" w:bidi="ar-SA"/>
      </w:rPr>
    </w:lvl>
    <w:lvl w:ilvl="2" w:tplc="D86EAB2E">
      <w:numFmt w:val="bullet"/>
      <w:lvlText w:val="•"/>
      <w:lvlJc w:val="left"/>
      <w:pPr>
        <w:ind w:left="1613" w:hanging="359"/>
      </w:pPr>
      <w:rPr>
        <w:rFonts w:hint="default"/>
        <w:lang w:val="ru-RU" w:eastAsia="en-US" w:bidi="ar-SA"/>
      </w:rPr>
    </w:lvl>
    <w:lvl w:ilvl="3" w:tplc="8308483A">
      <w:numFmt w:val="bullet"/>
      <w:lvlText w:val="•"/>
      <w:lvlJc w:val="left"/>
      <w:pPr>
        <w:ind w:left="2687" w:hanging="359"/>
      </w:pPr>
      <w:rPr>
        <w:rFonts w:hint="default"/>
        <w:lang w:val="ru-RU" w:eastAsia="en-US" w:bidi="ar-SA"/>
      </w:rPr>
    </w:lvl>
    <w:lvl w:ilvl="4" w:tplc="58D417F4">
      <w:numFmt w:val="bullet"/>
      <w:lvlText w:val="•"/>
      <w:lvlJc w:val="left"/>
      <w:pPr>
        <w:ind w:left="3761" w:hanging="359"/>
      </w:pPr>
      <w:rPr>
        <w:rFonts w:hint="default"/>
        <w:lang w:val="ru-RU" w:eastAsia="en-US" w:bidi="ar-SA"/>
      </w:rPr>
    </w:lvl>
    <w:lvl w:ilvl="5" w:tplc="62FA69A0">
      <w:numFmt w:val="bullet"/>
      <w:lvlText w:val="•"/>
      <w:lvlJc w:val="left"/>
      <w:pPr>
        <w:ind w:left="4835" w:hanging="359"/>
      </w:pPr>
      <w:rPr>
        <w:rFonts w:hint="default"/>
        <w:lang w:val="ru-RU" w:eastAsia="en-US" w:bidi="ar-SA"/>
      </w:rPr>
    </w:lvl>
    <w:lvl w:ilvl="6" w:tplc="B6BE4D76">
      <w:numFmt w:val="bullet"/>
      <w:lvlText w:val="•"/>
      <w:lvlJc w:val="left"/>
      <w:pPr>
        <w:ind w:left="5908" w:hanging="359"/>
      </w:pPr>
      <w:rPr>
        <w:rFonts w:hint="default"/>
        <w:lang w:val="ru-RU" w:eastAsia="en-US" w:bidi="ar-SA"/>
      </w:rPr>
    </w:lvl>
    <w:lvl w:ilvl="7" w:tplc="3288F42C">
      <w:numFmt w:val="bullet"/>
      <w:lvlText w:val="•"/>
      <w:lvlJc w:val="left"/>
      <w:pPr>
        <w:ind w:left="6982" w:hanging="359"/>
      </w:pPr>
      <w:rPr>
        <w:rFonts w:hint="default"/>
        <w:lang w:val="ru-RU" w:eastAsia="en-US" w:bidi="ar-SA"/>
      </w:rPr>
    </w:lvl>
    <w:lvl w:ilvl="8" w:tplc="D5CC6F6A">
      <w:numFmt w:val="bullet"/>
      <w:lvlText w:val="•"/>
      <w:lvlJc w:val="left"/>
      <w:pPr>
        <w:ind w:left="8056" w:hanging="359"/>
      </w:pPr>
      <w:rPr>
        <w:rFonts w:hint="default"/>
        <w:lang w:val="ru-RU" w:eastAsia="en-US" w:bidi="ar-SA"/>
      </w:rPr>
    </w:lvl>
  </w:abstractNum>
  <w:abstractNum w:abstractNumId="12" w15:restartNumberingAfterBreak="0">
    <w:nsid w:val="66174CB2"/>
    <w:multiLevelType w:val="hybridMultilevel"/>
    <w:tmpl w:val="CE484E3A"/>
    <w:lvl w:ilvl="0" w:tplc="7D4085EC">
      <w:start w:val="11"/>
      <w:numFmt w:val="decimal"/>
      <w:lvlText w:val="%1)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D4452"/>
    <w:multiLevelType w:val="hybridMultilevel"/>
    <w:tmpl w:val="B92E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670CC"/>
    <w:multiLevelType w:val="hybridMultilevel"/>
    <w:tmpl w:val="47E8EA4C"/>
    <w:lvl w:ilvl="0" w:tplc="408CB6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0096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243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271763">
    <w:abstractNumId w:val="9"/>
  </w:num>
  <w:num w:numId="4" w16cid:durableId="79523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492692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369986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299750">
    <w:abstractNumId w:val="5"/>
  </w:num>
  <w:num w:numId="8" w16cid:durableId="951980645">
    <w:abstractNumId w:val="13"/>
  </w:num>
  <w:num w:numId="9" w16cid:durableId="525143376">
    <w:abstractNumId w:val="11"/>
  </w:num>
  <w:num w:numId="10" w16cid:durableId="171914073">
    <w:abstractNumId w:val="6"/>
  </w:num>
  <w:num w:numId="11" w16cid:durableId="2129116">
    <w:abstractNumId w:val="10"/>
  </w:num>
  <w:num w:numId="12" w16cid:durableId="1419255430">
    <w:abstractNumId w:val="3"/>
  </w:num>
  <w:num w:numId="13" w16cid:durableId="792209112">
    <w:abstractNumId w:val="0"/>
  </w:num>
  <w:num w:numId="14" w16cid:durableId="1164857963">
    <w:abstractNumId w:val="1"/>
  </w:num>
  <w:num w:numId="15" w16cid:durableId="187723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A22"/>
    <w:rsid w:val="0000054E"/>
    <w:rsid w:val="00014F07"/>
    <w:rsid w:val="00017F60"/>
    <w:rsid w:val="00045723"/>
    <w:rsid w:val="000B151E"/>
    <w:rsid w:val="000D6ECD"/>
    <w:rsid w:val="000F1179"/>
    <w:rsid w:val="00101FC4"/>
    <w:rsid w:val="00105EF3"/>
    <w:rsid w:val="001347F4"/>
    <w:rsid w:val="00142635"/>
    <w:rsid w:val="001823BD"/>
    <w:rsid w:val="001D2432"/>
    <w:rsid w:val="001E126C"/>
    <w:rsid w:val="002075F8"/>
    <w:rsid w:val="00235FBD"/>
    <w:rsid w:val="00251953"/>
    <w:rsid w:val="002555D5"/>
    <w:rsid w:val="00281B4F"/>
    <w:rsid w:val="0028229A"/>
    <w:rsid w:val="002A42D9"/>
    <w:rsid w:val="002B0F6D"/>
    <w:rsid w:val="002B54EC"/>
    <w:rsid w:val="002C4986"/>
    <w:rsid w:val="002C5426"/>
    <w:rsid w:val="00315187"/>
    <w:rsid w:val="00321358"/>
    <w:rsid w:val="00334B51"/>
    <w:rsid w:val="00343C84"/>
    <w:rsid w:val="00354134"/>
    <w:rsid w:val="003744C1"/>
    <w:rsid w:val="003A7E6B"/>
    <w:rsid w:val="0040518C"/>
    <w:rsid w:val="00421309"/>
    <w:rsid w:val="00423713"/>
    <w:rsid w:val="00424C94"/>
    <w:rsid w:val="0043124B"/>
    <w:rsid w:val="00435286"/>
    <w:rsid w:val="00440493"/>
    <w:rsid w:val="0045143F"/>
    <w:rsid w:val="00470858"/>
    <w:rsid w:val="00481E89"/>
    <w:rsid w:val="0048522C"/>
    <w:rsid w:val="004B01DC"/>
    <w:rsid w:val="004B2874"/>
    <w:rsid w:val="004C53B7"/>
    <w:rsid w:val="004E0F80"/>
    <w:rsid w:val="0050393C"/>
    <w:rsid w:val="00523F6C"/>
    <w:rsid w:val="005322C2"/>
    <w:rsid w:val="0053388E"/>
    <w:rsid w:val="005577FD"/>
    <w:rsid w:val="0056389A"/>
    <w:rsid w:val="00566817"/>
    <w:rsid w:val="00575076"/>
    <w:rsid w:val="005B0B62"/>
    <w:rsid w:val="005C5509"/>
    <w:rsid w:val="005E5F4E"/>
    <w:rsid w:val="005F1945"/>
    <w:rsid w:val="006000FD"/>
    <w:rsid w:val="00632C6F"/>
    <w:rsid w:val="0064083B"/>
    <w:rsid w:val="00642F7B"/>
    <w:rsid w:val="00673CC3"/>
    <w:rsid w:val="00684C75"/>
    <w:rsid w:val="006C1D28"/>
    <w:rsid w:val="006D0600"/>
    <w:rsid w:val="0071069E"/>
    <w:rsid w:val="007115DD"/>
    <w:rsid w:val="0072100E"/>
    <w:rsid w:val="0074147B"/>
    <w:rsid w:val="00747344"/>
    <w:rsid w:val="007548FC"/>
    <w:rsid w:val="007558AD"/>
    <w:rsid w:val="0076453A"/>
    <w:rsid w:val="00772EF8"/>
    <w:rsid w:val="007757FA"/>
    <w:rsid w:val="00790A51"/>
    <w:rsid w:val="007A10D3"/>
    <w:rsid w:val="007A7871"/>
    <w:rsid w:val="007B6E28"/>
    <w:rsid w:val="007C1AFD"/>
    <w:rsid w:val="00814574"/>
    <w:rsid w:val="008378BE"/>
    <w:rsid w:val="0085618C"/>
    <w:rsid w:val="00863CA6"/>
    <w:rsid w:val="00871B49"/>
    <w:rsid w:val="00872A6F"/>
    <w:rsid w:val="008870E5"/>
    <w:rsid w:val="00891365"/>
    <w:rsid w:val="008A1935"/>
    <w:rsid w:val="008A1CE1"/>
    <w:rsid w:val="008B3E0B"/>
    <w:rsid w:val="008D1B90"/>
    <w:rsid w:val="00900D58"/>
    <w:rsid w:val="00915C9D"/>
    <w:rsid w:val="0093527B"/>
    <w:rsid w:val="00950A45"/>
    <w:rsid w:val="00980462"/>
    <w:rsid w:val="00987C2C"/>
    <w:rsid w:val="009B5B63"/>
    <w:rsid w:val="009E4591"/>
    <w:rsid w:val="009F7F06"/>
    <w:rsid w:val="00A30AD3"/>
    <w:rsid w:val="00A4725D"/>
    <w:rsid w:val="00A4750C"/>
    <w:rsid w:val="00A532E5"/>
    <w:rsid w:val="00A553D2"/>
    <w:rsid w:val="00A621A2"/>
    <w:rsid w:val="00A71293"/>
    <w:rsid w:val="00A87C60"/>
    <w:rsid w:val="00AB4C8A"/>
    <w:rsid w:val="00AB6DDD"/>
    <w:rsid w:val="00AC347B"/>
    <w:rsid w:val="00AC55E7"/>
    <w:rsid w:val="00AC742B"/>
    <w:rsid w:val="00AD5043"/>
    <w:rsid w:val="00AD79AC"/>
    <w:rsid w:val="00AE75D8"/>
    <w:rsid w:val="00B00F91"/>
    <w:rsid w:val="00B04DF2"/>
    <w:rsid w:val="00B2751B"/>
    <w:rsid w:val="00B458DF"/>
    <w:rsid w:val="00B46745"/>
    <w:rsid w:val="00B6081D"/>
    <w:rsid w:val="00B60C50"/>
    <w:rsid w:val="00B87EA1"/>
    <w:rsid w:val="00B91BBB"/>
    <w:rsid w:val="00BB6C90"/>
    <w:rsid w:val="00BC0949"/>
    <w:rsid w:val="00BD7BD6"/>
    <w:rsid w:val="00BE5BD8"/>
    <w:rsid w:val="00C17540"/>
    <w:rsid w:val="00C35295"/>
    <w:rsid w:val="00C51BCC"/>
    <w:rsid w:val="00C62000"/>
    <w:rsid w:val="00C879E9"/>
    <w:rsid w:val="00C958EB"/>
    <w:rsid w:val="00CA159A"/>
    <w:rsid w:val="00CB4E5B"/>
    <w:rsid w:val="00CC0805"/>
    <w:rsid w:val="00D54FD4"/>
    <w:rsid w:val="00D9626A"/>
    <w:rsid w:val="00DA37F0"/>
    <w:rsid w:val="00DB38EF"/>
    <w:rsid w:val="00DC7D3F"/>
    <w:rsid w:val="00DE4BB8"/>
    <w:rsid w:val="00DF6904"/>
    <w:rsid w:val="00E1769B"/>
    <w:rsid w:val="00E20A5B"/>
    <w:rsid w:val="00E43360"/>
    <w:rsid w:val="00E70A22"/>
    <w:rsid w:val="00E76338"/>
    <w:rsid w:val="00E87A93"/>
    <w:rsid w:val="00EB3A67"/>
    <w:rsid w:val="00ED577E"/>
    <w:rsid w:val="00EE71B3"/>
    <w:rsid w:val="00EF518B"/>
    <w:rsid w:val="00EF7232"/>
    <w:rsid w:val="00EF752D"/>
    <w:rsid w:val="00F219C1"/>
    <w:rsid w:val="00F26AEE"/>
    <w:rsid w:val="00F471AE"/>
    <w:rsid w:val="00F576DB"/>
    <w:rsid w:val="00F60625"/>
    <w:rsid w:val="00F62865"/>
    <w:rsid w:val="00F92D45"/>
    <w:rsid w:val="00F953F6"/>
    <w:rsid w:val="00FB16D9"/>
    <w:rsid w:val="00FC4D06"/>
    <w:rsid w:val="00FE19AF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C65"/>
  <w15:docId w15:val="{7D710D96-5405-46E7-B540-831B380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CA6"/>
  </w:style>
  <w:style w:type="paragraph" w:styleId="10">
    <w:name w:val="heading 1"/>
    <w:basedOn w:val="a"/>
    <w:link w:val="11"/>
    <w:uiPriority w:val="9"/>
    <w:qFormat/>
    <w:rsid w:val="00772EF8"/>
    <w:pPr>
      <w:widowControl w:val="0"/>
      <w:autoSpaceDE w:val="0"/>
      <w:autoSpaceDN w:val="0"/>
      <w:spacing w:before="252" w:after="0" w:line="240" w:lineRule="auto"/>
      <w:ind w:left="457" w:hanging="308"/>
      <w:outlineLvl w:val="0"/>
    </w:pPr>
    <w:rPr>
      <w:rFonts w:ascii="Arial" w:eastAsia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7E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7F0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70858"/>
    <w:rPr>
      <w:color w:val="605E5C"/>
      <w:shd w:val="clear" w:color="auto" w:fill="E1DFDD"/>
    </w:rPr>
  </w:style>
  <w:style w:type="paragraph" w:customStyle="1" w:styleId="a6">
    <w:name w:val="Подпункт"/>
    <w:basedOn w:val="a"/>
    <w:rsid w:val="00470858"/>
    <w:pPr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rsid w:val="0060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B46745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9"/>
    <w:uiPriority w:val="34"/>
    <w:qFormat/>
    <w:locked/>
    <w:rsid w:val="006C1D28"/>
    <w:rPr>
      <w:sz w:val="24"/>
      <w:szCs w:val="24"/>
    </w:rPr>
  </w:style>
  <w:style w:type="paragraph" w:styleId="a9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"/>
    <w:basedOn w:val="a"/>
    <w:link w:val="a8"/>
    <w:uiPriority w:val="1"/>
    <w:qFormat/>
    <w:rsid w:val="006C1D28"/>
    <w:pPr>
      <w:spacing w:after="0" w:line="240" w:lineRule="auto"/>
      <w:ind w:left="708"/>
    </w:pPr>
    <w:rPr>
      <w:sz w:val="24"/>
      <w:szCs w:val="24"/>
    </w:rPr>
  </w:style>
  <w:style w:type="table" w:customStyle="1" w:styleId="14">
    <w:name w:val="Сетка таблицы1"/>
    <w:basedOn w:val="a1"/>
    <w:next w:val="a7"/>
    <w:uiPriority w:val="59"/>
    <w:rsid w:val="001823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uiPriority w:val="99"/>
    <w:qFormat/>
    <w:rsid w:val="001823BD"/>
    <w:pPr>
      <w:spacing w:after="0" w:line="360" w:lineRule="auto"/>
      <w:ind w:left="708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20">
    <w:name w:val="Сетка таблицы2"/>
    <w:basedOn w:val="a1"/>
    <w:next w:val="a7"/>
    <w:uiPriority w:val="39"/>
    <w:qFormat/>
    <w:rsid w:val="004B2874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A7129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555D5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440493"/>
    <w:pPr>
      <w:widowControl w:val="0"/>
      <w:spacing w:after="200" w:line="276" w:lineRule="auto"/>
      <w:ind w:firstLine="40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772EF8"/>
    <w:rPr>
      <w:rFonts w:ascii="Arial" w:eastAsia="Arial" w:hAnsi="Arial" w:cs="Arial"/>
      <w:sz w:val="28"/>
      <w:szCs w:val="28"/>
    </w:rPr>
  </w:style>
  <w:style w:type="paragraph" w:styleId="ac">
    <w:name w:val="Body Text"/>
    <w:basedOn w:val="a"/>
    <w:link w:val="ad"/>
    <w:uiPriority w:val="1"/>
    <w:qFormat/>
    <w:rsid w:val="00772EF8"/>
    <w:pPr>
      <w:widowControl w:val="0"/>
      <w:autoSpaceDE w:val="0"/>
      <w:autoSpaceDN w:val="0"/>
      <w:spacing w:after="0" w:line="240" w:lineRule="auto"/>
      <w:ind w:left="158"/>
    </w:pPr>
    <w:rPr>
      <w:rFonts w:ascii="Arial" w:eastAsia="Arial" w:hAnsi="Arial" w:cs="Arial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72EF8"/>
    <w:rPr>
      <w:rFonts w:ascii="Arial" w:eastAsia="Arial" w:hAnsi="Arial" w:cs="Arial"/>
      <w:sz w:val="24"/>
      <w:szCs w:val="24"/>
    </w:rPr>
  </w:style>
  <w:style w:type="paragraph" w:customStyle="1" w:styleId="1">
    <w:name w:val="Заголовок_1"/>
    <w:basedOn w:val="a"/>
    <w:uiPriority w:val="99"/>
    <w:rsid w:val="00334B51"/>
    <w:pPr>
      <w:keepNext/>
      <w:keepLines/>
      <w:numPr>
        <w:numId w:val="15"/>
      </w:numPr>
      <w:spacing w:before="360" w:after="120" w:line="240" w:lineRule="auto"/>
      <w:jc w:val="center"/>
      <w:outlineLvl w:val="0"/>
    </w:pPr>
    <w:rPr>
      <w:rFonts w:ascii="Arial" w:eastAsia="Times New Roman" w:hAnsi="Arial" w:cs="Arial"/>
      <w:b/>
      <w:bCs/>
      <w:caps/>
      <w:sz w:val="36"/>
      <w:szCs w:val="28"/>
      <w:lang w:eastAsia="ru-RU"/>
    </w:rPr>
  </w:style>
  <w:style w:type="paragraph" w:customStyle="1" w:styleId="3">
    <w:name w:val="Пункт_3"/>
    <w:basedOn w:val="a"/>
    <w:uiPriority w:val="99"/>
    <w:rsid w:val="00334B51"/>
    <w:pPr>
      <w:numPr>
        <w:ilvl w:val="2"/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Пункт_2"/>
    <w:basedOn w:val="a"/>
    <w:uiPriority w:val="99"/>
    <w:rsid w:val="00334B51"/>
    <w:pPr>
      <w:numPr>
        <w:ilvl w:val="1"/>
        <w:numId w:val="1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Пункт_5"/>
    <w:basedOn w:val="3"/>
    <w:uiPriority w:val="99"/>
    <w:rsid w:val="00334B51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253C-B5D3-4966-84E1-1146011B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Исакова Ольга Сергеевна</cp:lastModifiedBy>
  <cp:revision>7</cp:revision>
  <cp:lastPrinted>2025-03-11T08:36:00Z</cp:lastPrinted>
  <dcterms:created xsi:type="dcterms:W3CDTF">2022-12-23T11:07:00Z</dcterms:created>
  <dcterms:modified xsi:type="dcterms:W3CDTF">2025-03-14T05:17:00Z</dcterms:modified>
</cp:coreProperties>
</file>