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highlight w:val="white"/>
        </w:rPr>
      </w:pPr>
      <w:r>
        <w:rPr>
          <w:highlight w:val="white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Технические требования на 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выполнение научно-исследовательских, опытно-конструкторских </w:t>
        <w:br/>
        <w:t>и технологических работ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rStyle w:val="Style8"/>
          <w:rFonts w:eastAsia="Calibri"/>
          <w:sz w:val="26"/>
          <w:szCs w:val="26"/>
        </w:rPr>
      </w:pPr>
      <w:r>
        <w:rPr>
          <w:rStyle w:val="Style8"/>
          <w:rFonts w:eastAsia="Calibri"/>
          <w:b/>
          <w:i/>
          <w:sz w:val="26"/>
          <w:szCs w:val="26"/>
          <w:shd w:fill="auto" w:val="clear"/>
        </w:rPr>
        <w:t>ОКПД 2: 33.19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/>
      </w:pPr>
      <w:r>
        <w:rPr>
          <w:rStyle w:val="Style8"/>
          <w:rFonts w:eastAsia="Calibri"/>
          <w:b/>
          <w:i/>
          <w:sz w:val="26"/>
          <w:szCs w:val="26"/>
          <w:shd w:fill="auto" w:val="clear"/>
        </w:rPr>
        <w:t>«Техническое освидетельствование сосудов автоматических установок газового пожаротушения Жигулевской ГЭС»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rStyle w:val="Style8"/>
          <w:rFonts w:eastAsia="Calibri"/>
          <w:sz w:val="26"/>
          <w:szCs w:val="26"/>
        </w:rPr>
      </w:pPr>
      <w:r>
        <w:rPr>
          <w:rStyle w:val="Style8"/>
          <w:rFonts w:eastAsia="Calibri"/>
          <w:b/>
          <w:i w:val="false"/>
          <w:iCs w:val="false"/>
          <w:sz w:val="26"/>
          <w:szCs w:val="26"/>
          <w:shd w:fill="auto" w:val="clear"/>
        </w:rPr>
        <w:t>Лот №</w:t>
      </w:r>
      <w:r>
        <w:rPr>
          <w:rStyle w:val="Style8"/>
          <w:rFonts w:eastAsia="Calibri"/>
          <w:b/>
          <w:i/>
          <w:sz w:val="26"/>
          <w:szCs w:val="26"/>
          <w:shd w:fill="auto" w:val="clear"/>
        </w:rPr>
        <w:t xml:space="preserve"> 16-НИР-2025-ЖиГЭС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_RefHeading___Toc1614_2778050046">
            <w:r>
              <w:rPr>
                <w:webHidden/>
                <w:rStyle w:val="Style14"/>
                <w:vanish w:val="false"/>
              </w:rPr>
              <w:t>1. Общие сведения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1616_2778050046">
            <w:r>
              <w:rPr>
                <w:webHidden/>
                <w:rStyle w:val="Style14"/>
                <w:vanish w:val="false"/>
              </w:rPr>
              <w:t>1.1. Обозначения и сокращения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1618_2778050046">
            <w:r>
              <w:rPr>
                <w:webHidden/>
                <w:rStyle w:val="Style14"/>
                <w:vanish w:val="false"/>
              </w:rPr>
              <w:t>1.2. Наименование закупаемой продукции</w:t>
              <w:tab/>
              <w:t>4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1620_2778050046">
            <w:r>
              <w:rPr>
                <w:webHidden/>
                <w:rStyle w:val="Style14"/>
                <w:vanish w:val="false"/>
              </w:rPr>
              <w:t>1.3. Наименование и место расположения функционального заказчика</w:t>
              <w:tab/>
              <w:t>4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1622_2778050046">
            <w:r>
              <w:rPr>
                <w:webHidden/>
                <w:rStyle w:val="Style14"/>
                <w:vanish w:val="false"/>
              </w:rPr>
              <w:t>1.4. 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  <w:tab/>
              <w:t>4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1624_2778050046">
            <w:r>
              <w:rPr>
                <w:webHidden/>
                <w:rStyle w:val="Style14"/>
                <w:vanish w:val="false"/>
              </w:rPr>
              <w:t>1.5. Иные требования и сведения общего характера</w:t>
              <w:tab/>
              <w:t>4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634_2778050046">
            <w:r>
              <w:rPr>
                <w:webHidden/>
                <w:rStyle w:val="Style14"/>
                <w:vanish w:val="false"/>
              </w:rPr>
              <w:t>2. Требования к продукции</w:t>
              <w:tab/>
              <w:t>4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1636_2778050046">
            <w:r>
              <w:rPr>
                <w:webHidden/>
                <w:rStyle w:val="Style14"/>
                <w:vanish w:val="false"/>
              </w:rPr>
              <w:t>2.1. Требования к этапам и срокам выполнения работ</w:t>
              <w:tab/>
              <w:t>4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638_2778050046">
            <w:r>
              <w:rPr>
                <w:webHidden/>
                <w:rStyle w:val="Style14"/>
                <w:vanish w:val="false"/>
              </w:rPr>
              <w:t>Таблица 1. Требования по срокам выполнения работ</w:t>
              <w:tab/>
              <w:t>5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1640_2778050046">
            <w:r>
              <w:rPr>
                <w:webHidden/>
                <w:rStyle w:val="Style14"/>
                <w:vanish w:val="false"/>
              </w:rPr>
              <w:t>2.2. Требования к качеству продукции</w:t>
              <w:tab/>
              <w:t>6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642_2778050046">
            <w:r>
              <w:rPr>
                <w:webHidden/>
                <w:rStyle w:val="Style14"/>
                <w:vanish w:val="false"/>
              </w:rPr>
              <w:t>Таблица 2. Требования к качеству продукции</w:t>
              <w:tab/>
              <w:t>6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644_2778050046">
            <w:r>
              <w:rPr>
                <w:webHidden/>
                <w:rStyle w:val="Style14"/>
                <w:vanish w:val="false"/>
              </w:rPr>
              <w:t>3. Требования к документации по ценообразованию на этапе закупки</w:t>
              <w:tab/>
              <w:t>14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646_2778050046">
            <w:r>
              <w:rPr>
                <w:webHidden/>
                <w:rStyle w:val="Style14"/>
                <w:vanish w:val="false"/>
              </w:rPr>
              <w:t>4. Требования к документации по ценообразованию на этапе заключения (исполнения) договора</w:t>
              <w:tab/>
              <w:t>14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648_2778050046">
            <w:r>
              <w:rPr>
                <w:webHidden/>
                <w:rStyle w:val="Style14"/>
                <w:vanish w:val="false"/>
              </w:rPr>
              <w:t>5. Приложения</w:t>
              <w:tab/>
              <w:t>14</w:t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</w:rPr>
      </w:pPr>
      <w:bookmarkStart w:id="0" w:name="__RefHeading___Toc1614_2778050046"/>
      <w:bookmarkStart w:id="1" w:name="_Toc54647807"/>
      <w:bookmarkStart w:id="2" w:name="_Toc51339692"/>
      <w:bookmarkEnd w:id="0"/>
      <w:r>
        <w:rPr/>
        <w:t>Общие сведения</w:t>
      </w:r>
      <w:bookmarkEnd w:id="1"/>
      <w:bookmarkEnd w:id="2"/>
    </w:p>
    <w:p>
      <w:pPr>
        <w:pStyle w:val="Heading4"/>
        <w:numPr>
          <w:ilvl w:val="1"/>
          <w:numId w:val="3"/>
        </w:numPr>
        <w:rPr/>
      </w:pPr>
      <w:bookmarkStart w:id="3" w:name="__RefHeading___Toc1616_2778050046"/>
      <w:bookmarkStart w:id="4" w:name="_Toc54647808"/>
      <w:bookmarkStart w:id="5" w:name="_Toc46743505"/>
      <w:bookmarkEnd w:id="3"/>
      <w:r>
        <w:rPr/>
        <w:t>Обозначения и сокращения</w:t>
      </w:r>
      <w:bookmarkEnd w:id="4"/>
      <w:bookmarkEnd w:id="5"/>
    </w:p>
    <w:p>
      <w:pPr>
        <w:pStyle w:val="Normal"/>
        <w:rPr>
          <w:rStyle w:val="Style8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rStyle w:val="Style8"/>
                <w:b w:val="false"/>
                <w:bCs w:val="false"/>
                <w:i w:val="false"/>
                <w:sz w:val="24"/>
                <w:szCs w:val="24"/>
                <w:shd w:fill="FFFFFF" w:val="clear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rStyle w:val="Style8"/>
                <w:b w:val="false"/>
                <w:bCs w:val="false"/>
                <w:i w:val="false"/>
                <w:sz w:val="24"/>
                <w:szCs w:val="24"/>
                <w:shd w:fill="FFFFFF" w:val="clear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rStyle w:val="Style8"/>
                <w:b w:val="false"/>
                <w:bCs w:val="false"/>
                <w:i w:val="false"/>
                <w:sz w:val="24"/>
                <w:szCs w:val="24"/>
                <w:shd w:fill="FFFFFF" w:val="clear"/>
              </w:rPr>
              <w:t>НТД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rStyle w:val="Style8"/>
                <w:b w:val="false"/>
                <w:bCs w:val="false"/>
                <w:i w:val="false"/>
                <w:sz w:val="24"/>
                <w:szCs w:val="24"/>
                <w:shd w:fill="FFFFFF" w:val="clear"/>
              </w:rPr>
              <w:t>нормативно-техническая документация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rStyle w:val="Style8"/>
                <w:b w:val="false"/>
                <w:bCs w:val="false"/>
                <w:i w:val="false"/>
                <w:sz w:val="24"/>
                <w:szCs w:val="24"/>
                <w:shd w:fill="FFFFFF" w:val="clear"/>
              </w:rPr>
              <w:t>ВПР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rStyle w:val="Style8"/>
                <w:b w:val="false"/>
                <w:bCs w:val="false"/>
                <w:i w:val="false"/>
                <w:sz w:val="24"/>
                <w:szCs w:val="24"/>
                <w:shd w:fill="FFFFFF" w:val="clear"/>
              </w:rPr>
              <w:t>ведомость планируемых работ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rStyle w:val="Style8"/>
                <w:b w:val="false"/>
                <w:bCs w:val="false"/>
                <w:i w:val="false"/>
                <w:sz w:val="24"/>
                <w:szCs w:val="24"/>
                <w:shd w:fill="FFFFFF" w:val="clear"/>
              </w:rPr>
              <w:t>АУГП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rStyle w:val="Style8"/>
                <w:b w:val="false"/>
                <w:bCs w:val="false"/>
                <w:i w:val="false"/>
                <w:sz w:val="24"/>
                <w:szCs w:val="24"/>
                <w:shd w:fill="FFFFFF" w:val="clear"/>
              </w:rPr>
              <w:t>автоматическая установка газового пожаротушения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sz w:val="24"/>
                <w:szCs w:val="24"/>
                <w:shd w:fill="FFFFFF" w:val="clear"/>
              </w:rPr>
              <w:t>ГОТВ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sz w:val="24"/>
                <w:szCs w:val="24"/>
                <w:shd w:fill="FFFFFF" w:val="clear"/>
              </w:rPr>
              <w:t>газовое огнетушащее вещество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sz w:val="24"/>
                <w:szCs w:val="24"/>
                <w:shd w:fill="FFFFFF" w:val="clear"/>
              </w:rPr>
              <w:t>ГЭС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sz w:val="24"/>
                <w:szCs w:val="24"/>
                <w:shd w:fill="FFFFFF" w:val="clear"/>
              </w:rPr>
              <w:t>гидроэлектростанция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rPr/>
      </w:pPr>
      <w:bookmarkStart w:id="6" w:name="__RefHeading___Toc1618_2778050046"/>
      <w:bookmarkStart w:id="7" w:name="_Toc54647809"/>
      <w:bookmarkStart w:id="8" w:name="_Toc46743506"/>
      <w:bookmarkEnd w:id="6"/>
      <w:r>
        <w:rPr/>
        <w:t>Наименование закупаемой продукции</w:t>
      </w:r>
      <w:bookmarkEnd w:id="7"/>
      <w:bookmarkEnd w:id="8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426"/>
        <w:jc w:val="both"/>
        <w:rPr>
          <w:rStyle w:val="Style8"/>
          <w:bCs/>
          <w:i w:val="false"/>
          <w:i w:val="false"/>
          <w:sz w:val="24"/>
          <w:szCs w:val="24"/>
          <w:shd w:fill="FFFFFF" w:val="clear"/>
        </w:rPr>
      </w:pPr>
      <w:r>
        <w:rPr>
          <w:rStyle w:val="Style8"/>
          <w:rFonts w:eastAsia="Calibri"/>
          <w:b w:val="false"/>
          <w:bCs w:val="false"/>
          <w:i w:val="false"/>
          <w:iCs w:val="false"/>
          <w:sz w:val="24"/>
          <w:szCs w:val="24"/>
          <w:shd w:fill="auto" w:val="clear"/>
        </w:rPr>
        <w:t>ОКПД 2: 33.19</w:t>
      </w:r>
      <w:r>
        <w:rPr>
          <w:rStyle w:val="Style8"/>
          <w:b w:val="false"/>
          <w:bCs/>
          <w:i w:val="false"/>
          <w:sz w:val="24"/>
          <w:szCs w:val="24"/>
          <w:shd w:fill="FFFFFF" w:val="clear"/>
        </w:rPr>
        <w:t xml:space="preserve"> «Техническое освидетельствование сосудов автоматических установок газового пожаротушения Жигулевской ГЭС».</w:t>
      </w:r>
      <w:bookmarkStart w:id="9" w:name="_Toc46743507"/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10" w:name="__RefHeading___Toc1620_2778050046"/>
      <w:bookmarkStart w:id="11" w:name="_Toc54647810"/>
      <w:bookmarkStart w:id="12" w:name="_Toc54646218"/>
      <w:bookmarkEnd w:id="9"/>
      <w:bookmarkEnd w:id="10"/>
      <w:r>
        <w:rPr/>
        <w:t>Наименование и место расположения функционального заказчика</w:t>
      </w:r>
      <w:bookmarkEnd w:id="11"/>
      <w:bookmarkEnd w:id="12"/>
      <w:r>
        <w:rPr/>
        <w:t xml:space="preserve">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426"/>
        <w:rPr>
          <w:b w:val="false"/>
          <w:bCs w:val="false"/>
          <w:i w:val="false"/>
          <w:i w:val="false"/>
          <w:sz w:val="24"/>
          <w:szCs w:val="24"/>
          <w:shd w:fill="FFFFFF" w:val="clear"/>
        </w:rPr>
      </w:pPr>
      <w:r>
        <w:rPr>
          <w:rStyle w:val="Style8"/>
          <w:b w:val="false"/>
          <w:bCs w:val="false"/>
          <w:i w:val="false"/>
          <w:sz w:val="24"/>
          <w:szCs w:val="24"/>
          <w:shd w:fill="FFFFFF" w:val="clear"/>
        </w:rPr>
        <w:t>Филиал ПАО «РусГидро»-«Жигулевская ГЭС» (445350, Самарская обл., г. Жигулёвск, Московское шоссе, 2)</w:t>
      </w:r>
    </w:p>
    <w:p>
      <w:pPr>
        <w:pStyle w:val="Heading4"/>
        <w:numPr>
          <w:ilvl w:val="1"/>
          <w:numId w:val="3"/>
        </w:numPr>
        <w:rPr/>
      </w:pPr>
      <w:bookmarkStart w:id="13" w:name="__RefHeading___Toc1622_2778050046"/>
      <w:bookmarkStart w:id="14" w:name="_Toc54647811"/>
      <w:bookmarkStart w:id="15" w:name="_Toc46743509"/>
      <w:bookmarkStart w:id="16" w:name="_Hlk49857604"/>
      <w:bookmarkEnd w:id="13"/>
      <w:r>
        <w:rPr/>
        <w:t xml:space="preserve">Информация в отношении исполнения договора, </w:t>
      </w:r>
      <w:bookmarkStart w:id="17" w:name="_Hlk46492347"/>
      <w:r>
        <w:rPr/>
        <w:t xml:space="preserve">которая должна быть учтена при подготовке заявки </w:t>
      </w:r>
      <w:bookmarkEnd w:id="17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15"/>
      <w:bookmarkEnd w:id="16"/>
      <w:r>
        <w:rPr>
          <w:lang w:val="ru-RU"/>
        </w:rPr>
        <w:t xml:space="preserve"> </w:t>
      </w:r>
      <w:bookmarkEnd w:id="14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426"/>
        <w:rPr>
          <w:b w:val="false"/>
          <w:bCs w:val="false"/>
        </w:rPr>
      </w:pPr>
      <w:r>
        <w:rPr>
          <w:b w:val="false"/>
          <w:bCs w:val="false"/>
          <w:sz w:val="24"/>
          <w:szCs w:val="24"/>
          <w:shd w:fill="FFFFFF" w:val="clear"/>
          <w:lang w:val="ru-RU"/>
        </w:rPr>
        <w:t>1.4.1 Заказчик своими силами и за свой счет осуществляет доставку и возврат модулей газового пожаротушения по адресу указанному исполнителем работ.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426"/>
        <w:rPr>
          <w:b w:val="false"/>
          <w:bCs w:val="false"/>
        </w:rPr>
      </w:pPr>
      <w:r>
        <w:rPr>
          <w:rStyle w:val="Style8"/>
          <w:b w:val="false"/>
          <w:bCs w:val="false"/>
          <w:i w:val="false"/>
          <w:iCs w:val="false"/>
          <w:sz w:val="24"/>
          <w:szCs w:val="24"/>
          <w:shd w:fill="FFFFFF" w:val="clear"/>
          <w:lang w:val="ru-RU"/>
        </w:rPr>
        <w:t>1.4.2 Погрузку, разгрузку и перемещение по территории, исполнитель работ осуществляет самостоятельно.</w:t>
      </w:r>
      <w:bookmarkStart w:id="18" w:name="_Hlk48209761"/>
    </w:p>
    <w:p>
      <w:pPr>
        <w:pStyle w:val="Heading4"/>
        <w:numPr>
          <w:ilvl w:val="1"/>
          <w:numId w:val="3"/>
        </w:numPr>
        <w:rPr/>
      </w:pPr>
      <w:bookmarkStart w:id="19" w:name="__RefHeading___Toc1624_2778050046"/>
      <w:bookmarkStart w:id="20" w:name="_Toc54647812"/>
      <w:bookmarkStart w:id="21" w:name="_Toc50125126"/>
      <w:bookmarkStart w:id="22" w:name="_Toc46743510"/>
      <w:bookmarkEnd w:id="18"/>
      <w:bookmarkEnd w:id="19"/>
      <w:bookmarkEnd w:id="21"/>
      <w:bookmarkEnd w:id="22"/>
      <w:r>
        <w:rPr/>
        <w:t>Иные требования и сведения общего характера</w:t>
      </w:r>
      <w:r>
        <w:rPr>
          <w:lang w:val="ru-RU"/>
        </w:rPr>
        <w:t xml:space="preserve"> </w:t>
      </w:r>
      <w:bookmarkEnd w:id="20"/>
    </w:p>
    <w:p>
      <w:pPr>
        <w:pStyle w:val="Normal"/>
        <w:widowControl/>
        <w:suppressAutoHyphens w:val="true"/>
        <w:bidi w:val="0"/>
        <w:spacing w:before="0" w:after="0"/>
        <w:ind w:left="0" w:right="0" w:firstLine="454"/>
        <w:jc w:val="left"/>
        <w:rPr>
          <w:sz w:val="24"/>
          <w:szCs w:val="24"/>
        </w:rPr>
      </w:pPr>
      <w:bookmarkStart w:id="23" w:name="__RefHeading___Toc1626_2778050046"/>
      <w:bookmarkEnd w:id="23"/>
      <w:r>
        <w:rPr>
          <w:sz w:val="24"/>
          <w:szCs w:val="24"/>
        </w:rPr>
        <w:t>1.5.1 Филиалом ПАО «РусГидро»-«Жигулевская ГЭС» эксплуатируются 13 систем автоматические установки газового пожаротушения в помещениях: серверной КПП№15; помещения ППУ-500кВ; помещение серверной ОПУ-500кВ; аппаратная ССИиТС ВОХР; помещение серверной КСБ ВОХР; технического архив отм 37,25; архив отм. 46,3; помещение ЛАЗ АБК; помещение серверной ОРУ-110кВ; помещение серверной ОРУ-220кВ; аппаратная ВСП. Всего в указанных системах используются 36 модулей содержащих ГОТВ (ФК-5-1-12), состоящих из баллона, запорно-пускового устройства и прибора измерения давления. В качестве газа-вытеснителя используется азот.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454"/>
        <w:jc w:val="left"/>
        <w:rPr>
          <w:sz w:val="24"/>
          <w:szCs w:val="24"/>
        </w:rPr>
      </w:pPr>
      <w:bookmarkStart w:id="24" w:name="__RefHeading___Toc1628_2778050046"/>
      <w:bookmarkEnd w:id="24"/>
      <w:r>
        <w:rPr>
          <w:sz w:val="24"/>
          <w:szCs w:val="24"/>
        </w:rPr>
        <w:t>Из 36 модулей используемых в данных системах: 24 модуля производства ООО«Пожтехника» (МПА-NVC1230 (25-32-25) — 1 шт; МПА-NVC1230 (42-180-50) — 14 шт; МПА-NVC1230 (42-106-50) — 2 шт; МПА-NVC1230 (25-106-50) — 5 шт; МПА-NVC1230 (42-147-50) — 2 шт); 10 модулей производства ООО «Холдинг ОСК групп» (МПА-NVC1230 (42-147-50)); 2 модуля производства ООО «Минимакс Раша» (МХ1230 (50-140-49)S.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454"/>
        <w:jc w:val="left"/>
        <w:rPr>
          <w:sz w:val="24"/>
          <w:szCs w:val="24"/>
        </w:rPr>
      </w:pPr>
      <w:bookmarkStart w:id="25" w:name="__RefHeading___Toc1630_2778050046"/>
      <w:bookmarkEnd w:id="25"/>
      <w:r>
        <w:rPr>
          <w:sz w:val="24"/>
          <w:szCs w:val="24"/>
        </w:rPr>
        <w:t xml:space="preserve">1.5.2 Из 36 указанных в п.1.5.1 модулей 8 резервных, производства ООО«Пожтехника» (7 модулей МПА-NVC1230 (42-180-50) и 1 модуль МПА-NVC1230 (25-106-50)), не заправлены ГОТВ, что не позволяет их использование в целях пожаротушения. Необходимо произвести заправку ГОТВ. 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454"/>
        <w:jc w:val="left"/>
        <w:rPr/>
      </w:pPr>
      <w:bookmarkStart w:id="26" w:name="__RefHeading___Toc1632_2778050046"/>
      <w:bookmarkStart w:id="27" w:name="_Toc54647812_Копия_1"/>
      <w:bookmarkEnd w:id="26"/>
      <w:r>
        <w:rPr>
          <w:rStyle w:val="Style8"/>
          <w:b w:val="false"/>
          <w:bCs w:val="false"/>
          <w:i w:val="false"/>
          <w:iCs w:val="false"/>
          <w:sz w:val="24"/>
          <w:szCs w:val="24"/>
          <w:shd w:fill="auto" w:val="clear"/>
        </w:rPr>
        <w:t>1.5.2 Для эксплуатации модулей газового пожаротушения, в соответствие с действующими нормативными документами, необходимо выполнить изготовление дубликатов паспортов</w:t>
      </w:r>
      <w:bookmarkEnd w:id="27"/>
      <w:r>
        <w:rPr>
          <w:rStyle w:val="Style8"/>
          <w:b w:val="false"/>
          <w:bCs w:val="false"/>
          <w:i w:val="false"/>
          <w:iCs w:val="false"/>
          <w:sz w:val="24"/>
          <w:szCs w:val="24"/>
          <w:shd w:fill="auto" w:val="clear"/>
        </w:rPr>
        <w:t>.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28" w:name="__RefHeading___Toc1634_2778050046"/>
      <w:bookmarkStart w:id="29" w:name="_Toc51339693"/>
      <w:bookmarkStart w:id="30" w:name="_Toc54647813"/>
      <w:bookmarkEnd w:id="28"/>
      <w:r>
        <w:rPr/>
        <w:t>Требования к продукции</w:t>
      </w:r>
      <w:bookmarkEnd w:id="29"/>
      <w:bookmarkEnd w:id="30"/>
    </w:p>
    <w:p>
      <w:pPr>
        <w:pStyle w:val="Heading4"/>
        <w:numPr>
          <w:ilvl w:val="1"/>
          <w:numId w:val="3"/>
        </w:numPr>
        <w:rPr/>
      </w:pPr>
      <w:bookmarkStart w:id="31" w:name="__RefHeading___Toc1636_2778050046"/>
      <w:bookmarkStart w:id="32" w:name="_Toc54647814"/>
      <w:bookmarkEnd w:id="31"/>
      <w:r>
        <w:rPr/>
        <w:t xml:space="preserve">Требования к </w:t>
      </w:r>
      <w:r>
        <w:rPr>
          <w:lang w:val="ru-RU"/>
        </w:rPr>
        <w:t>этапам</w:t>
      </w:r>
      <w:r>
        <w:rPr/>
        <w:t xml:space="preserve"> и срокам </w:t>
      </w:r>
      <w:r>
        <w:rPr>
          <w:lang w:val="ru-RU"/>
        </w:rPr>
        <w:t>выполнения работ</w:t>
      </w:r>
      <w:bookmarkEnd w:id="32"/>
    </w:p>
    <w:p>
      <w:pPr>
        <w:pStyle w:val="Normal"/>
        <w:widowControl/>
        <w:bidi w:val="0"/>
        <w:spacing w:before="0" w:after="0"/>
        <w:ind w:left="0" w:right="0" w:firstLine="454"/>
        <w:jc w:val="left"/>
        <w:rPr>
          <w:sz w:val="24"/>
          <w:szCs w:val="24"/>
        </w:rPr>
      </w:pPr>
      <w:r>
        <w:rPr>
          <w:sz w:val="24"/>
          <w:szCs w:val="24"/>
        </w:rPr>
        <w:t>2.1.1 Общий срок выполнения работ не должен выходит за рамки определенные п. 1. таблицы 1.</w:t>
      </w:r>
    </w:p>
    <w:p>
      <w:pPr>
        <w:pStyle w:val="Normal"/>
        <w:widowControl/>
        <w:bidi w:val="0"/>
        <w:spacing w:before="0" w:after="0"/>
        <w:ind w:left="0" w:right="0" w:firstLine="454"/>
        <w:jc w:val="left"/>
        <w:rPr>
          <w:sz w:val="24"/>
          <w:szCs w:val="24"/>
        </w:rPr>
      </w:pPr>
      <w:r>
        <w:rPr>
          <w:sz w:val="24"/>
          <w:szCs w:val="24"/>
        </w:rPr>
        <w:t>2.1.2 Выполнение работы осуществляется в два этапа. Данное решение обусловлено необходимостью соблюдения требований пожарной безопасности на объектах заказчика.</w:t>
      </w:r>
    </w:p>
    <w:p>
      <w:pPr>
        <w:pStyle w:val="Normal"/>
        <w:widowControl/>
        <w:bidi w:val="0"/>
        <w:spacing w:before="0" w:after="0"/>
        <w:ind w:left="0" w:right="0" w:firstLine="454"/>
        <w:jc w:val="left"/>
        <w:rPr>
          <w:sz w:val="24"/>
          <w:szCs w:val="24"/>
        </w:rPr>
      </w:pPr>
      <w:r>
        <w:rPr>
          <w:sz w:val="24"/>
          <w:szCs w:val="24"/>
        </w:rPr>
        <w:t>2.1.3 Первый этап предусматривает проведение комплекса работ по проведению технического освидетельствования следующих модулей:</w:t>
      </w:r>
    </w:p>
    <w:p>
      <w:pPr>
        <w:pStyle w:val="Normal"/>
        <w:widowControl/>
        <w:bidi w:val="0"/>
        <w:spacing w:before="0" w:after="0"/>
        <w:ind w:left="0" w:right="0" w:firstLine="454"/>
        <w:jc w:val="left"/>
        <w:rPr>
          <w:sz w:val="24"/>
          <w:szCs w:val="24"/>
        </w:rPr>
      </w:pPr>
      <w:r>
        <w:rPr>
          <w:sz w:val="24"/>
          <w:szCs w:val="24"/>
        </w:rPr>
        <w:t>- МПА-NVC1230 (42-147-50) — 5 шт;</w:t>
      </w:r>
    </w:p>
    <w:p>
      <w:pPr>
        <w:pStyle w:val="Normal"/>
        <w:widowControl/>
        <w:bidi w:val="0"/>
        <w:spacing w:before="0" w:after="0"/>
        <w:ind w:left="0" w:right="0" w:firstLine="454"/>
        <w:jc w:val="left"/>
        <w:rPr>
          <w:sz w:val="24"/>
          <w:szCs w:val="24"/>
        </w:rPr>
      </w:pPr>
      <w:r>
        <w:rPr>
          <w:sz w:val="24"/>
          <w:szCs w:val="24"/>
        </w:rPr>
        <w:t>- МПА-NVC1230 (42-180-50) — 7 шт;</w:t>
      </w:r>
    </w:p>
    <w:p>
      <w:pPr>
        <w:pStyle w:val="Normal"/>
        <w:widowControl/>
        <w:bidi w:val="0"/>
        <w:spacing w:before="0" w:after="0"/>
        <w:ind w:left="0" w:right="0" w:firstLine="454"/>
        <w:jc w:val="left"/>
        <w:rPr>
          <w:sz w:val="24"/>
          <w:szCs w:val="24"/>
        </w:rPr>
      </w:pPr>
      <w:r>
        <w:rPr>
          <w:sz w:val="24"/>
          <w:szCs w:val="24"/>
        </w:rPr>
        <w:t>- МПА-NVC1230 (25-32-25) — 1 шт;</w:t>
      </w:r>
    </w:p>
    <w:p>
      <w:pPr>
        <w:pStyle w:val="Normal"/>
        <w:widowControl/>
        <w:bidi w:val="0"/>
        <w:spacing w:before="0" w:after="0"/>
        <w:ind w:left="0" w:right="0" w:firstLine="454"/>
        <w:jc w:val="left"/>
        <w:rPr>
          <w:sz w:val="24"/>
          <w:szCs w:val="24"/>
        </w:rPr>
      </w:pPr>
      <w:r>
        <w:rPr>
          <w:sz w:val="24"/>
          <w:szCs w:val="24"/>
        </w:rPr>
        <w:t>- МПА-NVC1230 (25-106-50) — 3 шт;</w:t>
      </w:r>
    </w:p>
    <w:p>
      <w:pPr>
        <w:pStyle w:val="Normal"/>
        <w:widowControl/>
        <w:bidi w:val="0"/>
        <w:spacing w:before="0" w:after="0"/>
        <w:ind w:left="0" w:right="0" w:firstLine="454"/>
        <w:jc w:val="left"/>
        <w:rPr>
          <w:sz w:val="24"/>
          <w:szCs w:val="24"/>
        </w:rPr>
      </w:pPr>
      <w:r>
        <w:rPr>
          <w:sz w:val="24"/>
          <w:szCs w:val="24"/>
        </w:rPr>
        <w:t>- МПА-NVC1230 (42-106-50) — 1 шт;</w:t>
      </w:r>
    </w:p>
    <w:p>
      <w:pPr>
        <w:pStyle w:val="Normal"/>
        <w:widowControl/>
        <w:bidi w:val="0"/>
        <w:spacing w:before="0" w:after="0"/>
        <w:ind w:left="0" w:right="0" w:firstLine="454"/>
        <w:jc w:val="left"/>
        <w:rPr>
          <w:sz w:val="24"/>
          <w:szCs w:val="24"/>
        </w:rPr>
      </w:pPr>
      <w:r>
        <w:rPr>
          <w:sz w:val="24"/>
          <w:szCs w:val="24"/>
        </w:rPr>
        <w:t>- МХ 1230 (50-140-49)S — 2 шт.</w:t>
      </w:r>
    </w:p>
    <w:p>
      <w:pPr>
        <w:pStyle w:val="Normal"/>
        <w:widowControl/>
        <w:bidi w:val="0"/>
        <w:spacing w:before="0" w:after="0"/>
        <w:ind w:left="0" w:right="0" w:firstLine="454"/>
        <w:jc w:val="left"/>
        <w:rPr>
          <w:sz w:val="24"/>
          <w:szCs w:val="24"/>
        </w:rPr>
      </w:pPr>
      <w:r>
        <w:rPr>
          <w:sz w:val="24"/>
          <w:szCs w:val="24"/>
        </w:rPr>
        <w:t>2.1.4 Второй этап предусматривает проведение комплекса работ по проведению технического освидетельствования следующих модулей:</w:t>
      </w:r>
    </w:p>
    <w:p>
      <w:pPr>
        <w:pStyle w:val="Normal"/>
        <w:widowControl/>
        <w:bidi w:val="0"/>
        <w:spacing w:before="0" w:after="0"/>
        <w:ind w:left="0" w:right="0" w:firstLine="454"/>
        <w:jc w:val="left"/>
        <w:rPr>
          <w:sz w:val="24"/>
          <w:szCs w:val="24"/>
        </w:rPr>
      </w:pPr>
      <w:r>
        <w:rPr>
          <w:sz w:val="24"/>
          <w:szCs w:val="24"/>
        </w:rPr>
        <w:t>- МПА-NVC1230 (42-147-50) — 7 шт;</w:t>
      </w:r>
    </w:p>
    <w:p>
      <w:pPr>
        <w:pStyle w:val="Normal"/>
        <w:widowControl/>
        <w:bidi w:val="0"/>
        <w:spacing w:before="0" w:after="0"/>
        <w:ind w:left="0" w:right="0" w:firstLine="454"/>
        <w:jc w:val="left"/>
        <w:rPr>
          <w:sz w:val="24"/>
          <w:szCs w:val="24"/>
        </w:rPr>
      </w:pPr>
      <w:r>
        <w:rPr>
          <w:sz w:val="24"/>
          <w:szCs w:val="24"/>
        </w:rPr>
        <w:t>- МПА-NVC1230 (42-180-50) — 7 шт;</w:t>
      </w:r>
    </w:p>
    <w:p>
      <w:pPr>
        <w:pStyle w:val="Normal"/>
        <w:widowControl/>
        <w:bidi w:val="0"/>
        <w:spacing w:before="0" w:after="0"/>
        <w:ind w:left="0" w:right="0" w:firstLine="454"/>
        <w:jc w:val="left"/>
        <w:rPr>
          <w:sz w:val="24"/>
          <w:szCs w:val="24"/>
        </w:rPr>
      </w:pPr>
      <w:r>
        <w:rPr>
          <w:sz w:val="24"/>
          <w:szCs w:val="24"/>
        </w:rPr>
        <w:t>- МПА-NVC1230 (25-106-50) — 2 шт;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454"/>
        <w:jc w:val="left"/>
        <w:rPr>
          <w:sz w:val="24"/>
          <w:szCs w:val="24"/>
        </w:rPr>
      </w:pPr>
      <w:r>
        <w:rPr>
          <w:sz w:val="24"/>
          <w:szCs w:val="24"/>
        </w:rPr>
        <w:t>- МПА-NVC1230 (42-106-50) — 1 шт.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/>
      </w:pPr>
      <w:bookmarkStart w:id="33" w:name="__RefHeading___Toc1638_2778050046"/>
      <w:bookmarkStart w:id="34" w:name="_Toc54647815"/>
      <w:bookmarkStart w:id="35" w:name="_Toc51339695"/>
      <w:bookmarkEnd w:id="33"/>
      <w:r>
        <w:rPr/>
        <w:t xml:space="preserve">Таблица 1. </w:t>
      </w:r>
      <w:bookmarkEnd w:id="35"/>
      <w:r>
        <w:rPr/>
        <w:t>Требования по срокам выполнения работ</w:t>
      </w:r>
      <w:bookmarkEnd w:id="34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  <w:bookmarkStart w:id="36" w:name="_Toc50125126_Копия_1"/>
      <w:bookmarkStart w:id="37" w:name="_Toc50125126_Копия_1"/>
      <w:bookmarkEnd w:id="37"/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29"/>
        <w:gridCol w:w="2550"/>
        <w:gridCol w:w="2979"/>
        <w:gridCol w:w="3117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Наименование работ/ этапа работ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выполнения работ/ этапа работ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выполнения работ / этапа работ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6"/>
              </w:rPr>
            </w:pPr>
            <w:r>
              <w:rPr>
                <w:b/>
                <w:sz w:val="26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6"/>
              </w:rPr>
            </w:pPr>
            <w:r>
              <w:rPr>
                <w:b/>
                <w:sz w:val="26"/>
              </w:rPr>
              <w:t>4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Общий срок выполнения работ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4"/>
                <w:szCs w:val="28"/>
              </w:rPr>
            </w:pPr>
            <w:r>
              <w:rPr>
                <w:b w:val="false"/>
                <w:bCs w:val="false"/>
                <w:sz w:val="24"/>
                <w:szCs w:val="28"/>
              </w:rPr>
              <w:t>С даты заключения договора (Плановый срок 01.07.2025 г.)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4"/>
                <w:szCs w:val="28"/>
              </w:rPr>
            </w:pPr>
            <w:r>
              <w:rPr>
                <w:b w:val="false"/>
                <w:bCs w:val="false"/>
                <w:sz w:val="24"/>
                <w:szCs w:val="28"/>
              </w:rPr>
              <w:t>Не более 5,5 месяцев с даты заключения договора (Плановый срок 15.12.2025)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2.</w:t>
            </w:r>
          </w:p>
        </w:tc>
        <w:tc>
          <w:tcPr>
            <w:tcW w:w="8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По этапам:</w:t>
            </w:r>
          </w:p>
        </w:tc>
      </w:tr>
      <w:tr>
        <w:trPr/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2.1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Первый этап</w:t>
            </w:r>
          </w:p>
        </w:tc>
        <w:tc>
          <w:tcPr>
            <w:tcW w:w="2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8"/>
              </w:rPr>
            </w:pPr>
            <w:r>
              <w:rPr>
                <w:rStyle w:val="Style8"/>
                <w:rFonts w:eastAsia="Times New Roman" w:cs="Times New Roman"/>
                <w:b w:val="false"/>
                <w:bCs w:val="false"/>
                <w:i w:val="false"/>
                <w:iCs/>
                <w:kern w:val="0"/>
                <w:sz w:val="24"/>
                <w:szCs w:val="28"/>
                <w:shd w:fill="auto" w:val="clear"/>
                <w:lang w:val="ru-RU" w:eastAsia="ru-RU" w:bidi="ar-SA"/>
              </w:rPr>
              <w:t>С даты заключения договора (Плановый срок 01.07.2025 г.)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8"/>
              </w:rPr>
            </w:pPr>
            <w:r>
              <w:rPr>
                <w:rStyle w:val="Style8"/>
                <w:rFonts w:eastAsia="Times New Roman" w:cs="Times New Roman"/>
                <w:b w:val="false"/>
                <w:bCs w:val="false"/>
                <w:i w:val="false"/>
                <w:iCs/>
                <w:kern w:val="0"/>
                <w:sz w:val="24"/>
                <w:szCs w:val="28"/>
                <w:shd w:fill="auto" w:val="clear"/>
                <w:lang w:val="ru-RU" w:eastAsia="ru-RU" w:bidi="ar-SA"/>
              </w:rPr>
              <w:t>Не более 2,5 месяцев с даты начала первого этапа (Плановый срок 15.09.2025)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2.2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Style8"/>
                <w:rFonts w:eastAsia="Times New Roman" w:cs="Times New Roman"/>
                <w:b w:val="false"/>
                <w:bCs w:val="false"/>
                <w:i w:val="false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Второй этап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Style w:val="Style8"/>
                <w:rFonts w:eastAsia="Times New Roman" w:cs="Times New Roman"/>
                <w:b w:val="false"/>
                <w:bCs w:val="false"/>
                <w:i w:val="false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Плановый срок 01.10.2025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8"/>
              </w:rPr>
            </w:pPr>
            <w:r>
              <w:rPr>
                <w:rStyle w:val="Style8"/>
                <w:rFonts w:eastAsia="Times New Roman" w:cs="Times New Roman"/>
                <w:b w:val="false"/>
                <w:bCs w:val="false"/>
                <w:i w:val="false"/>
                <w:iCs/>
                <w:kern w:val="0"/>
                <w:sz w:val="24"/>
                <w:szCs w:val="28"/>
                <w:shd w:fill="auto" w:val="clear"/>
                <w:lang w:val="ru-RU" w:eastAsia="ru-RU" w:bidi="ar-SA"/>
              </w:rPr>
              <w:t>Не более 2,5 месяцев с даты начала второго этапа (Плановый срок 15.12.2025)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38" w:name="__RefHeading___Toc1640_2778050046"/>
      <w:bookmarkStart w:id="39" w:name="_Toc54647817"/>
      <w:bookmarkStart w:id="40" w:name="_Toc51339698"/>
      <w:bookmarkStart w:id="41" w:name="_Toc54647816"/>
      <w:bookmarkStart w:id="42" w:name="_Toc46743511"/>
      <w:bookmarkStart w:id="43" w:name="_Toc46743510_Копия_1"/>
      <w:bookmarkEnd w:id="38"/>
      <w:bookmarkEnd w:id="43"/>
      <w:r>
        <w:rPr/>
        <w:t xml:space="preserve">Требования к </w:t>
      </w:r>
      <w:bookmarkEnd w:id="42"/>
      <w:r>
        <w:rPr/>
        <w:t>качеству продукции</w:t>
      </w:r>
      <w:bookmarkEnd w:id="41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rStyle w:val="Style8"/>
          <w:b w:val="false"/>
          <w:sz w:val="24"/>
          <w:szCs w:val="24"/>
        </w:rPr>
      </w:pPr>
      <w:bookmarkStart w:id="44" w:name="__RefHeading___Toc1642_2778050046"/>
      <w:bookmarkEnd w:id="44"/>
      <w:r>
        <w:rPr/>
        <w:t xml:space="preserve">Таблица </w:t>
      </w:r>
      <w:r>
        <w:rPr>
          <w:lang w:val="ru-RU"/>
        </w:rPr>
        <w:t>2</w:t>
      </w:r>
      <w:r>
        <w:rPr/>
        <w:t xml:space="preserve">. Требования к </w:t>
      </w:r>
      <w:bookmarkEnd w:id="40"/>
      <w:r>
        <w:rPr>
          <w:lang w:val="ru-RU"/>
        </w:rPr>
        <w:t>качеству продукции</w:t>
      </w:r>
      <w:bookmarkEnd w:id="39"/>
      <w:r>
        <w:rPr/>
        <w:t xml:space="preserve"> </w:t>
      </w:r>
    </w:p>
    <w:p>
      <w:pPr>
        <w:pStyle w:val="Normal"/>
        <w:rPr>
          <w:rStyle w:val="Style8"/>
          <w:b w:val="false"/>
        </w:rPr>
      </w:pPr>
      <w:r>
        <w:rPr>
          <w:rStyle w:val="Style8"/>
          <w:b w:val="false"/>
        </w:rPr>
        <w:t xml:space="preserve"> </w:t>
      </w:r>
    </w:p>
    <w:p>
      <w:pPr>
        <w:pStyle w:val="Normal"/>
        <w:snapToGrid w:val="false"/>
        <w:spacing w:before="0" w:after="120"/>
        <w:rPr>
          <w:rStyle w:val="Style8"/>
          <w:b w:val="false"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работ: </w:t>
      </w:r>
      <w:r>
        <w:rPr>
          <w:rStyle w:val="Style8"/>
          <w:b w:val="false"/>
          <w:bCs/>
          <w:i w:val="false"/>
          <w:iCs/>
          <w:sz w:val="24"/>
          <w:szCs w:val="24"/>
          <w:shd w:fill="FFFFFF" w:val="clear"/>
        </w:rPr>
        <w:t>Техническое освидетельствование сосудов автоматических установок газового пожаротушения Жигулевской ГЭС</w:t>
      </w:r>
    </w:p>
    <w:tbl>
      <w:tblPr>
        <w:tblStyle w:val="af"/>
        <w:tblW w:w="15168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20"/>
        <w:gridCol w:w="2865"/>
        <w:gridCol w:w="3260"/>
        <w:gridCol w:w="2694"/>
        <w:gridCol w:w="2926"/>
        <w:gridCol w:w="2602"/>
      </w:tblGrid>
      <w:tr>
        <w:trPr>
          <w:trHeight w:val="690" w:hRule="atLeast"/>
        </w:trPr>
        <w:tc>
          <w:tcPr>
            <w:tcW w:w="82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12</w:t>
            </w:r>
          </w:p>
        </w:tc>
        <w:tc>
          <w:tcPr>
            <w:tcW w:w="286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26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562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60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2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86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26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9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60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86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9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6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2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12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Требования к выполнению работ 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-//-</w:t>
            </w:r>
          </w:p>
        </w:tc>
        <w:tc>
          <w:tcPr>
            <w:tcW w:w="29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-//-</w:t>
            </w:r>
          </w:p>
        </w:tc>
        <w:tc>
          <w:tcPr>
            <w:tcW w:w="26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2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12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к наименованию и условному обозначению научно-технического результата</w:t>
            </w:r>
            <w:r>
              <w:rPr>
                <w:rStyle w:val="Style8"/>
                <w:rFonts w:eastAsia="Times New Roman" w:cs="Times New Roman"/>
                <w:bCs/>
                <w:i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-//-</w:t>
            </w:r>
          </w:p>
        </w:tc>
        <w:tc>
          <w:tcPr>
            <w:tcW w:w="29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-//-</w:t>
            </w:r>
          </w:p>
        </w:tc>
        <w:tc>
          <w:tcPr>
            <w:tcW w:w="26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2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6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Требование к наименованию </w:t>
            </w:r>
          </w:p>
        </w:tc>
        <w:tc>
          <w:tcPr>
            <w:tcW w:w="32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работ: «Техническое освидетельствование сосудов автоматических установок газового пожаротушения Жигулевской ГЭС».</w:t>
            </w:r>
          </w:p>
        </w:tc>
        <w:tc>
          <w:tcPr>
            <w:tcW w:w="269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2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2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612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области применения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-//-</w:t>
            </w:r>
          </w:p>
        </w:tc>
        <w:tc>
          <w:tcPr>
            <w:tcW w:w="29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-//-</w:t>
            </w:r>
          </w:p>
        </w:tc>
        <w:tc>
          <w:tcPr>
            <w:tcW w:w="26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2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6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Требование к области применения</w:t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1.2.1.1. В результате выполнения работ будет обеспечена безопасная эксплуатация модулей автоматических установок газового пожаротушения объектов заказчика.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1.2.1.2. </w:t>
            </w:r>
            <w:r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Услуги оказываются в соответствии с: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-настоящими техническими требованиями;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- ФНП в области промышленной безопасности «Правила промышленной безопасности при использовании оборудования, работающего под избыточным давлением» в действующей редакции;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 xml:space="preserve">- </w:t>
            </w:r>
            <w:r>
              <w:rPr>
                <w:rFonts w:eastAsia="Times New Roman"/>
                <w:bCs/>
                <w:iCs/>
                <w:caps w:val="false"/>
                <w:smallCaps w:val="false"/>
                <w:color w:val="000000"/>
                <w:spacing w:val="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/>
                <w:b w:val="false"/>
                <w:bCs/>
                <w:i w:val="false"/>
                <w:iCs/>
                <w:caps w:val="false"/>
                <w:smallCaps w:val="false"/>
                <w:color w:val="000000"/>
                <w:spacing w:val="0"/>
                <w:sz w:val="24"/>
                <w:szCs w:val="24"/>
                <w:lang w:eastAsia="ru-RU"/>
              </w:rPr>
              <w:t>123-ФЗ «Технический регламент о требованиях пожарной безопасности» в действующей редакции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0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2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12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Требования к целям и задачам разработки, ожидаемому эффекту 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-//-</w:t>
            </w:r>
          </w:p>
        </w:tc>
        <w:tc>
          <w:tcPr>
            <w:tcW w:w="29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-//-</w:t>
            </w:r>
          </w:p>
        </w:tc>
        <w:tc>
          <w:tcPr>
            <w:tcW w:w="26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2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6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Новизна разработки</w:t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требований завода-изготовителя о проведении технического освидетельствования баллонов 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0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2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6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Цель разработки</w:t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безопасной эксплуатации модулей автоматических установок газового пожаротушения объектов заказчика.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0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2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6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задачам исследования:</w:t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комплекса мероприятий по проведению технического освидетельствования модулей газового пожаротушения.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0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2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6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Основной ожидаемый эффект</w:t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Продление срока безопасной эксплуатации модулей автоматических установок газового пожаротушения объектов заказчика.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0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2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12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учету сведений о потребности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-//-</w:t>
            </w:r>
          </w:p>
        </w:tc>
        <w:tc>
          <w:tcPr>
            <w:tcW w:w="29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-//-</w:t>
            </w:r>
          </w:p>
        </w:tc>
        <w:tc>
          <w:tcPr>
            <w:tcW w:w="26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2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6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Требование к потребности</w:t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6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- Проведение работ следует из необходимости для заказчика обеспечить выполнение требований в следующих НТД:</w:t>
            </w:r>
          </w:p>
          <w:p>
            <w:pPr>
              <w:pStyle w:val="Normal"/>
              <w:widowControl w:val="false"/>
              <w:suppressAutoHyphens w:val="true"/>
              <w:spacing w:before="0" w:after="6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- Соблюдение "Правила промышленной безопасности при использовании оборудования, работающего под избыточным давлением" Приказ Ростехнадзора от 15.12.2020 N 536;</w:t>
            </w:r>
          </w:p>
          <w:p>
            <w:pPr>
              <w:pStyle w:val="Normal"/>
              <w:widowControl w:val="false"/>
              <w:suppressAutoHyphens w:val="true"/>
              <w:spacing w:before="0" w:after="6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- Эксплуатационная документация завода-изготовителя;</w:t>
            </w:r>
          </w:p>
          <w:p>
            <w:pPr>
              <w:pStyle w:val="Normal"/>
              <w:widowControl w:val="false"/>
              <w:suppressAutoHyphens w:val="true"/>
              <w:spacing w:before="0" w:after="6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- Федеральный закон от 22.07.2008 N 123-ФЗ "Технический регламент о требованиях пожарной безопасности" в актуальной редакции;</w:t>
            </w:r>
          </w:p>
          <w:p>
            <w:pPr>
              <w:pStyle w:val="Normal"/>
              <w:widowControl w:val="false"/>
              <w:suppressAutoHyphens w:val="true"/>
              <w:spacing w:before="0" w:after="6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- ГОСТ Р 59636-2021 «Установки пожаротушения автоматические».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0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2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12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Краткое описание характера работ 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-//-</w:t>
            </w:r>
          </w:p>
        </w:tc>
        <w:tc>
          <w:tcPr>
            <w:tcW w:w="29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-//-</w:t>
            </w:r>
          </w:p>
        </w:tc>
        <w:tc>
          <w:tcPr>
            <w:tcW w:w="26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2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65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описание последовательности работ</w:t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выполняется в следующей последовательности: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1.5.1.1. Проведение комплекса работ по техническому освидетельствованию модулей указанных в п.2.1.3 раздела 2 настоящих требований.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1.5.1.2. Восстановление паспортов на баллоны и модули п.1.5.1.1, с внесением необходимых данных о проведенных работах.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1.5.1.3. Проведение комплекса работ по техническому освидетельствованию модулей указанных в п.2.1.4 раздела 2 настоящих требований.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1.5.1.4. Восстановление паспортов на баллоны и модули п.1.5.1.3, с внесением необходимых данных о проведенных работах.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0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2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12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Основные требуемые параметры 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-//-</w:t>
            </w:r>
          </w:p>
        </w:tc>
        <w:tc>
          <w:tcPr>
            <w:tcW w:w="29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-//-</w:t>
            </w:r>
          </w:p>
        </w:tc>
        <w:tc>
          <w:tcPr>
            <w:tcW w:w="26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2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6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выполнению работы</w:t>
            </w:r>
          </w:p>
        </w:tc>
        <w:tc>
          <w:tcPr>
            <w:tcW w:w="3260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1.6.1.1. Комплекс мероприятий по проведению технического освидетельствования выполняется предприятием-изготовителем или организацией, уполномоченной предприятием-изготовителем.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1.6.1.2. Потери ГОТВ при проведении технического освидетельствования не должны превышать 10% от объема ГОТВ.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1.6.1.3. В объем работ по техническому освидетельствованию должно быть включено: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- эвакуация ГОТВ;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- техническое освидетельствование баллона модуля;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- восстановление лакокрасочного покрытия модуля;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- профилактические работы запорно предохранительного устройства(контроль работоспособности, проверка герметичности);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- замена манометра;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- заправка ГОТВ с восстановлением расчетного объема;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- </w:t>
            </w: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восстановление и дубликатов паспортов модулей и баллонов с внесением данных о проведенном техническом освидетельствовании;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- размещение актуальной информации на корпусе модуля (наклейка шильдиков).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1.6.1.4. Резервные модули ( 7 модулей МПА-NVC1230 (42-180-50) и 1 модуль МПА-NVC1230 (25-106-50)) поставляемые без ГОТВ, проходят полный комплекс мероприятий по техническому освидетельствованию с заправкой ГОТВ — ФК-5-1-12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02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2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6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при транспортировке</w:t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Погрузка и размещение модулей в автотранспорте должны обеспечивать соблюдение правил перевозки грузов в целях исключения дополнительных затрат заказчика на перекладку груза.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02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2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12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Требования к этапам разработки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Cs/>
                <w:sz w:val="24"/>
                <w:szCs w:val="24"/>
                <w:shd w:fill="FFFF99" w:val="clear"/>
              </w:rPr>
            </w:pPr>
            <w:r>
              <w:rPr>
                <w:bCs/>
                <w:sz w:val="24"/>
                <w:szCs w:val="24"/>
                <w:shd w:fill="FFFF99" w:val="clear"/>
              </w:rPr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-//-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Cs/>
                <w:sz w:val="24"/>
                <w:szCs w:val="24"/>
                <w:shd w:fill="FFFF99" w:val="clear"/>
              </w:rPr>
            </w:pPr>
            <w:r>
              <w:rPr>
                <w:bCs/>
                <w:sz w:val="24"/>
                <w:szCs w:val="24"/>
                <w:shd w:fill="FFFF99" w:val="clear"/>
              </w:rPr>
            </w:r>
          </w:p>
        </w:tc>
        <w:tc>
          <w:tcPr>
            <w:tcW w:w="29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-//-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Cs/>
                <w:sz w:val="24"/>
                <w:szCs w:val="24"/>
                <w:shd w:fill="FFFF99" w:val="clear"/>
              </w:rPr>
            </w:pPr>
            <w:r>
              <w:rPr>
                <w:bCs/>
                <w:sz w:val="24"/>
                <w:szCs w:val="24"/>
                <w:shd w:fill="FFFF99" w:val="clear"/>
              </w:rPr>
            </w:r>
          </w:p>
        </w:tc>
        <w:tc>
          <w:tcPr>
            <w:tcW w:w="26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  <w:shd w:fill="FFFF99" w:val="clear"/>
              </w:rPr>
            </w:pPr>
            <w:r>
              <w:rPr>
                <w:bCs/>
                <w:sz w:val="24"/>
                <w:szCs w:val="24"/>
                <w:shd w:fill="FFFF99" w:val="clear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Cs/>
                <w:sz w:val="24"/>
                <w:szCs w:val="24"/>
                <w:shd w:fill="FFFF99" w:val="clear"/>
              </w:rPr>
            </w:pPr>
            <w:r>
              <w:rPr>
                <w:bCs/>
                <w:sz w:val="24"/>
                <w:szCs w:val="24"/>
                <w:shd w:fill="FFFF99" w:val="clear"/>
              </w:rPr>
            </w:r>
          </w:p>
        </w:tc>
      </w:tr>
      <w:tr>
        <w:trPr/>
        <w:tc>
          <w:tcPr>
            <w:tcW w:w="82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6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этап</w:t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п.2.1.3 в объеме п. 1.6.1.3.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0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2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6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Второй этап</w:t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Второй этап выполняется по окончании первого этапа в соответствии с п.2.1.4 в объеме п.1.6.1.3.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0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2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12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результату работы и форме его предоставления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-//-</w:t>
            </w:r>
          </w:p>
        </w:tc>
        <w:tc>
          <w:tcPr>
            <w:tcW w:w="29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-//-</w:t>
            </w:r>
          </w:p>
        </w:tc>
        <w:tc>
          <w:tcPr>
            <w:tcW w:w="26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2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6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 первому этапу</w:t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окончанию мероприятий предусмотренных п.1.8.1 заказчику предоставляются модули АУГП прошедшие техническое освидетельствование с комплектом подтверждающих документов.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0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2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6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 второму этапу</w:t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окончанию мероприятий предусмотренных п.1.8.2 заказчику предоставляются модули АУГП прошедшие техническое освидетельствование с комплектом подтверждающих документов.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0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2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6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форме предоставления результата</w:t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1.9.4.1. Исполнитель</w:t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 xml:space="preserve"> обязан одновременно с передачей оборудования передать Заказчику относящиеся к нему документы, оформленные надлежащим образом: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сертификаты качества,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технические паспорта,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руководства по эксплуатации,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протоколы заводских испытаний на русском языке (обязательно).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1.9.4.2. Готовые модули передаются заказчику с: восстановленными и заполненными дубликатами паспортов содержащими данные о проведенном техническом освидетельствовании и актуальными шильдиками на корпусах модулей: утвержденными, руководителем организации проводящей техническое освидетельствование, актами проведения технического освидетельствования каждого модуля газового пожаротушения.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  <w:pStyle w:val="Normal"/>
        <w:tabs>
          <w:tab w:val="clear" w:pos="708"/>
          <w:tab w:val="left" w:pos="3152" w:leader="none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/>
      </w:pPr>
      <w:bookmarkStart w:id="45" w:name="__RefHeading___Toc1644_2778050046"/>
      <w:bookmarkStart w:id="46" w:name="_Toc54647818"/>
      <w:bookmarkStart w:id="47" w:name="_Toc54646411"/>
      <w:bookmarkStart w:id="48" w:name="_Toc53393312"/>
      <w:bookmarkEnd w:id="45"/>
      <w:r>
        <w:rPr/>
        <w:t>Требования к документации по ценообразованию</w:t>
      </w:r>
      <w:bookmarkEnd w:id="48"/>
      <w:r>
        <w:rPr/>
        <w:t xml:space="preserve"> на этапе закупки</w:t>
      </w:r>
      <w:bookmarkEnd w:id="46"/>
      <w:bookmarkEnd w:id="47"/>
    </w:p>
    <w:p>
      <w:pPr>
        <w:pStyle w:val="Normal"/>
        <w:widowControl w:val="false"/>
        <w:tabs>
          <w:tab w:val="clear" w:pos="708"/>
          <w:tab w:val="left" w:pos="426" w:leader="none"/>
        </w:tabs>
        <w:suppressAutoHyphens w:val="true"/>
        <w:bidi w:val="0"/>
        <w:spacing w:before="60" w:after="0"/>
        <w:ind w:left="0" w:right="0" w:firstLine="510"/>
        <w:jc w:val="both"/>
        <w:rPr/>
      </w:pPr>
      <w:r>
        <w:rPr>
          <w:rStyle w:val="Style8"/>
          <w:b w:val="false"/>
          <w:bCs/>
          <w:i w:val="false"/>
          <w:iCs w:val="false"/>
          <w:sz w:val="24"/>
          <w:szCs w:val="24"/>
          <w:shd w:fill="auto" w:val="clear"/>
        </w:rPr>
        <w:t>3.1.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 (с указанием понижающего коэффициента).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uppressAutoHyphens w:val="true"/>
        <w:bidi w:val="0"/>
        <w:spacing w:before="60" w:after="0"/>
        <w:ind w:left="0" w:right="0" w:firstLine="510"/>
        <w:jc w:val="both"/>
        <w:rPr/>
      </w:pPr>
      <w:r>
        <w:rPr>
          <w:rStyle w:val="Style8"/>
          <w:b w:val="false"/>
          <w:bCs/>
          <w:i w:val="false"/>
          <w:iCs w:val="false"/>
          <w:sz w:val="24"/>
          <w:szCs w:val="24"/>
          <w:shd w:fill="auto" w:val="clear"/>
        </w:rPr>
        <w:t>3.2. Дополнительные документы по ценообразованию (сметная документация) не включаются.</w:t>
      </w:r>
    </w:p>
    <w:p>
      <w:pPr>
        <w:pStyle w:val="Heading1"/>
        <w:keepLines/>
        <w:numPr>
          <w:ilvl w:val="0"/>
          <w:numId w:val="0"/>
        </w:numPr>
        <w:ind w:left="357" w:hanging="0"/>
        <w:rPr/>
      </w:pPr>
      <w:r>
        <w:rPr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/>
      </w:pPr>
      <w:bookmarkStart w:id="49" w:name="__RefHeading___Toc1646_2778050046"/>
      <w:bookmarkStart w:id="50" w:name="_Toc54646412"/>
      <w:bookmarkStart w:id="51" w:name="_Toc54647819"/>
      <w:bookmarkEnd w:id="49"/>
      <w:r>
        <w:rPr/>
        <w:t>Требования к документации по ценообразованию на этапе заключения (исполнения) договора</w:t>
      </w:r>
      <w:bookmarkEnd w:id="50"/>
      <w:bookmarkEnd w:id="51"/>
    </w:p>
    <w:p>
      <w:pPr>
        <w:pStyle w:val="Normal"/>
        <w:ind w:firstLine="426"/>
        <w:jc w:val="both"/>
        <w:rPr>
          <w:rStyle w:val="Style8"/>
          <w:rFonts w:eastAsia="Calibri"/>
          <w:i w:val="false"/>
          <w:i w:val="false"/>
          <w:iCs/>
          <w:sz w:val="24"/>
          <w:szCs w:val="24"/>
          <w:shd w:fill="FFFFFF" w:val="clear"/>
        </w:rPr>
      </w:pPr>
      <w:r>
        <w:rPr>
          <w:rStyle w:val="Style8"/>
          <w:rFonts w:eastAsia="Calibri"/>
          <w:b w:val="false"/>
          <w:bCs/>
          <w:i w:val="false"/>
          <w:iCs/>
          <w:sz w:val="24"/>
          <w:szCs w:val="24"/>
          <w:shd w:fill="FFFFFF" w:val="clear"/>
        </w:rPr>
        <w:t>4</w:t>
      </w:r>
      <w:bookmarkStart w:id="52" w:name="_Toc122080355"/>
      <w:r>
        <w:rPr>
          <w:rStyle w:val="Style8"/>
          <w:rFonts w:eastAsia="Calibri"/>
          <w:b w:val="false"/>
          <w:bCs/>
          <w:i w:val="false"/>
          <w:iCs/>
          <w:sz w:val="24"/>
          <w:szCs w:val="24"/>
          <w:shd w:fill="FFFFFF" w:val="clear"/>
        </w:rPr>
        <w:t>.1. Требования к оформлению и составлению сметной документации приведены в Приложении №3 к ТТ.</w:t>
      </w:r>
      <w:bookmarkEnd w:id="52"/>
    </w:p>
    <w:p>
      <w:pPr>
        <w:pStyle w:val="Heading1"/>
        <w:keepLines/>
        <w:numPr>
          <w:ilvl w:val="0"/>
          <w:numId w:val="0"/>
        </w:numPr>
        <w:ind w:left="357" w:hanging="0"/>
        <w:rPr/>
      </w:pPr>
      <w:r>
        <w:rPr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</w:rPr>
      </w:pPr>
      <w:bookmarkStart w:id="53" w:name="__RefHeading___Toc1648_2778050046"/>
      <w:bookmarkStart w:id="54" w:name="_Toc54646413"/>
      <w:bookmarkStart w:id="55" w:name="_Toc46743519"/>
      <w:bookmarkStart w:id="56" w:name="_Toc51339699"/>
      <w:bookmarkStart w:id="57" w:name="_Toc54647820"/>
      <w:bookmarkEnd w:id="53"/>
      <w:r>
        <w:rPr/>
        <w:t>Приложения</w:t>
      </w:r>
      <w:bookmarkEnd w:id="54"/>
      <w:bookmarkEnd w:id="55"/>
      <w:bookmarkEnd w:id="56"/>
      <w:bookmarkEnd w:id="57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/>
      </w:pPr>
      <w:r>
        <w:rPr>
          <w:rStyle w:val="Style8"/>
          <w:b w:val="false"/>
          <w:bCs/>
          <w:iCs/>
          <w:sz w:val="24"/>
          <w:szCs w:val="24"/>
          <w:shd w:fill="auto" w:val="clear"/>
        </w:rPr>
        <w:tab/>
      </w:r>
      <w:r>
        <w:rPr>
          <w:rStyle w:val="Style8"/>
          <w:b w:val="false"/>
          <w:bCs/>
          <w:i w:val="false"/>
          <w:iCs w:val="false"/>
          <w:sz w:val="24"/>
          <w:szCs w:val="24"/>
          <w:shd w:fill="auto" w:val="clear"/>
        </w:rPr>
        <w:t>Приложение №1 Требования к качеству выполненных работ и гарантийным обязательствам;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/>
      </w:pPr>
      <w:r>
        <w:rPr>
          <w:rStyle w:val="Style8"/>
          <w:b w:val="false"/>
          <w:bCs/>
          <w:i w:val="false"/>
          <w:iCs w:val="false"/>
          <w:sz w:val="24"/>
          <w:szCs w:val="24"/>
          <w:shd w:fill="auto" w:val="clear"/>
        </w:rPr>
        <w:tab/>
        <w:t>Приложение №2 Требования к оформлению и составлению сметной документации.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b w:val="false"/>
          <w:bCs/>
          <w:i w:val="false"/>
          <w:i w:val="false"/>
          <w:iCs w:val="false"/>
          <w:sz w:val="24"/>
          <w:szCs w:val="24"/>
        </w:rPr>
      </w:pPr>
      <w:r>
        <w:rPr>
          <w:b w:val="false"/>
          <w:bCs/>
          <w:i w:val="false"/>
          <w:iCs w:val="false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rStyle w:val="Style8"/>
          <w:b w:val="false"/>
          <w:bCs/>
          <w:iCs/>
          <w:sz w:val="24"/>
          <w:szCs w:val="24"/>
        </w:rPr>
      </w:pPr>
      <w:r>
        <w:rPr>
          <w:b w:val="false"/>
          <w:bCs/>
          <w:iCs/>
          <w:sz w:val="24"/>
          <w:szCs w:val="24"/>
        </w:rPr>
      </w:r>
    </w:p>
    <w:p>
      <w:pPr>
        <w:pStyle w:val="Normal"/>
        <w:rPr/>
      </w:pPr>
      <w:r>
        <w:rPr/>
      </w:r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13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qFormat/>
    <w:rsid w:val="00ff3a3a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1"/>
      </w:num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ff3a3a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7314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>
    <w:name w:val="Содержимое врезки"/>
    <w:basedOn w:val="Normal"/>
    <w:qFormat/>
    <w:pPr/>
    <w:rPr/>
  </w:style>
  <w:style w:type="paragraph" w:styleId="Style34">
    <w:name w:val="Содержимое таблицы"/>
    <w:basedOn w:val="Normal"/>
    <w:qFormat/>
    <w:pPr>
      <w:widowControl w:val="false"/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ED3D3-B204-40B2-89AA-64DDA12E9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Application>AlterOffice/3.4.0.8$Linux_X86_64 LibreOffice_project/8f3f3c847f0b8d6fea24e251d3d8ed4f23cbe23c</Application>
  <AppVersion>15.0000</AppVersion>
  <Pages>14</Pages>
  <Words>1508</Words>
  <Characters>10838</Characters>
  <CharactersWithSpaces>12117</CharactersWithSpaces>
  <Paragraphs>254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2020-09-18T17:02:00Z</dcterms:created>
  <dc:creator>Быстров Олег Геннадьевич</dc:creator>
  <dc:description/>
  <dc:language>ru-RU</dc:language>
  <cp:lastModifiedBy>ilyichevdu@corp.gidroogk.com</cp:lastModifiedBy>
  <cp:lastPrinted>2006-07-26T14:04:00Z</cp:lastPrinted>
  <dcterms:modified xsi:type="dcterms:W3CDTF">2025-03-20T16:35:55Z</dcterms:modified>
  <cp:revision>68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