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</w:t>
            </w:r>
            <w:proofErr w:type="spellStart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23456105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040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40" w:type="dxa"/>
          </w:tcPr>
          <w:p w14:paraId="3F5C5991" w14:textId="055C03D9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604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38E36ABE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подписания протокола: 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04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44158B76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604080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 w:rsidR="00175875">
        <w:rPr>
          <w:rFonts w:ascii="Times New Roman" w:hAnsi="Times New Roman" w:cs="Times New Roman"/>
          <w:b/>
          <w:color w:val="0000FF"/>
          <w:sz w:val="18"/>
          <w:szCs w:val="18"/>
        </w:rPr>
        <w:t>мая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7BAD29BA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604080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011CBA4D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604080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5AE2793E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604080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proofErr w:type="spellEnd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04176B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="00C41DE1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заявок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конкурса в электронной форме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="0020096A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.</w:t>
      </w:r>
    </w:p>
    <w:p w14:paraId="16A024B5" w14:textId="598D8948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.</w:t>
      </w:r>
    </w:p>
    <w:p w14:paraId="2B16E0AF" w14:textId="77777777" w:rsidR="00FC42E0" w:rsidRPr="0004176B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Р.В.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Солянин</w:t>
            </w:r>
            <w:proofErr w:type="spellEnd"/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Ю.В. Россохина</w:t>
            </w:r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176B"/>
    <w:rsid w:val="00042FB5"/>
    <w:rsid w:val="0004342D"/>
    <w:rsid w:val="0006796A"/>
    <w:rsid w:val="00075355"/>
    <w:rsid w:val="000762F4"/>
    <w:rsid w:val="00080984"/>
    <w:rsid w:val="000E47DD"/>
    <w:rsid w:val="000E6C71"/>
    <w:rsid w:val="001253B9"/>
    <w:rsid w:val="0013235C"/>
    <w:rsid w:val="0014544F"/>
    <w:rsid w:val="00175875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25732"/>
    <w:rsid w:val="00543C5E"/>
    <w:rsid w:val="0055737F"/>
    <w:rsid w:val="00577359"/>
    <w:rsid w:val="005809E1"/>
    <w:rsid w:val="00596E70"/>
    <w:rsid w:val="005C7190"/>
    <w:rsid w:val="005F1E41"/>
    <w:rsid w:val="005F6FBE"/>
    <w:rsid w:val="00604080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909F1"/>
    <w:rsid w:val="006A32DE"/>
    <w:rsid w:val="006D29E9"/>
    <w:rsid w:val="0070520D"/>
    <w:rsid w:val="0071379D"/>
    <w:rsid w:val="00714520"/>
    <w:rsid w:val="007218C5"/>
    <w:rsid w:val="0072376C"/>
    <w:rsid w:val="007242EA"/>
    <w:rsid w:val="007270AC"/>
    <w:rsid w:val="00730D02"/>
    <w:rsid w:val="007608B9"/>
    <w:rsid w:val="007710EE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3469E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552B6"/>
    <w:rsid w:val="00C81D7E"/>
    <w:rsid w:val="00C93FAD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C9D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Россохина Юлия Витальевна</cp:lastModifiedBy>
  <cp:revision>158</cp:revision>
  <cp:lastPrinted>2025-05-12T06:32:00Z</cp:lastPrinted>
  <dcterms:created xsi:type="dcterms:W3CDTF">2021-04-06T12:47:00Z</dcterms:created>
  <dcterms:modified xsi:type="dcterms:W3CDTF">2025-05-16T08:29:00Z</dcterms:modified>
</cp:coreProperties>
</file>