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УТВЕРЖДАЮ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Заместитель директора филиала-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Главный инженер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Волжского филиала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 xml:space="preserve"> </w:t>
      </w:r>
      <w:r>
        <w:rPr>
          <w:rFonts w:ascii="Times New Roman" w:hAnsi="Times New Roman"/>
          <w:color w:val="332E2D"/>
          <w:spacing w:val="2"/>
        </w:rPr>
        <w:t>АО «Гидроремонт-ВКК»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в г. Волжский</w:t>
      </w:r>
    </w:p>
    <w:p>
      <w:pPr>
        <w:pStyle w:val="12"/>
        <w:spacing w:lineRule="auto" w:line="264"/>
        <w:ind w:left="9020" w:hanging="3350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_______________Дорошин А.Н.</w:t>
      </w:r>
    </w:p>
    <w:p>
      <w:pPr>
        <w:pStyle w:val="12"/>
        <w:spacing w:lineRule="auto" w:line="264"/>
        <w:ind w:left="9020" w:hanging="5192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</w:r>
    </w:p>
    <w:p>
      <w:pPr>
        <w:pStyle w:val="12"/>
        <w:shd w:val="clear" w:color="auto" w:fill="auto"/>
        <w:spacing w:lineRule="auto" w:line="264"/>
        <w:ind w:left="9020" w:hanging="5192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</w:t>
      </w:r>
      <w:r>
        <w:rPr>
          <w:rFonts w:ascii="Times New Roman" w:hAnsi="Times New Roman"/>
          <w:spacing w:val="2"/>
        </w:rPr>
        <w:t>«___»  ___________ 2025 г.</w:t>
      </w:r>
    </w:p>
    <w:p>
      <w:pPr>
        <w:pStyle w:val="12"/>
        <w:shd w:val="clear" w:color="auto" w:fill="auto"/>
        <w:spacing w:lineRule="auto" w:line="264"/>
        <w:ind w:left="9020" w:hanging="4767"/>
        <w:rPr>
          <w:rStyle w:val="Style14"/>
          <w:b/>
        </w:rPr>
      </w:pPr>
      <w:r>
        <w:rPr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ТЕХНИЧЕСКИЕ ТРЕБОВАНИЯ </w:t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«ОКПД2 27.40.39 Поставка</w:t>
      </w:r>
      <w:r>
        <w:rPr>
          <w:rFonts w:cs="Times New Roman" w:ascii="Times New Roman" w:hAnsi="Times New Roman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светильники светодиодные VL PERIMETER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b/>
          <w:bCs/>
          <w:lang w:val="en-US"/>
        </w:rPr>
        <w:t>для нужд Волжского филиала АО «Гидроремонт-ВКК»</w:t>
      </w:r>
    </w:p>
    <w:p>
      <w:pPr>
        <w:pStyle w:val="12"/>
        <w:shd w:val="clear" w:color="auto" w:fill="auto"/>
        <w:spacing w:lineRule="auto" w:line="264"/>
        <w:ind w:firstLine="851"/>
        <w:jc w:val="center"/>
        <w:rPr/>
      </w:pPr>
      <w:r>
        <w:rPr>
          <w:rFonts w:cs="Times New Roman" w:ascii="Times New Roman" w:hAnsi="Times New Roman"/>
          <w:b/>
          <w:bCs/>
          <w:lang w:val="en-US"/>
        </w:rPr>
        <w:t>Лот №</w:t>
      </w:r>
    </w:p>
    <w:p>
      <w:pPr>
        <w:pStyle w:val="Normal"/>
        <w:bidi w:val="0"/>
        <w:jc w:val="left"/>
        <w:rPr>
          <w:rFonts w:ascii="Arial" w:hAnsi="Arial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1"/>
          <w:u w:val="none"/>
          <w:em w:val="none"/>
        </w:rPr>
      </w:pP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000000"/>
          <w:sz w:val="21"/>
          <w:u w:val="none"/>
          <w:em w:val="none"/>
        </w:rPr>
        <w:tab/>
        <w:tab/>
        <w:tab/>
        <w:tab/>
        <w:tab/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1.1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>Наименование закупаемой продукции</w:t>
      </w:r>
    </w:p>
    <w:p>
      <w:pPr>
        <w:pStyle w:val="Normal"/>
        <w:bidi w:val="0"/>
        <w:jc w:val="left"/>
        <w:rPr>
          <w:rFonts w:ascii="Times New Roman" w:hAnsi="Times New Roman" w:eastAsia="Calibri" w:cs="Times New Roman"/>
          <w:color w:val="auto"/>
          <w:kern w:val="0"/>
          <w:sz w:val="24"/>
          <w:szCs w:val="24"/>
          <w:shd w:fill="auto" w:val="clear"/>
          <w:lang w:val="ru-RU" w:eastAsia="ru-RU" w:bidi="ar-SA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Светильники светодиодные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en-US" w:eastAsia="ru-RU" w:bidi="ar-SA"/>
        </w:rPr>
        <w:t>VL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shd w:fill="auto" w:val="clear"/>
          <w:lang w:val="en-US" w:eastAsia="ru-RU" w:bidi="ar-SA"/>
        </w:rPr>
        <w:t>PERIMETER</w:t>
      </w:r>
    </w:p>
    <w:p>
      <w:pPr>
        <w:pStyle w:val="Normal"/>
        <w:widowControl w:val="false"/>
        <w:shd w:val="clear" w:color="auto" w:fill="FFFFFF"/>
        <w:spacing w:lineRule="auto" w:line="264" w:before="0" w:after="0"/>
        <w:rPr>
          <w:rFonts w:ascii="Times New Roman" w:hAnsi="Times New Roman"/>
          <w:b/>
          <w:bCs/>
          <w:sz w:val="24"/>
          <w:szCs w:val="24"/>
          <w:lang w:val="x-none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1.2</w:t>
      </w:r>
      <w:bookmarkStart w:id="0" w:name="_Toc75446569"/>
      <w:bookmarkStart w:id="1" w:name="_Toc46743507"/>
      <w:r>
        <w:rPr>
          <w:rFonts w:ascii="Times New Roman" w:hAnsi="Times New Roman"/>
          <w:b/>
          <w:bCs/>
          <w:i/>
          <w:iCs/>
          <w:sz w:val="24"/>
          <w:szCs w:val="24"/>
          <w:lang w:val="x-none" w:eastAsia="x-none"/>
        </w:rPr>
        <w:t xml:space="preserve"> </w:t>
        <w:tab/>
      </w:r>
      <w:r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Цель </w:t>
      </w:r>
      <w:bookmarkEnd w:id="1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использования закупаемой продукции </w:t>
      </w:r>
      <w:bookmarkEnd w:id="0"/>
      <w:r>
        <w:rPr>
          <w:rFonts w:ascii="Times New Roman" w:hAnsi="Times New Roman"/>
          <w:b/>
          <w:bCs/>
          <w:sz w:val="24"/>
          <w:szCs w:val="24"/>
          <w:lang w:val="x-none"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exact" w:line="302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</w:t>
      </w:r>
      <w:r>
        <w:rPr>
          <w:rFonts w:ascii="Times New Roman" w:hAnsi="Times New Roman"/>
          <w:sz w:val="24"/>
          <w:szCs w:val="24"/>
          <w:shd w:fill="auto" w:val="clear"/>
          <w:lang w:eastAsia="ru-RU"/>
        </w:rPr>
        <w:t>купаемая продукция предназначена для выполнения работ на Волжской ГЭС для исполнения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z w:val="24"/>
          <w:szCs w:val="24"/>
          <w:shd w:fill="auto" w:val="clear"/>
          <w:lang w:eastAsia="ru-RU"/>
        </w:rPr>
        <w:t xml:space="preserve">Договора № 1050-125-2025/1-Рем-Без-2025-ВолГЭС от 30.04.2025. </w:t>
        <w:tab/>
        <w:t>Выполнение работ по текущему ремонту оборудования систем безопасности Волжской ГЭС</w:t>
      </w:r>
      <w:r>
        <w:rPr>
          <w:rFonts w:ascii="Times New Roman" w:hAnsi="Times New Roman"/>
          <w:bCs/>
          <w:sz w:val="24"/>
          <w:szCs w:val="24"/>
          <w:shd w:fill="auto" w:val="clear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заключенный между филиалом ПАО «РусГидро» - «Волжская ГЭС» и Волжским филиалом АО «Гидроремонт-ВКК».</w:t>
      </w:r>
    </w:p>
    <w:p>
      <w:pPr>
        <w:pStyle w:val="Normal"/>
        <w:widowControl w:val="false"/>
        <w:shd w:val="clear" w:color="auto" w:fill="FFFFFF"/>
        <w:spacing w:lineRule="exact" w:line="302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/>
          <w:b/>
          <w:iCs/>
          <w:caps/>
          <w:sz w:val="24"/>
          <w:szCs w:val="24"/>
          <w:lang w:eastAsia="x-none"/>
        </w:rPr>
      </w:pPr>
      <w:bookmarkStart w:id="2" w:name="_Toc75446573"/>
      <w:bookmarkStart w:id="3" w:name="_Toc51339693"/>
      <w:r>
        <w:rPr>
          <w:rFonts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sz w:val="24"/>
          <w:szCs w:val="24"/>
          <w:lang w:eastAsia="ru-RU"/>
        </w:rPr>
      </w:pPr>
      <w:bookmarkStart w:id="4" w:name="_Toc75446574"/>
      <w:r>
        <w:rPr>
          <w:rFonts w:ascii="Times New Roman" w:hAnsi="Times New Roman"/>
          <w:b/>
          <w:sz w:val="24"/>
          <w:szCs w:val="24"/>
          <w:lang w:eastAsia="ru-RU"/>
        </w:rPr>
        <w:t>2.1 Требования к объемам и срокам поставки</w:t>
      </w:r>
      <w:bookmarkEnd w:id="4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1224" w:hanging="504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bookmarkStart w:id="5" w:name="_Toc75446575"/>
      <w:r>
        <w:rPr>
          <w:rFonts w:ascii="Times New Roman" w:hAnsi="Times New Roman"/>
          <w:b/>
          <w:sz w:val="24"/>
          <w:szCs w:val="24"/>
          <w:lang w:eastAsia="ru-RU"/>
        </w:rPr>
        <w:t>2.1.1.Перечень и объем закупаемой продукции</w:t>
      </w:r>
      <w:bookmarkEnd w:id="5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6" w:name="_Toc75446576"/>
      <w:bookmarkStart w:id="7" w:name="_Toc51339695"/>
      <w:r>
        <w:rPr>
          <w:rFonts w:ascii="Times New Roman" w:hAnsi="Times New Roman"/>
          <w:b/>
          <w:sz w:val="24"/>
          <w:szCs w:val="24"/>
          <w:lang w:eastAsia="ru-RU"/>
        </w:rPr>
        <w:t xml:space="preserve">Таблица 1.1 Перечень </w:t>
      </w:r>
      <w:bookmarkEnd w:id="7"/>
      <w:r>
        <w:rPr>
          <w:rFonts w:ascii="Times New Roman" w:hAnsi="Times New Roman"/>
          <w:b/>
          <w:sz w:val="24"/>
          <w:szCs w:val="24"/>
          <w:lang w:eastAsia="ru-RU"/>
        </w:rPr>
        <w:t>и объем закупаемой продукции</w:t>
      </w:r>
      <w:bookmarkEnd w:id="6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W w:w="108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8"/>
        <w:gridCol w:w="8144"/>
        <w:gridCol w:w="980"/>
        <w:gridCol w:w="985"/>
      </w:tblGrid>
      <w:tr>
        <w:trPr>
          <w:trHeight w:val="3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№ </w:t>
            </w:r>
            <w:r>
              <w:rPr>
                <w:rFonts w:ascii="Times New Roman" w:hAnsi="Times New Roman"/>
                <w:szCs w:val="24"/>
              </w:rPr>
              <w:t>п.п.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Ед.изм.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Светильник светодиодный VL PERIMETER</w:t>
            </w:r>
          </w:p>
        </w:tc>
        <w:tc>
          <w:tcPr>
            <w:tcW w:w="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2.1.2.</w:t>
        <w:tab/>
        <w:t>Требования к срокам поставки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Таблица 2.1 Требования по срокам поставки продукции </w:t>
      </w:r>
    </w:p>
    <w:tbl>
      <w:tblPr>
        <w:tblW w:w="10738" w:type="dxa"/>
        <w:jc w:val="left"/>
        <w:tblInd w:w="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4531"/>
        <w:gridCol w:w="848"/>
        <w:gridCol w:w="1274"/>
        <w:gridCol w:w="1703"/>
        <w:gridCol w:w="1706"/>
      </w:tblGrid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Светильник светодиодный VL PERIMETER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С даты заключения договора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  <w:t>Не позднее 30.07.2025г</w:t>
            </w: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.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b/>
          <w:bCs/>
          <w:sz w:val="24"/>
          <w:szCs w:val="24"/>
          <w:lang w:eastAsia="x-none"/>
        </w:rPr>
      </w:pPr>
      <w:bookmarkStart w:id="8" w:name="_Toc75446581"/>
      <w:bookmarkStart w:id="9" w:name="_Toc46743511"/>
      <w:bookmarkStart w:id="10" w:name="_Toc51339698"/>
      <w:bookmarkStart w:id="11" w:name="_Toc50125131"/>
      <w:bookmarkEnd w:id="10"/>
      <w:bookmarkEnd w:id="11"/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2.2. </w:t>
      </w:r>
      <w:r>
        <w:rPr>
          <w:rFonts w:ascii="Times New Roman" w:hAnsi="Times New Roman"/>
          <w:b/>
          <w:bCs/>
          <w:sz w:val="24"/>
          <w:szCs w:val="24"/>
          <w:lang w:val="x-none" w:eastAsia="x-none"/>
        </w:rPr>
        <w:t xml:space="preserve">Требования к </w:t>
      </w:r>
      <w:bookmarkEnd w:id="9"/>
      <w:r>
        <w:rPr>
          <w:rFonts w:ascii="Times New Roman" w:hAnsi="Times New Roman"/>
          <w:b/>
          <w:bCs/>
          <w:sz w:val="24"/>
          <w:szCs w:val="24"/>
          <w:lang w:eastAsia="x-none"/>
        </w:rPr>
        <w:t>качеству продукции</w:t>
      </w:r>
      <w:bookmarkEnd w:id="8"/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432" w:hanging="432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2.2.1</w:t>
      </w:r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Оборудование  должно соответствовать требованиям, указанным в Приложении №1 к настоящим техническим требованиям.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x-none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2.2. Продукция должна соответствовать требованиям: Технического регламента Таможенного союза «О безопасности машин и оборудования» ТР ТС 010/2011.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2.2.3. Продукция должна быть новой не бывшей в употреблении, не должна быть восстановленной, не ранее 2022 года выпуска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2.2.4. Поставщик обязан установить на продукцию гарантийный срок не менее 36 (тридцати шести)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2.2.5. 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2.2.6. 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т.п.Упаковка должна обеспечивать полную сохранность продукции на весь срок его транспортировки с учетом перегрузок и длительного хранения.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2.2.7. Поставщик должен предоставить копии документов, подтверждающих соответствие предлагаемой продукции обязательным требованиям нормативных документов, действующих в РФ, (сертификаты соответствия, документы о качестве и другие), если обязательность такого подтверждения соответствия установлена нормативными документами РФ.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120" w:after="60"/>
        <w:ind w:left="0" w:hanging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2.2.8. Поставляемая продукция должна быть укомплектована паспортами, инструкциями по монтажу и эксплуатации, на русском языке.</w:t>
      </w:r>
    </w:p>
    <w:p>
      <w:pPr>
        <w:pStyle w:val="Normal"/>
        <w:keepNext w:val="false"/>
        <w:widowControl/>
        <w:numPr>
          <w:ilvl w:val="0"/>
          <w:numId w:val="0"/>
        </w:numPr>
        <w:bidi w:val="0"/>
        <w:spacing w:lineRule="auto" w:line="276" w:before="0" w:after="0"/>
        <w:ind w:left="3540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12" w:name="_Toc513396981"/>
      <w:bookmarkStart w:id="13" w:name="_Toc501251311"/>
      <w:bookmarkStart w:id="14" w:name="_Toc513396981"/>
      <w:bookmarkStart w:id="15" w:name="_Toc501251311"/>
      <w:bookmarkEnd w:id="14"/>
      <w:bookmarkEnd w:id="15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3.1.</w:t>
        <w:tab/>
        <w:t>Требование к месту поставки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>3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hAnsi="Times New Roman"/>
          <w:b/>
          <w:sz w:val="24"/>
          <w:szCs w:val="24"/>
          <w:lang w:eastAsia="x-none"/>
        </w:rPr>
        <w:t>1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>.1.   Требование к месту поставки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/>
          <w:b/>
          <w:sz w:val="24"/>
          <w:szCs w:val="24"/>
          <w:lang w:eastAsia="x-none"/>
        </w:rPr>
        <w:t>3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>.</w:t>
      </w:r>
      <w:r>
        <w:rPr>
          <w:rFonts w:ascii="Times New Roman" w:hAnsi="Times New Roman"/>
          <w:b/>
          <w:sz w:val="24"/>
          <w:szCs w:val="24"/>
          <w:lang w:eastAsia="x-none"/>
        </w:rPr>
        <w:t>1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 Адрес поставки</w:t>
      </w:r>
    </w:p>
    <w:tbl>
      <w:tblPr>
        <w:tblW w:w="111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410"/>
        <w:gridCol w:w="7655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Адрес поставки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Светильник светодиодный VL PERIMETER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Волжский филиал АО «Гидроремонт – ВКК», РФ, 404130, Волгоградская обл.,  г. Волжский, пр-т. Ленина, д.1А.</w:t>
            </w:r>
          </w:p>
        </w:tc>
      </w:tr>
    </w:tbl>
    <w:p>
      <w:pPr>
        <w:pStyle w:val="Normal"/>
        <w:spacing w:before="0" w:after="0"/>
        <w:ind w:left="3540" w:firstLine="22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720"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ListParagraph"/>
        <w:ind w:left="720" w:firstLine="709"/>
        <w:jc w:val="center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</w:p>
    <w:p>
      <w:pPr>
        <w:pStyle w:val="Normal"/>
        <w:bidi w:val="0"/>
        <w:jc w:val="left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ab/>
        <w:tab/>
        <w:tab/>
        <w:tab/>
        <w:tab/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Светильник светодиодный 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en-US" w:eastAsia="en-US" w:bidi="ar-SA"/>
        </w:rPr>
        <w:t>PERIMETER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110-М2-К15-5К-С</w:t>
      </w:r>
    </w:p>
    <w:tbl>
      <w:tblPr>
        <w:tblStyle w:val="a6"/>
        <w:tblW w:w="48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7"/>
        <w:gridCol w:w="2142"/>
        <w:gridCol w:w="1693"/>
        <w:gridCol w:w="1534"/>
        <w:gridCol w:w="2882"/>
        <w:gridCol w:w="1792"/>
        <w:gridCol w:w="7"/>
      </w:tblGrid>
      <w:tr>
        <w:trPr>
          <w:trHeight w:val="471" w:hRule="atLeast"/>
        </w:trPr>
        <w:tc>
          <w:tcPr>
            <w:tcW w:w="69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0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 w:bidi="ar-SA"/>
              </w:rPr>
              <w:t>п/п</w:t>
            </w:r>
          </w:p>
        </w:tc>
        <w:tc>
          <w:tcPr>
            <w:tcW w:w="21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0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16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0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15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0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 w:bidi="ar-SA"/>
              </w:rPr>
              <w:t>Параметры эквивалентности для отечественного изготовителя*</w:t>
            </w:r>
          </w:p>
        </w:tc>
        <w:tc>
          <w:tcPr>
            <w:tcW w:w="46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0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316" w:hRule="atLeast"/>
        </w:trPr>
        <w:tc>
          <w:tcPr>
            <w:tcW w:w="697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2142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693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 w:val="false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0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left"/>
              <w:rPr>
                <w:sz w:val="20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14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6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88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79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en-US" w:bidi="ar-SA"/>
              </w:rPr>
              <w:t>6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20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36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показатели)**</w:t>
            </w:r>
          </w:p>
        </w:tc>
        <w:tc>
          <w:tcPr>
            <w:tcW w:w="288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закупке»</w:t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1.1</w:t>
            </w:r>
          </w:p>
        </w:tc>
        <w:tc>
          <w:tcPr>
            <w:tcW w:w="21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Световой поток, Лм</w:t>
            </w:r>
          </w:p>
        </w:tc>
        <w:tc>
          <w:tcPr>
            <w:tcW w:w="169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15340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82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1.2</w:t>
            </w:r>
          </w:p>
        </w:tc>
        <w:tc>
          <w:tcPr>
            <w:tcW w:w="21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Светоотдача, Лм/Вт</w:t>
            </w:r>
          </w:p>
        </w:tc>
        <w:tc>
          <w:tcPr>
            <w:tcW w:w="169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1.3</w:t>
            </w:r>
          </w:p>
        </w:tc>
        <w:tc>
          <w:tcPr>
            <w:tcW w:w="21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КСС</w:t>
            </w:r>
          </w:p>
        </w:tc>
        <w:tc>
          <w:tcPr>
            <w:tcW w:w="16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К15</w:t>
            </w: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1.4</w:t>
            </w:r>
          </w:p>
        </w:tc>
        <w:tc>
          <w:tcPr>
            <w:tcW w:w="21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Напряжение питающей сети, В</w:t>
            </w:r>
          </w:p>
        </w:tc>
        <w:tc>
          <w:tcPr>
            <w:tcW w:w="16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 180-240</w:t>
            </w: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1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Частота питающей сети, Гц</w:t>
            </w:r>
          </w:p>
        </w:tc>
        <w:tc>
          <w:tcPr>
            <w:tcW w:w="16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0;50;60</w:t>
            </w: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1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Потребляемая мощность, Вт</w:t>
            </w:r>
          </w:p>
        </w:tc>
        <w:tc>
          <w:tcPr>
            <w:tcW w:w="169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1.7</w:t>
            </w:r>
          </w:p>
        </w:tc>
        <w:tc>
          <w:tcPr>
            <w:tcW w:w="21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Степень защиты</w:t>
            </w:r>
          </w:p>
        </w:tc>
        <w:tc>
          <w:tcPr>
            <w:tcW w:w="1693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IP67</w:t>
            </w: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1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Диапазон рабочих температур, С°</w:t>
            </w:r>
          </w:p>
        </w:tc>
        <w:tc>
          <w:tcPr>
            <w:tcW w:w="1693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от -40 до +50</w:t>
            </w: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14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Габаритные размеры, мм ДхШхВ</w:t>
            </w:r>
          </w:p>
        </w:tc>
        <w:tc>
          <w:tcPr>
            <w:tcW w:w="1693" w:type="dxa"/>
            <w:tcBorders>
              <w:top w:val="nil"/>
            </w:tcBorders>
            <w:shd w:color="auto" w:fill="auto" w:val="clear"/>
          </w:tcPr>
          <w:p>
            <w:pPr>
              <w:pStyle w:val="Default"/>
              <w:widowControl w:val="false"/>
              <w:jc w:val="center"/>
              <w:rPr/>
            </w:pPr>
            <w:r>
              <w:rPr/>
              <w:t>288-189-245</w:t>
            </w:r>
          </w:p>
        </w:tc>
        <w:tc>
          <w:tcPr>
            <w:tcW w:w="15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ind w:left="720" w:hanging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82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36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к гарантийному и послегарантийному обслуживанию</w:t>
            </w:r>
          </w:p>
        </w:tc>
        <w:tc>
          <w:tcPr>
            <w:tcW w:w="28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2.1</w:t>
            </w:r>
          </w:p>
        </w:tc>
        <w:tc>
          <w:tcPr>
            <w:tcW w:w="21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Гарантия, не менее</w:t>
            </w:r>
          </w:p>
        </w:tc>
        <w:tc>
          <w:tcPr>
            <w:tcW w:w="1693" w:type="dxa"/>
            <w:tcBorders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76" w:before="0" w:after="200"/>
              <w:ind w:left="57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bidi="ar-SA"/>
              </w:rPr>
              <w:t>24 месяца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5369" w:type="dxa"/>
            <w:gridSpan w:val="3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82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3.1</w:t>
            </w:r>
          </w:p>
        </w:tc>
        <w:tc>
          <w:tcPr>
            <w:tcW w:w="214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Комплект документации</w:t>
            </w:r>
          </w:p>
        </w:tc>
        <w:tc>
          <w:tcPr>
            <w:tcW w:w="1693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76" w:before="0" w:after="200"/>
              <w:ind w:left="57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 шт.</w:t>
            </w:r>
          </w:p>
        </w:tc>
        <w:tc>
          <w:tcPr>
            <w:tcW w:w="1534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1 шт.</w:t>
            </w:r>
          </w:p>
        </w:tc>
        <w:tc>
          <w:tcPr>
            <w:tcW w:w="28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9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200"/>
              <w:ind w:left="720" w:firstLine="709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br w:type="page"/>
      </w:r>
    </w:p>
    <w:p>
      <w:pPr>
        <w:pStyle w:val="ListParagraph"/>
        <w:ind w:left="720" w:firstLine="709"/>
        <w:jc w:val="center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</w:p>
    <w:p>
      <w:pPr>
        <w:pStyle w:val="ListParagraph"/>
        <w:ind w:left="720" w:firstLine="709"/>
        <w:jc w:val="center"/>
        <w:rPr>
          <w:rFonts w:ascii="Times New Roman" w:hAnsi="Times New Roman"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ListParagraph"/>
        <w:numPr>
          <w:ilvl w:val="1"/>
          <w:numId w:val="3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numPr>
          <w:ilvl w:val="1"/>
          <w:numId w:val="3"/>
        </w:numPr>
        <w:spacing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119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7"/>
        <w:gridCol w:w="5578"/>
      </w:tblGrid>
      <w:tr>
        <w:trPr/>
        <w:tc>
          <w:tcPr>
            <w:tcW w:w="561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</w:t>
            </w:r>
            <w:r>
              <w:rPr>
                <w:rFonts w:ascii="Times New Roman" w:hAnsi="Times New Roman"/>
                <w:bCs/>
              </w:rPr>
              <w:t>Исполнитель: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инженер цеха ЭТО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________________/Шапкин Р.И./</w:t>
            </w:r>
          </w:p>
        </w:tc>
        <w:tc>
          <w:tcPr>
            <w:tcW w:w="55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Согласовано: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Начальник цеха ЭТО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25" w:leader="none"/>
              </w:tabs>
              <w:spacing w:before="0" w:after="0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________________/Славин С.Н./</w:t>
            </w:r>
          </w:p>
        </w:tc>
      </w:tr>
    </w:tbl>
    <w:p>
      <w:pPr>
        <w:pStyle w:val="Normal"/>
        <w:tabs>
          <w:tab w:val="clear" w:pos="708"/>
          <w:tab w:val="left" w:pos="1125" w:leader="none"/>
        </w:tabs>
        <w:spacing w:before="0" w:after="200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426" w:right="284" w:gutter="0" w:header="0" w:top="171" w:footer="713" w:bottom="7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01ce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BodyText"/>
    <w:link w:val="1"/>
    <w:qFormat/>
    <w:rsid w:val="008f748e"/>
    <w:pPr>
      <w:keepNext w:val="true"/>
      <w:keepLines/>
      <w:suppressAutoHyphens w:val="true"/>
      <w:spacing w:lineRule="atLeast" w:line="100" w:before="480" w:after="0"/>
      <w:ind w:left="1068" w:hanging="360"/>
      <w:outlineLvl w:val="0"/>
    </w:pPr>
    <w:rPr>
      <w:rFonts w:ascii="Cambria" w:hAnsi="Cambria" w:eastAsia="Times New Roman" w:cs="Cambria"/>
      <w:b/>
      <w:bCs/>
      <w:color w:val="365F91"/>
      <w:sz w:val="28"/>
      <w:szCs w:val="28"/>
      <w:lang w:eastAsia="ar-SA"/>
    </w:rPr>
  </w:style>
  <w:style w:type="paragraph" w:styleId="Heading2">
    <w:name w:val="Heading 2"/>
    <w:basedOn w:val="Normal"/>
    <w:next w:val="BodyText"/>
    <w:link w:val="2"/>
    <w:qFormat/>
    <w:rsid w:val="008f748e"/>
    <w:pPr>
      <w:widowControl w:val="false"/>
      <w:suppressAutoHyphens w:val="true"/>
      <w:spacing w:before="200" w:after="0"/>
      <w:ind w:left="1788" w:hanging="720"/>
      <w:outlineLvl w:val="1"/>
    </w:pPr>
    <w:rPr>
      <w:rFonts w:ascii="Cambria" w:hAnsi="Cambria" w:eastAsia="Times New Roman" w:cs="Cambria"/>
      <w:b/>
      <w:bCs/>
      <w:color w:val="4F81BD"/>
      <w:sz w:val="28"/>
      <w:szCs w:val="26"/>
      <w:lang w:eastAsia="ar-SA"/>
    </w:rPr>
  </w:style>
  <w:style w:type="paragraph" w:styleId="Heading3">
    <w:name w:val="Heading 3"/>
    <w:basedOn w:val="Normal"/>
    <w:next w:val="BodyText"/>
    <w:link w:val="3"/>
    <w:qFormat/>
    <w:rsid w:val="008f748e"/>
    <w:pPr>
      <w:widowControl w:val="false"/>
      <w:suppressAutoHyphens w:val="true"/>
      <w:spacing w:lineRule="atLeast" w:line="100" w:before="200" w:after="0"/>
      <w:ind w:left="2148" w:hanging="720"/>
      <w:outlineLvl w:val="2"/>
    </w:pPr>
    <w:rPr>
      <w:rFonts w:ascii="Times New Roman" w:hAnsi="Times New Roman" w:eastAsia="Times New Roman"/>
      <w:b/>
      <w:bCs/>
      <w:color w:val="3366FF"/>
      <w:sz w:val="28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link w:val="BalloonText"/>
    <w:uiPriority w:val="99"/>
    <w:semiHidden/>
    <w:qFormat/>
    <w:rsid w:val="0053223e"/>
    <w:rPr>
      <w:rFonts w:ascii="Tahoma" w:hAnsi="Tahoma" w:cs="Tahoma"/>
      <w:sz w:val="16"/>
      <w:szCs w:val="16"/>
    </w:rPr>
  </w:style>
  <w:style w:type="character" w:styleId="Style7" w:customStyle="1">
    <w:name w:val="Верхний колонтитул Знак"/>
    <w:qFormat/>
    <w:rsid w:val="005c0949"/>
    <w:rPr>
      <w:rFonts w:ascii="Times New Roman" w:hAnsi="Times New Roman" w:eastAsia="Times New Roman"/>
      <w:sz w:val="24"/>
      <w:szCs w:val="24"/>
    </w:rPr>
  </w:style>
  <w:style w:type="character" w:styleId="Style8" w:customStyle="1">
    <w:name w:val="Текст сноски Знак"/>
    <w:semiHidden/>
    <w:qFormat/>
    <w:rsid w:val="005c0949"/>
    <w:rPr>
      <w:rFonts w:ascii="Times New Roman" w:hAnsi="Times New Roman" w:eastAsia="Times New Roman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semiHidden/>
    <w:qFormat/>
    <w:rsid w:val="005c0949"/>
    <w:rPr>
      <w:vertAlign w:val="superscript"/>
    </w:rPr>
  </w:style>
  <w:style w:type="character" w:styleId="Style10" w:customStyle="1">
    <w:name w:val="Основной текст с отступом Знак"/>
    <w:qFormat/>
    <w:rsid w:val="005c0949"/>
    <w:rPr>
      <w:rFonts w:ascii="Times New Roman" w:hAnsi="Times New Roman" w:eastAsia="Times New Roman"/>
      <w:sz w:val="24"/>
      <w:szCs w:val="24"/>
    </w:rPr>
  </w:style>
  <w:style w:type="character" w:styleId="Hyperlink">
    <w:name w:val="Hyperlink"/>
    <w:uiPriority w:val="99"/>
    <w:unhideWhenUsed/>
    <w:rsid w:val="00ef5da3"/>
    <w:rPr>
      <w:color w:val="0000FF"/>
      <w:u w:val="single"/>
    </w:rPr>
  </w:style>
  <w:style w:type="character" w:styleId="Bold1" w:customStyle="1">
    <w:name w:val="bold1"/>
    <w:qFormat/>
    <w:rsid w:val="001971ed"/>
    <w:rPr>
      <w:b/>
      <w:bCs/>
    </w:rPr>
  </w:style>
  <w:style w:type="character" w:styleId="1" w:customStyle="1">
    <w:name w:val="Заголовок 1 Знак"/>
    <w:qFormat/>
    <w:rsid w:val="008f748e"/>
    <w:rPr>
      <w:rFonts w:ascii="Cambria" w:hAnsi="Cambria" w:eastAsia="Times New Roman" w:cs="Cambria"/>
      <w:b/>
      <w:bCs/>
      <w:color w:val="365F91"/>
      <w:sz w:val="28"/>
      <w:szCs w:val="28"/>
      <w:lang w:eastAsia="ar-SA"/>
    </w:rPr>
  </w:style>
  <w:style w:type="character" w:styleId="2" w:customStyle="1">
    <w:name w:val="Заголовок 2 Знак"/>
    <w:qFormat/>
    <w:rsid w:val="008f748e"/>
    <w:rPr>
      <w:rFonts w:ascii="Cambria" w:hAnsi="Cambria" w:eastAsia="Times New Roman" w:cs="Cambria"/>
      <w:b/>
      <w:bCs/>
      <w:color w:val="4F81BD"/>
      <w:sz w:val="28"/>
      <w:szCs w:val="26"/>
      <w:lang w:eastAsia="ar-SA"/>
    </w:rPr>
  </w:style>
  <w:style w:type="character" w:styleId="3" w:customStyle="1">
    <w:name w:val="Заголовок 3 Знак"/>
    <w:qFormat/>
    <w:rsid w:val="008f748e"/>
    <w:rPr>
      <w:rFonts w:ascii="Times New Roman" w:hAnsi="Times New Roman" w:eastAsia="Times New Roman"/>
      <w:b/>
      <w:bCs/>
      <w:color w:val="3366FF"/>
      <w:sz w:val="28"/>
      <w:lang w:eastAsia="ar-SA"/>
    </w:rPr>
  </w:style>
  <w:style w:type="character" w:styleId="Style11" w:customStyle="1">
    <w:name w:val="Основной текст Знак"/>
    <w:qFormat/>
    <w:rsid w:val="008f748e"/>
    <w:rPr>
      <w:sz w:val="22"/>
      <w:szCs w:val="22"/>
      <w:lang w:eastAsia="ar-SA"/>
    </w:rPr>
  </w:style>
  <w:style w:type="character" w:styleId="Style12" w:customStyle="1">
    <w:name w:val="Нижний колонтитул Знак"/>
    <w:uiPriority w:val="99"/>
    <w:qFormat/>
    <w:rsid w:val="00412015"/>
    <w:rPr>
      <w:sz w:val="22"/>
      <w:szCs w:val="22"/>
      <w:lang w:eastAsia="en-US"/>
    </w:rPr>
  </w:style>
  <w:style w:type="character" w:styleId="Style13" w:customStyle="1">
    <w:name w:val="Основной текст_"/>
    <w:link w:val="12"/>
    <w:uiPriority w:val="99"/>
    <w:qFormat/>
    <w:locked/>
    <w:rsid w:val="00412015"/>
    <w:rPr>
      <w:sz w:val="28"/>
      <w:szCs w:val="28"/>
      <w:shd w:fill="FFFFFF" w:val="clear"/>
    </w:rPr>
  </w:style>
  <w:style w:type="character" w:styleId="Style14" w:customStyle="1">
    <w:name w:val="Основной текст + Малые прописные"/>
    <w:uiPriority w:val="99"/>
    <w:qFormat/>
    <w:rsid w:val="00412015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Annotationreference">
    <w:name w:val="annotation reference"/>
    <w:uiPriority w:val="99"/>
    <w:semiHidden/>
    <w:unhideWhenUsed/>
    <w:qFormat/>
    <w:rsid w:val="00e7294f"/>
    <w:rPr>
      <w:sz w:val="16"/>
      <w:szCs w:val="16"/>
    </w:rPr>
  </w:style>
  <w:style w:type="character" w:styleId="Style15" w:customStyle="1">
    <w:name w:val="Текст примечания Знак"/>
    <w:link w:val="Annotationtext"/>
    <w:uiPriority w:val="99"/>
    <w:semiHidden/>
    <w:qFormat/>
    <w:rsid w:val="00e7294f"/>
    <w:rPr>
      <w:lang w:eastAsia="en-US"/>
    </w:rPr>
  </w:style>
  <w:style w:type="character" w:styleId="Style16" w:customStyle="1">
    <w:name w:val="Тема примечания Знак"/>
    <w:link w:val="Annotationsubject"/>
    <w:uiPriority w:val="99"/>
    <w:semiHidden/>
    <w:qFormat/>
    <w:rsid w:val="00e7294f"/>
    <w:rPr>
      <w:b/>
      <w:bCs/>
      <w:lang w:eastAsia="en-US"/>
    </w:rPr>
  </w:style>
  <w:style w:type="character" w:styleId="Strong">
    <w:name w:val="Strong"/>
    <w:uiPriority w:val="22"/>
    <w:qFormat/>
    <w:rsid w:val="001d0248"/>
    <w:rPr>
      <w:b/>
      <w:bCs/>
    </w:rPr>
  </w:style>
  <w:style w:type="character" w:styleId="Pagenumber">
    <w:name w:val="page number"/>
    <w:basedOn w:val="DefaultParagraphFont"/>
    <w:qFormat/>
    <w:rsid w:val="00901ce4"/>
    <w:rPr/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1"/>
    <w:rsid w:val="008f748e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53223e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5c094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</w:rPr>
  </w:style>
  <w:style w:type="paragraph" w:styleId="FootnoteText">
    <w:name w:val="Footnote Text"/>
    <w:basedOn w:val="Normal"/>
    <w:link w:val="Style8"/>
    <w:semiHidden/>
    <w:rsid w:val="005c0949"/>
    <w:pPr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BodyTextIndent">
    <w:name w:val="Body Text Indent"/>
    <w:basedOn w:val="Normal"/>
    <w:link w:val="Style10"/>
    <w:rsid w:val="005c0949"/>
    <w:pPr>
      <w:spacing w:lineRule="auto" w:line="240" w:before="0" w:after="0"/>
      <w:ind w:left="360" w:hanging="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647d0"/>
    <w:pPr>
      <w:spacing w:before="0" w:after="200"/>
      <w:ind w:left="720" w:hanging="0"/>
      <w:contextualSpacing/>
    </w:pPr>
    <w:rPr/>
  </w:style>
  <w:style w:type="paragraph" w:styleId="11" w:customStyle="1">
    <w:name w:val="Абзац списка1"/>
    <w:basedOn w:val="Normal"/>
    <w:qFormat/>
    <w:rsid w:val="008f748e"/>
    <w:pPr>
      <w:widowControl w:val="false"/>
      <w:suppressAutoHyphens w:val="true"/>
      <w:ind w:left="720" w:firstLine="709"/>
    </w:pPr>
    <w:rPr>
      <w:lang w:eastAsia="ar-SA"/>
    </w:rPr>
  </w:style>
  <w:style w:type="paragraph" w:styleId="Footer">
    <w:name w:val="Footer"/>
    <w:basedOn w:val="Normal"/>
    <w:link w:val="Style12"/>
    <w:uiPriority w:val="99"/>
    <w:rsid w:val="0041201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412015"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12" w:customStyle="1">
    <w:name w:val="Основной текст1"/>
    <w:basedOn w:val="Normal"/>
    <w:link w:val="Style13"/>
    <w:uiPriority w:val="99"/>
    <w:qFormat/>
    <w:rsid w:val="00412015"/>
    <w:pPr>
      <w:widowControl w:val="false"/>
      <w:shd w:val="clear" w:color="auto" w:fill="FFFFFF"/>
      <w:spacing w:lineRule="exact" w:line="302" w:before="0" w:after="0"/>
    </w:pPr>
    <w:rPr>
      <w:sz w:val="28"/>
      <w:szCs w:val="28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e7294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e7294f"/>
    <w:pPr/>
    <w:rPr>
      <w:b/>
      <w:bCs/>
    </w:rPr>
  </w:style>
  <w:style w:type="paragraph" w:styleId="Default" w:customStyle="1">
    <w:name w:val="Default"/>
    <w:qFormat/>
    <w:rsid w:val="005157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2"/>
    <w:uiPriority w:val="39"/>
    <w:rsid w:val="00644f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25F5-2213-451E-BC16-79AF5A49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AlterOffice/3.4.0.9$Linux_X86_64 LibreOffice_project/b8daf9e823b1a5463a2f48435ddc2e8696e7d4fc</Application>
  <AppVersion>15.0000</AppVersion>
  <Pages>5</Pages>
  <Words>631</Words>
  <Characters>4386</Characters>
  <CharactersWithSpaces>4965</CharactersWithSpaces>
  <Paragraphs>136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2023-05-04T05:47:00Z</dcterms:created>
  <dc:creator>Admin</dc:creator>
  <dc:description/>
  <dc:language>ru-RU</dc:language>
  <cp:lastModifiedBy>nekrasovanp@corp.gidroogk.com</cp:lastModifiedBy>
  <cp:lastPrinted>2023-12-15T09:51:45Z</cp:lastPrinted>
  <dcterms:modified xsi:type="dcterms:W3CDTF">2025-06-17T14:16:41Z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ActionId">
    <vt:lpwstr>624e3e5c-1bd8-430e-aca5-6db545a4e20d</vt:lpwstr>
  </property>
  <property fmtid="{D5CDD505-2E9C-101B-9397-08002B2CF9AE}" pid="3" name="MSIP_Label_cb027a58-0b8b-4b38-933d-36c79ab5a9a6_ContentBits">
    <vt:lpwstr>0</vt:lpwstr>
  </property>
  <property fmtid="{D5CDD505-2E9C-101B-9397-08002B2CF9AE}" pid="4" name="MSIP_Label_cb027a58-0b8b-4b38-933d-36c79ab5a9a6_Enabled">
    <vt:lpwstr>true</vt:lpwstr>
  </property>
  <property fmtid="{D5CDD505-2E9C-101B-9397-08002B2CF9AE}" pid="5" name="MSIP_Label_cb027a58-0b8b-4b38-933d-36c79ab5a9a6_Method">
    <vt:lpwstr>Privileged</vt:lpwstr>
  </property>
  <property fmtid="{D5CDD505-2E9C-101B-9397-08002B2CF9AE}" pid="6" name="MSIP_Label_cb027a58-0b8b-4b38-933d-36c79ab5a9a6_Name">
    <vt:lpwstr>cb027a58-0b8b-4b38-933d-36c79ab5a9a6</vt:lpwstr>
  </property>
  <property fmtid="{D5CDD505-2E9C-101B-9397-08002B2CF9AE}" pid="7" name="MSIP_Label_cb027a58-0b8b-4b38-933d-36c79ab5a9a6_SetDate">
    <vt:lpwstr>2023-03-30T11:50:38Z</vt:lpwstr>
  </property>
  <property fmtid="{D5CDD505-2E9C-101B-9397-08002B2CF9AE}" pid="8" name="MSIP_Label_cb027a58-0b8b-4b38-933d-36c79ab5a9a6_SiteId">
    <vt:lpwstr>75b2f54b-feff-400d-8e0b-67102edb9a23</vt:lpwstr>
  </property>
</Properties>
</file>