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header4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header5.xml" ContentType="application/vnd.openxmlformats-officedocument.wordprocessingml.header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b/>
          <w:b/>
          <w:bCs/>
          <w:sz w:val="26"/>
          <w:szCs w:val="26"/>
          <w:lang w:val="ru-RU"/>
        </w:rPr>
      </w:pPr>
      <w:r>
        <w:rPr>
          <w:b/>
          <w:bCs/>
          <w:sz w:val="26"/>
          <w:szCs w:val="26"/>
          <w:lang w:val="ru-RU"/>
        </w:rPr>
      </w:r>
    </w:p>
    <w:p>
      <w:pPr>
        <w:pStyle w:val="Normal"/>
        <w:keepNext w:val="true"/>
        <w:keepLines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</w:r>
    </w:p>
    <w:p>
      <w:pPr>
        <w:pStyle w:val="Normal"/>
        <w:keepNext w:val="true"/>
        <w:keepLines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</w:r>
    </w:p>
    <w:p>
      <w:pPr>
        <w:pStyle w:val="Normal"/>
        <w:keepNext w:val="true"/>
        <w:keepLines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</w:r>
    </w:p>
    <w:p>
      <w:pPr>
        <w:pStyle w:val="Normal"/>
        <w:keepNext w:val="true"/>
        <w:keepLines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</w:r>
    </w:p>
    <w:p>
      <w:pPr>
        <w:pStyle w:val="Normal"/>
        <w:keepNext w:val="true"/>
        <w:keepLines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</w:r>
    </w:p>
    <w:p>
      <w:pPr>
        <w:pStyle w:val="Normal"/>
        <w:keepNext w:val="true"/>
        <w:keepLines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</w:r>
    </w:p>
    <w:p>
      <w:pPr>
        <w:pStyle w:val="Normal"/>
        <w:keepNext w:val="true"/>
        <w:keepLines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</w:r>
    </w:p>
    <w:p>
      <w:pPr>
        <w:pStyle w:val="Normal"/>
        <w:keepNext w:val="true"/>
        <w:keepLines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</w:r>
    </w:p>
    <w:p>
      <w:pPr>
        <w:pStyle w:val="Normal"/>
        <w:keepNext w:val="true"/>
        <w:keepLines/>
        <w:rPr>
          <w:sz w:val="26"/>
          <w:szCs w:val="26"/>
          <w:highlight w:val="none"/>
          <w:shd w:fill="auto" w:val="clear"/>
          <w:lang w:val="ru-RU"/>
        </w:rPr>
      </w:pPr>
      <w:r>
        <w:rPr>
          <w:sz w:val="26"/>
          <w:szCs w:val="26"/>
          <w:shd w:fill="auto" w:val="clear"/>
          <w:lang w:val="ru-RU"/>
        </w:rPr>
      </w:r>
    </w:p>
    <w:p>
      <w:pPr>
        <w:pStyle w:val="Normal"/>
        <w:keepNext w:val="true"/>
        <w:keepLines/>
        <w:rPr>
          <w:sz w:val="26"/>
          <w:szCs w:val="26"/>
          <w:highlight w:val="none"/>
          <w:shd w:fill="auto" w:val="clear"/>
          <w:lang w:val="ru-RU"/>
        </w:rPr>
      </w:pPr>
      <w:r>
        <w:rPr>
          <w:sz w:val="26"/>
          <w:szCs w:val="26"/>
          <w:shd w:fill="auto" w:val="clear"/>
          <w:lang w:val="ru-RU"/>
        </w:rPr>
      </w:r>
    </w:p>
    <w:p>
      <w:pPr>
        <w:pStyle w:val="Normal"/>
        <w:keepNext w:val="true"/>
        <w:keepLines/>
        <w:jc w:val="center"/>
        <w:rPr>
          <w:lang w:val="ru-RU"/>
        </w:rPr>
      </w:pPr>
      <w:r>
        <w:rPr>
          <w:rFonts w:eastAsia="Calibri"/>
          <w:b/>
          <w:sz w:val="26"/>
          <w:szCs w:val="26"/>
          <w:shd w:fill="auto" w:val="clear"/>
          <w:lang w:val="ru-RU"/>
        </w:rPr>
        <w:t>Технические требования на оказание услуг</w:t>
      </w:r>
    </w:p>
    <w:p>
      <w:pPr>
        <w:pStyle w:val="Normal"/>
        <w:keepNext w:val="true"/>
        <w:keepLines/>
        <w:jc w:val="center"/>
        <w:rPr>
          <w:rFonts w:eastAsia="Calibri"/>
          <w:b/>
          <w:b/>
          <w:sz w:val="26"/>
          <w:szCs w:val="26"/>
          <w:highlight w:val="none"/>
          <w:shd w:fill="auto" w:val="clear"/>
          <w:lang w:val="ru-RU"/>
        </w:rPr>
      </w:pPr>
      <w:r>
        <w:rPr>
          <w:rFonts w:eastAsia="Calibri"/>
          <w:b/>
          <w:sz w:val="26"/>
          <w:szCs w:val="26"/>
          <w:shd w:fill="auto" w:val="clear"/>
          <w:lang w:val="ru-RU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b/>
          <w:sz w:val="26"/>
          <w:szCs w:val="26"/>
          <w:highlight w:val="none"/>
          <w:shd w:fill="auto" w:val="clear"/>
          <w:lang w:val="ru-RU"/>
        </w:rPr>
      </w:pPr>
      <w:r>
        <w:rPr>
          <w:rFonts w:eastAsia="Calibri"/>
          <w:b/>
          <w:sz w:val="26"/>
          <w:szCs w:val="26"/>
          <w:shd w:fill="auto" w:val="clear"/>
          <w:lang w:val="ru-RU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center"/>
        <w:rPr/>
      </w:pPr>
      <w:r>
        <w:rPr>
          <w:rStyle w:val="Style16"/>
          <w:rFonts w:eastAsia="Calibri"/>
          <w:b/>
          <w:i w:val="false"/>
          <w:iCs w:val="false"/>
          <w:sz w:val="26"/>
          <w:szCs w:val="26"/>
          <w:shd w:fill="auto" w:val="clear"/>
          <w:lang w:val="ru-RU"/>
        </w:rPr>
        <w:t>ОКПД2 - 63.11.12.000. Техническая поддержка внутреннего сайта</w:t>
      </w:r>
      <w:r>
        <w:br w:type="page"/>
      </w:r>
    </w:p>
    <w:p>
      <w:pPr>
        <w:pStyle w:val="Normal"/>
        <w:jc w:val="center"/>
        <w:rPr>
          <w:lang w:val="ru-RU"/>
        </w:rPr>
      </w:pPr>
      <w:r>
        <w:rPr>
          <w:b/>
          <w:lang w:val="ru-RU"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16"/>
            <w:tabs>
              <w:tab w:val="clear" w:pos="708"/>
              <w:tab w:val="right" w:pos="9921" w:leader="dot"/>
            </w:tabs>
            <w:rPr/>
          </w:pPr>
          <w:r>
            <w:fldChar w:fldCharType="begin"/>
          </w:r>
          <w:r>
            <w:rPr>
              <w:webHidden/>
              <w:vanish w:val="false"/>
            </w:rPr>
            <w:instrText xml:space="preserve"> TOC \z \o "1-4" \u \h</w:instrText>
          </w:r>
          <w:r>
            <w:rPr>
              <w:webHidden/>
              <w:vanish w:val="false"/>
            </w:rPr>
            <w:fldChar w:fldCharType="separate"/>
          </w:r>
          <w:hyperlink w:anchor="__RefHeading___Toc9792_1498528630">
            <w:r>
              <w:rPr>
                <w:webHidden/>
                <w:vanish w:val="false"/>
              </w:rPr>
              <w:t>1. Общие сведения</w:t>
              <w:tab/>
              <w:t>3</w:t>
            </w:r>
          </w:hyperlink>
        </w:p>
        <w:p>
          <w:pPr>
            <w:pStyle w:val="42"/>
            <w:tabs>
              <w:tab w:val="clear" w:pos="1120"/>
              <w:tab w:val="clear" w:pos="9911"/>
              <w:tab w:val="right" w:pos="9921" w:leader="dot"/>
            </w:tabs>
            <w:rPr/>
          </w:pPr>
          <w:hyperlink w:anchor="__RefHeading___Toc9794_1498528630">
            <w:r>
              <w:rPr>
                <w:webHidden/>
                <w:vanish w:val="false"/>
              </w:rPr>
              <w:t>1.1. Обозначения и сокращения</w:t>
              <w:tab/>
              <w:t>3</w:t>
            </w:r>
          </w:hyperlink>
        </w:p>
        <w:p>
          <w:pPr>
            <w:pStyle w:val="42"/>
            <w:tabs>
              <w:tab w:val="clear" w:pos="1120"/>
              <w:tab w:val="clear" w:pos="9911"/>
              <w:tab w:val="right" w:pos="9921" w:leader="dot"/>
            </w:tabs>
            <w:rPr/>
          </w:pPr>
          <w:hyperlink w:anchor="__RefHeading___Toc9796_1498528630">
            <w:r>
              <w:rPr>
                <w:webHidden/>
                <w:vanish w:val="false"/>
              </w:rPr>
              <w:t xml:space="preserve">1.2. </w:t>
            </w:r>
            <w:r>
              <w:rPr>
                <w:i w:val="false"/>
                <w:iCs w:val="false"/>
              </w:rPr>
              <w:t>Наименование закупаемой продукции</w:t>
            </w:r>
            <w:r>
              <w:rPr/>
              <w:tab/>
              <w:t>4</w:t>
            </w:r>
          </w:hyperlink>
        </w:p>
        <w:p>
          <w:pPr>
            <w:pStyle w:val="42"/>
            <w:tabs>
              <w:tab w:val="clear" w:pos="1120"/>
              <w:tab w:val="clear" w:pos="9911"/>
              <w:tab w:val="right" w:pos="9921" w:leader="dot"/>
            </w:tabs>
            <w:rPr/>
          </w:pPr>
          <w:hyperlink w:anchor="__RefHeading___Toc9798_1498528630">
            <w:r>
              <w:rPr>
                <w:webHidden/>
                <w:vanish w:val="false"/>
              </w:rPr>
              <w:t xml:space="preserve">1.3. </w:t>
            </w:r>
            <w:r>
              <w:rPr>
                <w:i w:val="false"/>
                <w:iCs w:val="false"/>
              </w:rPr>
              <w:t>Цель оказания услуг</w:t>
            </w:r>
            <w:r>
              <w:rPr/>
              <w:tab/>
              <w:t>4</w:t>
            </w:r>
          </w:hyperlink>
        </w:p>
        <w:p>
          <w:pPr>
            <w:pStyle w:val="34"/>
            <w:tabs>
              <w:tab w:val="clear" w:pos="708"/>
              <w:tab w:val="right" w:pos="9921" w:leader="dot"/>
            </w:tabs>
            <w:rPr/>
          </w:pPr>
          <w:hyperlink w:anchor="__RefHeading___Toc9800_1498528630">
            <w:r>
              <w:rPr>
                <w:webHidden/>
                <w:vanish w:val="false"/>
              </w:rPr>
              <w:t>1.4. Место оказания Услуг</w:t>
              <w:tab/>
              <w:t>4</w:t>
            </w:r>
          </w:hyperlink>
        </w:p>
        <w:p>
          <w:pPr>
            <w:pStyle w:val="16"/>
            <w:tabs>
              <w:tab w:val="clear" w:pos="708"/>
              <w:tab w:val="right" w:pos="9921" w:leader="dot"/>
            </w:tabs>
            <w:rPr/>
          </w:pPr>
          <w:hyperlink w:anchor="__RefHeading___Toc4127_433688913">
            <w:r>
              <w:rPr>
                <w:webHidden/>
                <w:vanish w:val="false"/>
              </w:rPr>
              <w:t>Таблица 1. Перечень объектов заказчика</w:t>
              <w:tab/>
              <w:t>4</w:t>
            </w:r>
          </w:hyperlink>
        </w:p>
        <w:p>
          <w:pPr>
            <w:pStyle w:val="16"/>
            <w:tabs>
              <w:tab w:val="clear" w:pos="708"/>
              <w:tab w:val="right" w:pos="9921" w:leader="dot"/>
            </w:tabs>
            <w:rPr/>
          </w:pPr>
          <w:hyperlink w:anchor="__RefHeading___Toc9802_1498528630">
            <w:r>
              <w:rPr>
                <w:webHidden/>
                <w:vanish w:val="false"/>
              </w:rPr>
              <w:t xml:space="preserve">2. </w:t>
            </w:r>
            <w:r>
              <w:rPr>
                <w:iCs/>
              </w:rPr>
              <w:t>Требования к продукции</w:t>
            </w:r>
            <w:r>
              <w:rPr/>
              <w:tab/>
              <w:t>4</w:t>
            </w:r>
          </w:hyperlink>
        </w:p>
        <w:p>
          <w:pPr>
            <w:pStyle w:val="42"/>
            <w:tabs>
              <w:tab w:val="clear" w:pos="1120"/>
              <w:tab w:val="clear" w:pos="9911"/>
              <w:tab w:val="right" w:pos="9921" w:leader="dot"/>
            </w:tabs>
            <w:rPr/>
          </w:pPr>
          <w:hyperlink w:anchor="__RefHeading___Toc9804_1498528630">
            <w:r>
              <w:rPr>
                <w:webHidden/>
                <w:vanish w:val="false"/>
              </w:rPr>
              <w:t>2.1. Требования к объемам и срокам оказания услуг</w:t>
              <w:tab/>
              <w:t>4</w:t>
            </w:r>
          </w:hyperlink>
        </w:p>
        <w:p>
          <w:pPr>
            <w:pStyle w:val="34"/>
            <w:tabs>
              <w:tab w:val="clear" w:pos="708"/>
              <w:tab w:val="right" w:pos="9921" w:leader="dot"/>
            </w:tabs>
            <w:rPr/>
          </w:pPr>
          <w:hyperlink w:anchor="__RefHeading___Toc9806_1498528630">
            <w:r>
              <w:rPr>
                <w:webHidden/>
                <w:vanish w:val="false"/>
              </w:rPr>
              <w:t>2.1.1. Требования к перечню и объему услуг</w:t>
              <w:tab/>
              <w:t>4</w:t>
            </w:r>
          </w:hyperlink>
        </w:p>
        <w:p>
          <w:pPr>
            <w:pStyle w:val="16"/>
            <w:tabs>
              <w:tab w:val="clear" w:pos="708"/>
              <w:tab w:val="right" w:pos="9921" w:leader="dot"/>
            </w:tabs>
            <w:rPr/>
          </w:pPr>
          <w:hyperlink w:anchor="__RefHeading___Toc9808_1498528630">
            <w:r>
              <w:rPr>
                <w:webHidden/>
                <w:vanish w:val="false"/>
              </w:rPr>
              <w:t>Таблица 2. Перечень и объем оказываемых услуг</w:t>
              <w:tab/>
              <w:t>4</w:t>
            </w:r>
          </w:hyperlink>
        </w:p>
        <w:p>
          <w:pPr>
            <w:pStyle w:val="34"/>
            <w:tabs>
              <w:tab w:val="clear" w:pos="708"/>
              <w:tab w:val="right" w:pos="9921" w:leader="dot"/>
            </w:tabs>
            <w:rPr/>
          </w:pPr>
          <w:hyperlink w:anchor="__RefHeading___Toc9810_1498528630">
            <w:r>
              <w:rPr>
                <w:webHidden/>
                <w:vanish w:val="false"/>
              </w:rPr>
              <w:t>2.1.2. Требования к срокам оказания услуг</w:t>
              <w:tab/>
              <w:t>5</w:t>
            </w:r>
          </w:hyperlink>
        </w:p>
        <w:p>
          <w:pPr>
            <w:pStyle w:val="16"/>
            <w:tabs>
              <w:tab w:val="clear" w:pos="708"/>
              <w:tab w:val="right" w:pos="9921" w:leader="dot"/>
            </w:tabs>
            <w:rPr/>
          </w:pPr>
          <w:hyperlink w:anchor="__RefHeading___Toc9812_1498528630">
            <w:r>
              <w:rPr>
                <w:webHidden/>
                <w:vanish w:val="false"/>
              </w:rPr>
              <w:t>Таблица 3. Требования к срокам оказания услуг</w:t>
              <w:tab/>
              <w:t>5</w:t>
            </w:r>
          </w:hyperlink>
        </w:p>
        <w:p>
          <w:pPr>
            <w:pStyle w:val="42"/>
            <w:tabs>
              <w:tab w:val="clear" w:pos="1120"/>
              <w:tab w:val="clear" w:pos="9911"/>
              <w:tab w:val="right" w:pos="9921" w:leader="dot"/>
            </w:tabs>
            <w:rPr/>
          </w:pPr>
          <w:hyperlink w:anchor="__RefHeading___Toc9814_1498528630">
            <w:r>
              <w:rPr>
                <w:webHidden/>
                <w:vanish w:val="false"/>
              </w:rPr>
              <w:t>2.2. Требования к качеству услуг</w:t>
              <w:tab/>
              <w:t>6</w:t>
            </w:r>
          </w:hyperlink>
        </w:p>
        <w:p>
          <w:pPr>
            <w:pStyle w:val="16"/>
            <w:tabs>
              <w:tab w:val="clear" w:pos="708"/>
              <w:tab w:val="right" w:pos="9921" w:leader="dot"/>
            </w:tabs>
            <w:rPr/>
          </w:pPr>
          <w:hyperlink w:anchor="__RefHeading___Toc9816_1498528630">
            <w:r>
              <w:rPr>
                <w:webHidden/>
                <w:vanish w:val="false"/>
              </w:rPr>
              <w:t>Таблица 3. Требования к качеству услуг</w:t>
              <w:tab/>
              <w:t>6</w:t>
            </w:r>
          </w:hyperlink>
          <w:r>
            <w:rPr>
              <w:vanish w:val="false"/>
            </w:rPr>
            <w:fldChar w:fldCharType="end"/>
          </w:r>
        </w:p>
      </w:sdtContent>
    </w:sdt>
    <w:p>
      <w:pPr>
        <w:pStyle w:val="2"/>
        <w:numPr>
          <w:ilvl w:val="0"/>
          <w:numId w:val="0"/>
        </w:numPr>
        <w:ind w:left="0" w:hanging="0"/>
        <w:rPr>
          <w:b w:val="false"/>
          <w:b w:val="false"/>
          <w:i/>
          <w:i/>
          <w:lang w:val="ru-RU"/>
        </w:rPr>
      </w:pPr>
      <w:r>
        <w:rPr>
          <w:b w:val="false"/>
          <w:i/>
          <w:lang w:val="ru-RU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b/>
          <w:i/>
          <w:i/>
          <w:sz w:val="24"/>
          <w:szCs w:val="24"/>
          <w:lang w:val="ru-RU"/>
        </w:rPr>
      </w:pPr>
      <w:r>
        <w:rPr>
          <w:rFonts w:eastAsia="Calibri"/>
          <w:b/>
          <w:i/>
          <w:sz w:val="24"/>
          <w:szCs w:val="24"/>
          <w:lang w:val="ru-RU"/>
        </w:rPr>
      </w:r>
      <w:r>
        <w:br w:type="page"/>
      </w:r>
    </w:p>
    <w:p>
      <w:pPr>
        <w:pStyle w:val="1"/>
        <w:keepLines/>
        <w:numPr>
          <w:ilvl w:val="0"/>
          <w:numId w:val="3"/>
        </w:numPr>
        <w:ind w:left="357" w:hanging="357"/>
        <w:jc w:val="center"/>
        <w:rPr>
          <w:lang w:val="ru-RU"/>
        </w:rPr>
      </w:pPr>
      <w:bookmarkStart w:id="0" w:name="__RefHeading___Toc9792_1498528630"/>
      <w:bookmarkStart w:id="1" w:name="_Toc54643694"/>
      <w:bookmarkEnd w:id="0"/>
      <w:r>
        <w:rPr>
          <w:lang w:val="ru-RU"/>
        </w:rPr>
        <w:t>Общие сведения</w:t>
      </w:r>
      <w:bookmarkEnd w:id="1"/>
    </w:p>
    <w:p>
      <w:pPr>
        <w:pStyle w:val="4"/>
        <w:numPr>
          <w:ilvl w:val="1"/>
          <w:numId w:val="3"/>
        </w:numPr>
        <w:rPr>
          <w:lang w:val="ru-RU"/>
        </w:rPr>
      </w:pPr>
      <w:bookmarkStart w:id="2" w:name="__RefHeading___Toc9794_1498528630"/>
      <w:bookmarkStart w:id="3" w:name="_Toc54643695"/>
      <w:bookmarkStart w:id="4" w:name="_Toc46743505"/>
      <w:bookmarkEnd w:id="2"/>
      <w:r>
        <w:rPr>
          <w:lang w:val="ru-RU"/>
        </w:rPr>
        <w:t>Обозначения и сокращения</w:t>
      </w:r>
      <w:bookmarkEnd w:id="3"/>
      <w:bookmarkEnd w:id="4"/>
    </w:p>
    <w:tbl>
      <w:tblPr>
        <w:tblW w:w="978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1785"/>
        <w:gridCol w:w="7997"/>
      </w:tblGrid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Исполнитель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Организация, оказывающая услуги по </w:t>
            </w:r>
            <w:r>
              <w:rPr>
                <w:bCs/>
                <w:sz w:val="24"/>
                <w:szCs w:val="24"/>
                <w:lang w:val="ru-RU"/>
              </w:rPr>
              <w:t>разработке и технической поддержке ИС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Пользователь</w:t>
            </w:r>
          </w:p>
        </w:tc>
        <w:tc>
          <w:tcPr>
            <w:tcW w:w="79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Потребитель услуг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</w:t>
            </w:r>
          </w:p>
        </w:tc>
        <w:tc>
          <w:tcPr>
            <w:tcW w:w="79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Программное обеспечение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ТТ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Технические требования</w:t>
            </w:r>
          </w:p>
        </w:tc>
      </w:tr>
    </w:tbl>
    <w:p>
      <w:pPr>
        <w:pStyle w:val="Normal"/>
        <w:keepNext w:val="true"/>
        <w:keepLines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Normal"/>
        <w:keepNext w:val="true"/>
        <w:keepLines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Normal"/>
        <w:keepNext w:val="true"/>
        <w:keepLines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br w:type="page"/>
      </w:r>
    </w:p>
    <w:p>
      <w:pPr>
        <w:pStyle w:val="4"/>
        <w:numPr>
          <w:ilvl w:val="1"/>
          <w:numId w:val="3"/>
        </w:numPr>
        <w:rPr>
          <w:lang w:val="ru-RU"/>
        </w:rPr>
      </w:pPr>
      <w:bookmarkStart w:id="5" w:name="__RefHeading___Toc9796_1498528630"/>
      <w:bookmarkStart w:id="6" w:name="_Toc46743506"/>
      <w:bookmarkStart w:id="7" w:name="_Toc54643696"/>
      <w:bookmarkEnd w:id="5"/>
      <w:r>
        <w:rPr>
          <w:i w:val="false"/>
          <w:iCs w:val="false"/>
          <w:shd w:fill="auto" w:val="clear"/>
          <w:lang w:val="ru-RU"/>
        </w:rPr>
        <w:t>Наименование закупаемой продукции</w:t>
      </w:r>
      <w:bookmarkEnd w:id="6"/>
      <w:bookmarkEnd w:id="7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Style w:val="Style16"/>
          <w:rFonts w:eastAsia="Calibri"/>
          <w:b/>
          <w:b/>
          <w:i w:val="false"/>
          <w:i w:val="false"/>
          <w:iCs w:val="false"/>
          <w:sz w:val="26"/>
          <w:szCs w:val="26"/>
          <w:shd w:fill="auto" w:val="clear"/>
          <w:lang w:val="ru-RU"/>
        </w:rPr>
      </w:pPr>
      <w:r>
        <w:rPr>
          <w:rStyle w:val="Style16"/>
          <w:rFonts w:eastAsia="Calibri"/>
          <w:b/>
          <w:i w:val="false"/>
          <w:iCs w:val="false"/>
          <w:sz w:val="26"/>
          <w:szCs w:val="26"/>
          <w:shd w:fill="auto" w:val="clear"/>
          <w:lang w:val="ru-RU"/>
        </w:rPr>
        <w:t>ОКПД2 - 63.11.12.000. Техническая поддержка внутреннего сайта</w:t>
      </w:r>
      <w:bookmarkStart w:id="8" w:name="_Toc46743507"/>
    </w:p>
    <w:p>
      <w:pPr>
        <w:pStyle w:val="4"/>
        <w:numPr>
          <w:ilvl w:val="1"/>
          <w:numId w:val="3"/>
        </w:numPr>
        <w:spacing w:before="240" w:after="60"/>
        <w:ind w:left="431" w:hanging="431"/>
        <w:rPr>
          <w:lang w:val="ru-RU"/>
        </w:rPr>
      </w:pPr>
      <w:bookmarkStart w:id="9" w:name="__RefHeading___Toc9798_1498528630"/>
      <w:bookmarkStart w:id="10" w:name="_Toc54643697"/>
      <w:bookmarkEnd w:id="9"/>
      <w:r>
        <w:rPr>
          <w:i w:val="false"/>
          <w:iCs w:val="false"/>
          <w:shd w:fill="auto" w:val="clear"/>
          <w:lang w:val="ru-RU"/>
        </w:rPr>
        <w:t xml:space="preserve">Цель </w:t>
      </w:r>
      <w:bookmarkEnd w:id="8"/>
      <w:r>
        <w:rPr>
          <w:i w:val="false"/>
          <w:iCs w:val="false"/>
          <w:shd w:fill="auto" w:val="clear"/>
          <w:lang w:val="ru-RU"/>
        </w:rPr>
        <w:t>оказания услуг</w:t>
      </w:r>
      <w:bookmarkEnd w:id="10"/>
    </w:p>
    <w:p>
      <w:pPr>
        <w:pStyle w:val="Normal"/>
        <w:widowControl w:val="false"/>
        <w:tabs>
          <w:tab w:val="clear" w:pos="708"/>
          <w:tab w:val="left" w:pos="426" w:leader="none"/>
        </w:tabs>
        <w:spacing w:lineRule="auto" w:line="240" w:before="0" w:after="0"/>
        <w:ind w:hanging="0"/>
        <w:jc w:val="both"/>
        <w:rPr>
          <w:rStyle w:val="Style16"/>
          <w:b w:val="false"/>
          <w:b w:val="false"/>
          <w:bCs/>
          <w:i w:val="false"/>
          <w:i w:val="false"/>
          <w:iCs w:val="false"/>
          <w:sz w:val="24"/>
          <w:szCs w:val="28"/>
          <w:shd w:fill="auto" w:val="clear"/>
          <w:lang w:val="ru-RU"/>
        </w:rPr>
      </w:pPr>
      <w:r>
        <w:rPr>
          <w:b w:val="false"/>
          <w:bCs/>
          <w:i w:val="false"/>
          <w:iCs w:val="false"/>
          <w:sz w:val="24"/>
          <w:szCs w:val="28"/>
          <w:shd w:fill="auto" w:val="clear"/>
          <w:lang w:val="ru-RU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lineRule="auto" w:line="240" w:before="0" w:after="0"/>
        <w:ind w:hanging="0"/>
        <w:jc w:val="both"/>
        <w:rPr/>
      </w:pPr>
      <w:r>
        <w:rPr>
          <w:rStyle w:val="Style16"/>
          <w:b w:val="false"/>
          <w:bCs/>
          <w:i w:val="false"/>
          <w:iCs w:val="false"/>
          <w:sz w:val="24"/>
          <w:szCs w:val="28"/>
          <w:shd w:fill="auto" w:val="clear"/>
          <w:lang w:val="ru-RU"/>
        </w:rPr>
        <w:t xml:space="preserve">Целью оказания Услуг является: </w:t>
      </w:r>
    </w:p>
    <w:p>
      <w:pPr>
        <w:pStyle w:val="Normal"/>
        <w:widowControl w:val="false"/>
        <w:numPr>
          <w:ilvl w:val="0"/>
          <w:numId w:val="9"/>
        </w:numPr>
        <w:tabs>
          <w:tab w:val="clear" w:pos="708"/>
          <w:tab w:val="left" w:pos="426" w:leader="none"/>
        </w:tabs>
        <w:spacing w:lineRule="auto" w:line="240" w:before="0" w:after="0"/>
        <w:jc w:val="both"/>
        <w:rPr/>
      </w:pPr>
      <w:r>
        <w:rPr>
          <w:rStyle w:val="Style16"/>
          <w:b w:val="false"/>
          <w:bCs/>
          <w:i w:val="false"/>
          <w:iCs w:val="false"/>
          <w:sz w:val="24"/>
          <w:szCs w:val="28"/>
          <w:shd w:fill="auto" w:val="clear"/>
          <w:lang w:val="ru-RU"/>
        </w:rPr>
        <w:t>Поддержание/оптимизация работы сайта.</w:t>
      </w:r>
    </w:p>
    <w:p>
      <w:pPr>
        <w:pStyle w:val="Normal"/>
        <w:widowControl w:val="false"/>
        <w:numPr>
          <w:ilvl w:val="0"/>
          <w:numId w:val="9"/>
        </w:numPr>
        <w:tabs>
          <w:tab w:val="clear" w:pos="708"/>
          <w:tab w:val="left" w:pos="426" w:leader="none"/>
        </w:tabs>
        <w:spacing w:lineRule="auto" w:line="240" w:before="0" w:after="0"/>
        <w:jc w:val="both"/>
        <w:rPr/>
      </w:pPr>
      <w:r>
        <w:rPr>
          <w:rStyle w:val="Style16"/>
          <w:b w:val="false"/>
          <w:bCs/>
          <w:i w:val="false"/>
          <w:iCs w:val="false"/>
          <w:sz w:val="24"/>
          <w:szCs w:val="28"/>
          <w:shd w:fill="auto" w:val="clear"/>
          <w:lang w:val="ru-RU"/>
        </w:rPr>
        <w:t>Консультации по вопросам, связанным с функционированием сайта.</w:t>
      </w:r>
    </w:p>
    <w:p>
      <w:pPr>
        <w:pStyle w:val="Normal"/>
        <w:widowControl w:val="false"/>
        <w:numPr>
          <w:ilvl w:val="0"/>
          <w:numId w:val="9"/>
        </w:numPr>
        <w:tabs>
          <w:tab w:val="clear" w:pos="708"/>
          <w:tab w:val="left" w:pos="426" w:leader="none"/>
        </w:tabs>
        <w:spacing w:lineRule="auto" w:line="240" w:before="0" w:after="0"/>
        <w:jc w:val="both"/>
        <w:rPr/>
      </w:pPr>
      <w:r>
        <w:rPr>
          <w:rStyle w:val="Style16"/>
          <w:b w:val="false"/>
          <w:bCs/>
          <w:i w:val="false"/>
          <w:iCs w:val="false"/>
          <w:sz w:val="24"/>
          <w:szCs w:val="28"/>
          <w:shd w:fill="auto" w:val="clear"/>
          <w:lang w:val="ru-RU"/>
        </w:rPr>
        <w:t>Текущие правки и дополнения по доработке дизайна сайта в соответствии с брендбуком АО «Сахаэнерго».</w:t>
      </w:r>
    </w:p>
    <w:p>
      <w:pPr>
        <w:pStyle w:val="Normal"/>
        <w:widowControl w:val="false"/>
        <w:numPr>
          <w:ilvl w:val="0"/>
          <w:numId w:val="9"/>
        </w:numPr>
        <w:tabs>
          <w:tab w:val="clear" w:pos="708"/>
          <w:tab w:val="left" w:pos="426" w:leader="none"/>
        </w:tabs>
        <w:spacing w:lineRule="auto" w:line="240" w:before="0" w:after="0"/>
        <w:jc w:val="both"/>
        <w:rPr/>
      </w:pPr>
      <w:r>
        <w:rPr>
          <w:rStyle w:val="Style16"/>
          <w:b w:val="false"/>
          <w:bCs/>
          <w:i w:val="false"/>
          <w:iCs w:val="false"/>
          <w:sz w:val="24"/>
          <w:szCs w:val="28"/>
          <w:shd w:fill="auto" w:val="clear"/>
          <w:lang w:val="ru-RU"/>
        </w:rPr>
        <w:t>Техническое сопровождение (резервное копирование, обновления сайта (движка), контроль хостинга).</w:t>
      </w:r>
    </w:p>
    <w:p>
      <w:pPr>
        <w:pStyle w:val="Normal"/>
        <w:widowControl w:val="false"/>
        <w:numPr>
          <w:ilvl w:val="0"/>
          <w:numId w:val="9"/>
        </w:numPr>
        <w:tabs>
          <w:tab w:val="clear" w:pos="708"/>
          <w:tab w:val="left" w:pos="426" w:leader="none"/>
        </w:tabs>
        <w:spacing w:lineRule="auto" w:line="240" w:before="0" w:after="0"/>
        <w:jc w:val="both"/>
        <w:rPr/>
      </w:pPr>
      <w:r>
        <w:rPr>
          <w:rStyle w:val="Style16"/>
          <w:b w:val="false"/>
          <w:bCs/>
          <w:i w:val="false"/>
          <w:iCs w:val="false"/>
          <w:sz w:val="24"/>
          <w:szCs w:val="28"/>
          <w:shd w:fill="auto" w:val="clear"/>
          <w:lang w:val="ru-RU"/>
        </w:rPr>
        <w:t>Взаимодействие со службами технической поддержки бэкофисных платформ взаимодействующих с сайтом для решения возникающих технических вопросов в кратчайшие сроки.</w:t>
      </w:r>
    </w:p>
    <w:p>
      <w:pPr>
        <w:pStyle w:val="Normal"/>
        <w:widowControl w:val="false"/>
        <w:numPr>
          <w:ilvl w:val="0"/>
          <w:numId w:val="9"/>
        </w:numPr>
        <w:tabs>
          <w:tab w:val="clear" w:pos="708"/>
          <w:tab w:val="left" w:pos="426" w:leader="none"/>
        </w:tabs>
        <w:spacing w:lineRule="auto" w:line="240" w:before="0" w:after="0"/>
        <w:jc w:val="both"/>
        <w:rPr/>
      </w:pPr>
      <w:r>
        <w:rPr>
          <w:rStyle w:val="Style16"/>
          <w:b w:val="false"/>
          <w:bCs/>
          <w:i w:val="false"/>
          <w:iCs w:val="false"/>
          <w:sz w:val="24"/>
          <w:szCs w:val="28"/>
          <w:shd w:fill="auto" w:val="clear"/>
          <w:lang w:val="ru-RU"/>
        </w:rPr>
        <w:t>Настройка работы модулей системы управления сайтом при необходимости.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lineRule="auto" w:line="240" w:before="0" w:after="0"/>
        <w:ind w:hanging="0"/>
        <w:jc w:val="both"/>
        <w:rPr>
          <w:rStyle w:val="Style16"/>
          <w:b w:val="false"/>
          <w:b w:val="false"/>
          <w:bCs/>
          <w:i w:val="false"/>
          <w:i w:val="false"/>
          <w:iCs w:val="false"/>
          <w:sz w:val="24"/>
          <w:szCs w:val="28"/>
          <w:shd w:fill="auto" w:val="clear"/>
          <w:lang w:val="ru-RU"/>
        </w:rPr>
      </w:pPr>
      <w:r>
        <w:rPr>
          <w:b w:val="false"/>
          <w:bCs/>
          <w:i w:val="false"/>
          <w:iCs w:val="false"/>
          <w:sz w:val="24"/>
          <w:szCs w:val="28"/>
          <w:shd w:fill="auto" w:val="clear"/>
          <w:lang w:val="ru-RU"/>
        </w:rPr>
      </w:r>
    </w:p>
    <w:p>
      <w:pPr>
        <w:pStyle w:val="3"/>
        <w:keepNext w:val="true"/>
        <w:widowControl/>
        <w:numPr>
          <w:ilvl w:val="1"/>
          <w:numId w:val="3"/>
        </w:numPr>
        <w:spacing w:before="0" w:after="0"/>
        <w:jc w:val="both"/>
        <w:rPr>
          <w:lang w:val="ru-RU"/>
        </w:rPr>
      </w:pPr>
      <w:bookmarkStart w:id="11" w:name="__RefHeading___Toc9800_1498528630"/>
      <w:bookmarkStart w:id="12" w:name="_Toc62052162"/>
      <w:bookmarkEnd w:id="11"/>
      <w:r>
        <w:rPr>
          <w:rFonts w:eastAsia="Calibri"/>
          <w:b/>
          <w:lang w:val="ru-RU"/>
        </w:rPr>
        <w:t>Место оказания Услуг</w:t>
      </w:r>
      <w:bookmarkEnd w:id="12"/>
      <w:r>
        <w:rPr>
          <w:rFonts w:eastAsia="Calibri"/>
          <w:b/>
          <w:lang w:val="ru-RU"/>
        </w:rPr>
        <w:t xml:space="preserve"> </w:t>
      </w:r>
    </w:p>
    <w:p>
      <w:pPr>
        <w:pStyle w:val="1"/>
        <w:keepLines/>
        <w:numPr>
          <w:ilvl w:val="0"/>
          <w:numId w:val="0"/>
        </w:numPr>
        <w:tabs>
          <w:tab w:val="clear" w:pos="708"/>
        </w:tabs>
        <w:spacing w:before="240" w:after="60"/>
        <w:ind w:left="0" w:hanging="0"/>
        <w:rPr>
          <w:lang w:val="ru-RU"/>
        </w:rPr>
      </w:pPr>
      <w:bookmarkStart w:id="13" w:name="__RefHeading___Toc4127_433688913"/>
      <w:bookmarkStart w:id="14" w:name="_Toc132039855"/>
      <w:bookmarkEnd w:id="13"/>
      <w:r>
        <w:rPr>
          <w:sz w:val="24"/>
          <w:szCs w:val="24"/>
          <w:lang w:val="ru-RU"/>
        </w:rPr>
        <w:t>Таблица 1. Перечень объектов заказчика</w:t>
      </w:r>
      <w:bookmarkEnd w:id="14"/>
    </w:p>
    <w:tbl>
      <w:tblPr>
        <w:tblW w:w="991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000" w:noHBand="0" w:lastColumn="0" w:firstColumn="0" w:lastRow="0" w:firstRow="0"/>
      </w:tblPr>
      <w:tblGrid>
        <w:gridCol w:w="570"/>
        <w:gridCol w:w="2143"/>
        <w:gridCol w:w="1995"/>
        <w:gridCol w:w="3390"/>
        <w:gridCol w:w="1817"/>
      </w:tblGrid>
      <w:tr>
        <w:trPr/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№</w:t>
            </w:r>
          </w:p>
          <w:p>
            <w:pPr>
              <w:pStyle w:val="Normal"/>
              <w:widowControl w:val="false"/>
              <w:rPr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п/п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Наименование объекта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Расположение объекта </w:t>
              <w:br/>
            </w:r>
            <w:r>
              <w:rPr>
                <w:i/>
                <w:iCs/>
                <w:sz w:val="24"/>
                <w:szCs w:val="24"/>
                <w:lang w:val="ru-RU"/>
              </w:rPr>
              <w:t>(место оказания услуг)</w:t>
            </w:r>
            <w:r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Наименование основного средства </w:t>
              <w:br/>
              <w:t>(в отношении которого оказываются услуги)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Примечания</w:t>
            </w:r>
          </w:p>
        </w:tc>
      </w:tr>
      <w:tr>
        <w:trPr/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5</w:t>
            </w:r>
          </w:p>
        </w:tc>
      </w:tr>
      <w:tr>
        <w:trPr>
          <w:trHeight w:val="881" w:hRule="atLeast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lang w:val="ru-RU"/>
              </w:rPr>
            </w:pPr>
            <w:r>
              <w:rPr>
                <w:iCs/>
                <w:sz w:val="24"/>
                <w:szCs w:val="24"/>
                <w:lang w:val="ru-RU"/>
              </w:rPr>
              <w:t>Внутренний сайт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lang w:val="ru-RU"/>
              </w:rPr>
            </w:pPr>
            <w:r>
              <w:rPr>
                <w:iCs/>
                <w:sz w:val="24"/>
                <w:szCs w:val="24"/>
                <w:lang w:val="ru-RU"/>
              </w:rPr>
              <w:t>г.Якутск, пер.Энергетиков, д.2</w:t>
            </w: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lang w:val="ru-RU"/>
              </w:rPr>
            </w:pPr>
            <w:r>
              <w:rPr>
                <w:iCs/>
                <w:sz w:val="24"/>
                <w:szCs w:val="24"/>
                <w:lang w:val="ru-RU"/>
              </w:rPr>
              <w:t>Веб сайт  bitrix24.sakhaenergo.ru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</w:tbl>
    <w:p>
      <w:pPr>
        <w:pStyle w:val="1"/>
        <w:keepLines/>
        <w:widowControl w:val="false"/>
        <w:numPr>
          <w:ilvl w:val="0"/>
          <w:numId w:val="0"/>
        </w:numPr>
        <w:tabs>
          <w:tab w:val="clear" w:pos="708"/>
          <w:tab w:val="left" w:pos="426" w:leader="none"/>
        </w:tabs>
        <w:spacing w:lineRule="auto" w:line="240" w:before="0" w:after="0"/>
        <w:ind w:left="0" w:hanging="0"/>
        <w:jc w:val="center"/>
        <w:rPr>
          <w:lang w:val="ru-RU"/>
        </w:rPr>
      </w:pPr>
      <w:r>
        <w:rPr>
          <w:lang w:val="ru-RU"/>
        </w:rPr>
      </w:r>
    </w:p>
    <w:p>
      <w:pPr>
        <w:pStyle w:val="1"/>
        <w:keepLines/>
        <w:numPr>
          <w:ilvl w:val="0"/>
          <w:numId w:val="3"/>
        </w:numPr>
        <w:ind w:left="357" w:hanging="357"/>
        <w:jc w:val="center"/>
        <w:rPr>
          <w:lang w:val="ru-RU"/>
        </w:rPr>
      </w:pPr>
      <w:bookmarkStart w:id="15" w:name="__RefHeading___Toc9802_1498528630"/>
      <w:bookmarkStart w:id="16" w:name="_Toc51339693"/>
      <w:bookmarkStart w:id="17" w:name="_Toc54643702"/>
      <w:bookmarkStart w:id="18" w:name="_Toc50125126"/>
      <w:bookmarkEnd w:id="15"/>
      <w:bookmarkEnd w:id="18"/>
      <w:r>
        <w:rPr>
          <w:iCs/>
          <w:lang w:val="ru-RU"/>
        </w:rPr>
        <w:t>Требования к продукции</w:t>
      </w:r>
      <w:bookmarkEnd w:id="16"/>
      <w:bookmarkEnd w:id="17"/>
    </w:p>
    <w:p>
      <w:pPr>
        <w:pStyle w:val="4"/>
        <w:numPr>
          <w:ilvl w:val="1"/>
          <w:numId w:val="3"/>
        </w:numPr>
        <w:rPr>
          <w:lang w:val="ru-RU"/>
        </w:rPr>
      </w:pPr>
      <w:bookmarkStart w:id="19" w:name="__RefHeading___Toc9804_1498528630"/>
      <w:bookmarkStart w:id="20" w:name="_Toc54643703"/>
      <w:bookmarkEnd w:id="19"/>
      <w:r>
        <w:rPr>
          <w:lang w:val="ru-RU"/>
        </w:rPr>
        <w:t>Требования к объемам и срокам оказания услуг</w:t>
      </w:r>
      <w:bookmarkEnd w:id="20"/>
    </w:p>
    <w:p>
      <w:pPr>
        <w:pStyle w:val="3"/>
        <w:numPr>
          <w:ilvl w:val="2"/>
          <w:numId w:val="3"/>
        </w:numPr>
        <w:rPr>
          <w:lang w:val="ru-RU"/>
        </w:rPr>
      </w:pPr>
      <w:bookmarkStart w:id="21" w:name="__RefHeading___Toc9806_1498528630"/>
      <w:bookmarkStart w:id="22" w:name="_Toc54643704"/>
      <w:bookmarkEnd w:id="21"/>
      <w:r>
        <w:rPr>
          <w:lang w:val="ru-RU"/>
        </w:rPr>
        <w:t>Требования к перечню и объему услуг</w:t>
      </w:r>
      <w:bookmarkEnd w:id="22"/>
    </w:p>
    <w:p>
      <w:pPr>
        <w:pStyle w:val="1"/>
        <w:keepLines/>
        <w:numPr>
          <w:ilvl w:val="0"/>
          <w:numId w:val="0"/>
        </w:numPr>
        <w:spacing w:before="240" w:after="60"/>
        <w:ind w:left="0" w:hanging="0"/>
        <w:rPr>
          <w:lang w:val="ru-RU"/>
        </w:rPr>
      </w:pPr>
      <w:bookmarkStart w:id="23" w:name="__RefHeading___Toc9808_1498528630"/>
      <w:bookmarkStart w:id="24" w:name="_Toc54643705"/>
      <w:bookmarkStart w:id="25" w:name="_Toc51339695"/>
      <w:bookmarkEnd w:id="23"/>
      <w:r>
        <w:rPr>
          <w:sz w:val="24"/>
          <w:szCs w:val="24"/>
          <w:lang w:val="ru-RU"/>
        </w:rPr>
        <w:t xml:space="preserve">Таблица 2. Перечень </w:t>
      </w:r>
      <w:bookmarkEnd w:id="25"/>
      <w:r>
        <w:rPr>
          <w:sz w:val="24"/>
          <w:szCs w:val="24"/>
          <w:lang w:val="ru-RU"/>
        </w:rPr>
        <w:t>и объем оказываемых услуг</w:t>
      </w:r>
      <w:bookmarkEnd w:id="24"/>
    </w:p>
    <w:tbl>
      <w:tblPr>
        <w:tblW w:w="981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000" w:noHBand="0" w:lastColumn="0" w:firstColumn="0" w:lastRow="0" w:firstRow="0"/>
      </w:tblPr>
      <w:tblGrid>
        <w:gridCol w:w="849"/>
        <w:gridCol w:w="4849"/>
        <w:gridCol w:w="1990"/>
        <w:gridCol w:w="2121"/>
      </w:tblGrid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п/п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Наименование услуг / этапа услуг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Единица измерения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Количество</w:t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4</w:t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rPr>
                <w:i w:val="false"/>
                <w:i w:val="false"/>
                <w:iCs w:val="false"/>
                <w:color w:val="auto"/>
                <w:highlight w:val="none"/>
                <w:u w:val="none"/>
                <w:shd w:fill="auto" w:val="clear"/>
                <w:lang w:val="ru-RU"/>
              </w:rPr>
            </w:pPr>
            <w:r>
              <w:rPr>
                <w:i w:val="false"/>
                <w:iCs w:val="false"/>
                <w:color w:val="000000"/>
                <w:u w:val="none"/>
                <w:shd w:fill="auto" w:val="clear"/>
                <w:lang w:val="ru-RU"/>
              </w:rPr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/>
              <w:jc w:val="left"/>
              <w:rPr/>
            </w:pPr>
            <w:r>
              <w:rPr>
                <w:rStyle w:val="Style16"/>
                <w:b w:val="false"/>
                <w:bCs/>
                <w:i/>
                <w:iCs w:val="false"/>
                <w:color w:val="000000"/>
                <w:sz w:val="24"/>
                <w:szCs w:val="24"/>
                <w:u w:val="none"/>
                <w:shd w:fill="auto" w:val="clear"/>
                <w:lang w:val="ru-RU"/>
              </w:rPr>
              <w:t>Услуги сопровождения внутреннего сайта  в рабочие дни в период с 08:00 по 17:00 по времени Якутска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lang w:val="ru-RU"/>
              </w:rPr>
            </w:pPr>
            <w:r>
              <w:rPr>
                <w:i/>
                <w:sz w:val="24"/>
                <w:szCs w:val="24"/>
                <w:lang w:val="ru-RU"/>
              </w:rPr>
              <w:t>усл. ед.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lang w:val="ru-RU"/>
              </w:rPr>
            </w:pPr>
            <w:r>
              <w:rPr>
                <w:i/>
                <w:sz w:val="24"/>
                <w:szCs w:val="24"/>
                <w:lang w:val="ru-RU"/>
              </w:rPr>
              <w:t>1</w:t>
            </w:r>
          </w:p>
        </w:tc>
      </w:tr>
    </w:tbl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ind w:firstLine="142"/>
        <w:rPr>
          <w:bCs/>
          <w:i/>
          <w:i/>
          <w:sz w:val="24"/>
          <w:szCs w:val="24"/>
          <w:shd w:fill="FFFF99" w:val="clear"/>
          <w:lang w:val="ru-RU"/>
        </w:rPr>
      </w:pPr>
      <w:r>
        <w:rPr>
          <w:bCs/>
          <w:i/>
          <w:sz w:val="24"/>
          <w:szCs w:val="24"/>
          <w:shd w:fill="FFFF99" w:val="clear"/>
          <w:lang w:val="ru-RU"/>
        </w:rPr>
      </w:r>
      <w:r>
        <w:br w:type="page"/>
      </w:r>
    </w:p>
    <w:p>
      <w:pPr>
        <w:pStyle w:val="3"/>
        <w:numPr>
          <w:ilvl w:val="2"/>
          <w:numId w:val="3"/>
        </w:numPr>
        <w:rPr>
          <w:lang w:val="ru-RU"/>
        </w:rPr>
      </w:pPr>
      <w:bookmarkStart w:id="26" w:name="__RefHeading___Toc9810_1498528630"/>
      <w:bookmarkStart w:id="27" w:name="_Toc54643706"/>
      <w:bookmarkStart w:id="28" w:name="_Toc51339696"/>
      <w:bookmarkEnd w:id="26"/>
      <w:r>
        <w:rPr>
          <w:lang w:val="ru-RU"/>
        </w:rPr>
        <w:t xml:space="preserve">Требования </w:t>
      </w:r>
      <w:bookmarkEnd w:id="28"/>
      <w:r>
        <w:rPr>
          <w:lang w:val="ru-RU"/>
        </w:rPr>
        <w:t>к срокам оказания услуг</w:t>
      </w:r>
      <w:bookmarkEnd w:id="27"/>
    </w:p>
    <w:p>
      <w:pPr>
        <w:pStyle w:val="1"/>
        <w:keepLines/>
        <w:numPr>
          <w:ilvl w:val="0"/>
          <w:numId w:val="0"/>
        </w:numPr>
        <w:spacing w:before="240" w:after="60"/>
        <w:ind w:left="0" w:hanging="0"/>
        <w:rPr>
          <w:lang w:val="ru-RU"/>
        </w:rPr>
      </w:pPr>
      <w:bookmarkStart w:id="29" w:name="__RefHeading___Toc9812_1498528630"/>
      <w:bookmarkStart w:id="30" w:name="_Toc54643707"/>
      <w:bookmarkStart w:id="31" w:name="_Toc50125127"/>
      <w:bookmarkStart w:id="32" w:name="_Toc51339697"/>
      <w:bookmarkStart w:id="33" w:name="_Toc501251261"/>
      <w:bookmarkEnd w:id="29"/>
      <w:bookmarkEnd w:id="33"/>
      <w:r>
        <w:rPr>
          <w:sz w:val="24"/>
          <w:szCs w:val="24"/>
          <w:lang w:val="ru-RU"/>
        </w:rPr>
        <w:t xml:space="preserve">Таблица 3. </w:t>
      </w:r>
      <w:bookmarkStart w:id="34" w:name="_Hlk50465284"/>
      <w:r>
        <w:rPr>
          <w:sz w:val="24"/>
          <w:szCs w:val="24"/>
          <w:lang w:val="ru-RU"/>
        </w:rPr>
        <w:t xml:space="preserve">Требования к срокам </w:t>
      </w:r>
      <w:bookmarkEnd w:id="31"/>
      <w:bookmarkEnd w:id="32"/>
      <w:bookmarkEnd w:id="34"/>
      <w:r>
        <w:rPr>
          <w:sz w:val="24"/>
          <w:szCs w:val="24"/>
          <w:lang w:val="ru-RU"/>
        </w:rPr>
        <w:t>оказания услуг</w:t>
      </w:r>
      <w:bookmarkEnd w:id="30"/>
    </w:p>
    <w:tbl>
      <w:tblPr>
        <w:tblW w:w="977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791"/>
        <w:gridCol w:w="2889"/>
        <w:gridCol w:w="2978"/>
        <w:gridCol w:w="3117"/>
      </w:tblGrid>
      <w:tr>
        <w:trPr/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№ </w:t>
            </w:r>
            <w:r>
              <w:rPr>
                <w:sz w:val="24"/>
                <w:szCs w:val="24"/>
                <w:lang w:val="ru-RU"/>
              </w:rPr>
              <w:t>п/п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Наименование услуг/ этапа услуг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Требования к началу срока оказания услуг/ этапа услуг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Требования к окончанию срока оказания услуг / этапа услуг</w:t>
            </w:r>
          </w:p>
        </w:tc>
      </w:tr>
      <w:tr>
        <w:trPr/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9"/>
              <w:keepNext w:val="false"/>
              <w:widowControl w:val="false"/>
              <w:spacing w:before="40" w:after="40"/>
              <w:jc w:val="center"/>
              <w:rPr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9"/>
              <w:keepNext w:val="false"/>
              <w:widowControl w:val="false"/>
              <w:spacing w:before="40" w:after="40"/>
              <w:jc w:val="center"/>
              <w:rPr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4</w:t>
            </w:r>
          </w:p>
        </w:tc>
      </w:tr>
      <w:tr>
        <w:trPr/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2"/>
              </w:numPr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lang w:val="ru-RU"/>
              </w:rPr>
            </w:pPr>
            <w:r>
              <w:rPr>
                <w:i/>
                <w:sz w:val="24"/>
                <w:szCs w:val="24"/>
                <w:lang w:val="ru-RU"/>
              </w:rPr>
              <w:t>Услуги сопровождения внутреннего сайта с 08:00 по 17:00 по времени Якутска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01.03.202</w:t>
            </w: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28.02.202</w:t>
            </w:r>
            <w:r>
              <w:rPr>
                <w:sz w:val="24"/>
                <w:szCs w:val="24"/>
                <w:lang w:val="ru-RU"/>
              </w:rPr>
              <w:t>7</w:t>
            </w:r>
          </w:p>
        </w:tc>
      </w:tr>
    </w:tbl>
    <w:p>
      <w:pPr>
        <w:sectPr>
          <w:headerReference w:type="even" r:id="rId2"/>
          <w:headerReference w:type="default" r:id="rId3"/>
          <w:headerReference w:type="first" r:id="rId4"/>
          <w:type w:val="nextPage"/>
          <w:pgSz w:w="11906" w:h="16838"/>
          <w:pgMar w:left="1134" w:right="851" w:gutter="0" w:header="680" w:top="1134" w:footer="0" w:bottom="992"/>
          <w:pgNumType w:fmt="decimal"/>
          <w:formProt w:val="false"/>
          <w:titlePg/>
          <w:textDirection w:val="lrTb"/>
          <w:docGrid w:type="default" w:linePitch="100" w:charSpace="0"/>
        </w:sectPr>
      </w:pPr>
    </w:p>
    <w:p>
      <w:pPr>
        <w:pStyle w:val="4"/>
        <w:numPr>
          <w:ilvl w:val="1"/>
          <w:numId w:val="3"/>
        </w:numPr>
        <w:rPr>
          <w:lang w:val="ru-RU"/>
        </w:rPr>
      </w:pPr>
      <w:bookmarkStart w:id="35" w:name="__RefHeading___Toc9814_1498528630"/>
      <w:bookmarkStart w:id="36" w:name="_Toc54643709"/>
      <w:bookmarkStart w:id="37" w:name="_Toc54643708"/>
      <w:bookmarkStart w:id="38" w:name="_Toc46743511"/>
      <w:bookmarkEnd w:id="35"/>
      <w:r>
        <w:rPr>
          <w:lang w:val="ru-RU"/>
        </w:rPr>
        <w:t xml:space="preserve">Требования к </w:t>
      </w:r>
      <w:bookmarkEnd w:id="38"/>
      <w:r>
        <w:rPr>
          <w:lang w:val="ru-RU"/>
        </w:rPr>
        <w:t>качеству услуг</w:t>
      </w:r>
      <w:bookmarkEnd w:id="37"/>
    </w:p>
    <w:p>
      <w:pPr>
        <w:pStyle w:val="1"/>
        <w:keepLines/>
        <w:numPr>
          <w:ilvl w:val="0"/>
          <w:numId w:val="0"/>
        </w:numPr>
        <w:spacing w:before="240" w:after="60"/>
        <w:ind w:left="0" w:hanging="0"/>
        <w:rPr>
          <w:lang w:val="ru-RU"/>
        </w:rPr>
      </w:pPr>
      <w:bookmarkStart w:id="39" w:name="__RefHeading___Toc9816_1498528630"/>
      <w:bookmarkStart w:id="40" w:name="_Toc51339698"/>
      <w:bookmarkEnd w:id="39"/>
      <w:r>
        <w:rPr>
          <w:sz w:val="24"/>
          <w:szCs w:val="24"/>
          <w:lang w:val="ru-RU"/>
        </w:rPr>
        <w:t xml:space="preserve">Таблица 3. Требования к </w:t>
      </w:r>
      <w:bookmarkEnd w:id="40"/>
      <w:r>
        <w:rPr>
          <w:sz w:val="24"/>
          <w:szCs w:val="24"/>
          <w:lang w:val="ru-RU"/>
        </w:rPr>
        <w:t>качеству услуг</w:t>
      </w:r>
      <w:bookmarkEnd w:id="36"/>
      <w:r>
        <w:rPr>
          <w:sz w:val="24"/>
          <w:szCs w:val="24"/>
          <w:lang w:val="ru-RU"/>
        </w:rPr>
        <w:t xml:space="preserve"> </w:t>
      </w:r>
    </w:p>
    <w:p>
      <w:pPr>
        <w:pStyle w:val="Normal"/>
        <w:jc w:val="both"/>
        <w:rPr>
          <w:rStyle w:val="Style16"/>
          <w:b w:val="false"/>
          <w:b w:val="false"/>
          <w:i w:val="false"/>
          <w:i w:val="false"/>
          <w:iCs w:val="false"/>
          <w:sz w:val="24"/>
          <w:szCs w:val="24"/>
          <w:shd w:fill="auto" w:val="clear"/>
          <w:lang w:val="ru-RU"/>
        </w:rPr>
      </w:pPr>
      <w:r>
        <w:rPr>
          <w:b w:val="false"/>
          <w:i w:val="false"/>
          <w:iCs w:val="false"/>
          <w:sz w:val="24"/>
          <w:szCs w:val="24"/>
          <w:shd w:fill="auto" w:val="clear"/>
          <w:lang w:val="ru-RU"/>
        </w:rPr>
      </w:r>
      <w:bookmarkStart w:id="41" w:name="_Toc51339699"/>
      <w:bookmarkStart w:id="42" w:name="_Toc46743519"/>
      <w:bookmarkStart w:id="43" w:name="_Ref40301253"/>
      <w:bookmarkStart w:id="44" w:name="_Toc51339699"/>
      <w:bookmarkStart w:id="45" w:name="_Toc46743519"/>
      <w:bookmarkStart w:id="46" w:name="_Ref40301253"/>
      <w:bookmarkEnd w:id="44"/>
      <w:bookmarkEnd w:id="45"/>
      <w:bookmarkEnd w:id="46"/>
    </w:p>
    <w:tbl>
      <w:tblPr>
        <w:tblStyle w:val="1047"/>
        <w:tblW w:w="14880" w:type="dxa"/>
        <w:jc w:val="left"/>
        <w:tblInd w:w="-10" w:type="dxa"/>
        <w:tblLayout w:type="fixed"/>
        <w:tblCellMar>
          <w:top w:w="55" w:type="dxa"/>
          <w:left w:w="108" w:type="dxa"/>
          <w:bottom w:w="55" w:type="dxa"/>
          <w:right w:w="108" w:type="dxa"/>
        </w:tblCellMar>
        <w:tblLook w:noVBand="1" w:val="04a0" w:noHBand="0" w:lastColumn="0" w:firstColumn="1" w:lastRow="0" w:firstRow="1"/>
      </w:tblPr>
      <w:tblGrid>
        <w:gridCol w:w="851"/>
        <w:gridCol w:w="3574"/>
        <w:gridCol w:w="15"/>
        <w:gridCol w:w="3718"/>
        <w:gridCol w:w="2326"/>
        <w:gridCol w:w="2327"/>
        <w:gridCol w:w="2068"/>
      </w:tblGrid>
      <w:tr>
        <w:trPr/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35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373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Требование заказчика</w:t>
            </w:r>
          </w:p>
        </w:tc>
        <w:tc>
          <w:tcPr>
            <w:tcW w:w="46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  <w:tc>
          <w:tcPr>
            <w:tcW w:w="20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Предложение участника по характеристикам и параметрам</w:t>
            </w:r>
          </w:p>
        </w:tc>
      </w:tr>
      <w:tr>
        <w:trPr/>
        <w:tc>
          <w:tcPr>
            <w:tcW w:w="85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Times New Roman" w:cs="Times New Roman"/>
                <w:b/>
                <w:b/>
                <w:bCs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57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Times New Roman" w:cs="Times New Roman"/>
                <w:b/>
                <w:b/>
                <w:bCs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73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Times New Roman" w:cs="Times New Roman"/>
                <w:b/>
                <w:b/>
                <w:bCs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32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23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06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Times New Roman" w:cs="Times New Roman"/>
                <w:b/>
                <w:b/>
                <w:bCs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4"/>
                <w:szCs w:val="24"/>
                <w:lang w:val="ru-RU"/>
              </w:rPr>
            </w:pPr>
            <w:bookmarkStart w:id="47" w:name="_Toc53499667"/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1</w:t>
            </w:r>
            <w:bookmarkEnd w:id="47"/>
          </w:p>
        </w:tc>
        <w:tc>
          <w:tcPr>
            <w:tcW w:w="357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373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232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23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5</w:t>
            </w:r>
          </w:p>
        </w:tc>
        <w:tc>
          <w:tcPr>
            <w:tcW w:w="20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6</w:t>
            </w:r>
          </w:p>
        </w:tc>
      </w:tr>
      <w:tr>
        <w:trPr/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pacing w:before="60" w:after="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307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Основные требования к оказываемым Услугам</w:t>
            </w:r>
          </w:p>
        </w:tc>
        <w:tc>
          <w:tcPr>
            <w:tcW w:w="232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32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0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307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jc w:val="left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графической и текстовой информации</w:t>
            </w:r>
          </w:p>
        </w:tc>
        <w:tc>
          <w:tcPr>
            <w:tcW w:w="232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32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0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5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Дизайн, цветовая схема, графические элементы дизайна, логотип и шрифты.</w:t>
            </w:r>
          </w:p>
        </w:tc>
        <w:tc>
          <w:tcPr>
            <w:tcW w:w="373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Default"/>
              <w:widowControl w:val="false"/>
              <w:tabs>
                <w:tab w:val="clear" w:pos="708"/>
                <w:tab w:val="left" w:pos="851" w:leader="none"/>
              </w:tabs>
              <w:spacing w:before="0" w:after="0"/>
              <w:ind w:hanging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Соответствие с брендбуком</w:t>
            </w:r>
          </w:p>
        </w:tc>
        <w:tc>
          <w:tcPr>
            <w:tcW w:w="232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32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48"/>
              <w:keepNext w:val="false"/>
              <w:widowControl w:val="false"/>
              <w:numPr>
                <w:ilvl w:val="0"/>
                <w:numId w:val="0"/>
              </w:numPr>
              <w:spacing w:before="0" w:after="60"/>
              <w:ind w:left="0" w:hanging="0"/>
              <w:jc w:val="left"/>
              <w:outlineLvl w:val="2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0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307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Дизайн сайта может быть изменен по запросу Заказчика в течение срока Договора.</w:t>
            </w:r>
          </w:p>
        </w:tc>
        <w:tc>
          <w:tcPr>
            <w:tcW w:w="232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32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48"/>
              <w:keepNext w:val="false"/>
              <w:widowControl w:val="false"/>
              <w:numPr>
                <w:ilvl w:val="0"/>
                <w:numId w:val="0"/>
              </w:numPr>
              <w:spacing w:before="0" w:after="60"/>
              <w:ind w:left="0" w:hanging="0"/>
              <w:jc w:val="left"/>
              <w:outlineLvl w:val="2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0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307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Допускается снижение качества рисунков и иной графической информации, подлежащей размещению на сайте, по сравнению с оригиналами.</w:t>
            </w:r>
          </w:p>
        </w:tc>
        <w:tc>
          <w:tcPr>
            <w:tcW w:w="232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32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48"/>
              <w:keepNext w:val="false"/>
              <w:widowControl w:val="false"/>
              <w:numPr>
                <w:ilvl w:val="0"/>
                <w:numId w:val="0"/>
              </w:numPr>
              <w:spacing w:before="0" w:after="60"/>
              <w:ind w:left="0" w:hanging="0"/>
              <w:jc w:val="left"/>
              <w:outlineLvl w:val="2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0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307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Размер шрифта обновляемых страниц сайта не должен быть изменён. Размер шрифта для оформления заголовков, названия страниц и т.д. не оговаривается.</w:t>
            </w:r>
          </w:p>
        </w:tc>
        <w:tc>
          <w:tcPr>
            <w:tcW w:w="232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32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48"/>
              <w:keepNext w:val="false"/>
              <w:widowControl w:val="false"/>
              <w:numPr>
                <w:ilvl w:val="0"/>
                <w:numId w:val="0"/>
              </w:numPr>
              <w:spacing w:before="0" w:after="60"/>
              <w:ind w:left="0" w:hanging="0"/>
              <w:jc w:val="left"/>
              <w:outlineLvl w:val="2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0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307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Все графические, текстовые и иные материалы, подлежащие обновлению, Заказчик подбирает самостоятельно и передает Исполнителю. Исполнитель в случае необходимости, вправе запросить материалы более высокого качества, чем предоставленные.</w:t>
            </w:r>
          </w:p>
        </w:tc>
        <w:tc>
          <w:tcPr>
            <w:tcW w:w="232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32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48"/>
              <w:keepNext w:val="false"/>
              <w:widowControl w:val="false"/>
              <w:numPr>
                <w:ilvl w:val="0"/>
                <w:numId w:val="0"/>
              </w:numPr>
              <w:spacing w:before="0" w:after="60"/>
              <w:ind w:left="0" w:hanging="0"/>
              <w:jc w:val="left"/>
              <w:outlineLvl w:val="2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0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307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 xml:space="preserve">Требование к времени загрузки обновляемых страниц </w:t>
            </w:r>
          </w:p>
        </w:tc>
        <w:tc>
          <w:tcPr>
            <w:tcW w:w="232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32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0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307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Допускается увеличение времени загрузки отдельных страниц в случае, если подлежащая размещению информация имеет больший объём по сравнению с уже имеющейся. </w:t>
            </w:r>
          </w:p>
        </w:tc>
        <w:tc>
          <w:tcPr>
            <w:tcW w:w="232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32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48"/>
              <w:keepNext w:val="false"/>
              <w:widowControl w:val="false"/>
              <w:numPr>
                <w:ilvl w:val="0"/>
                <w:numId w:val="0"/>
              </w:numPr>
              <w:spacing w:before="0" w:after="60"/>
              <w:ind w:left="0" w:hanging="0"/>
              <w:jc w:val="left"/>
              <w:outlineLvl w:val="2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0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307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b/>
                <w:bCs/>
                <w:sz w:val="24"/>
                <w:szCs w:val="24"/>
                <w:lang w:val="ru-RU"/>
              </w:rPr>
            </w:pPr>
            <w:bookmarkStart w:id="48" w:name="_Toc1320398681"/>
            <w:bookmarkStart w:id="49" w:name="_Toc624689921"/>
            <w:bookmarkStart w:id="50" w:name="_Toc132039868"/>
            <w:bookmarkStart w:id="51" w:name="_Toc62468992"/>
            <w:r>
              <w:rPr>
                <w:b/>
                <w:bCs/>
                <w:sz w:val="24"/>
                <w:szCs w:val="24"/>
                <w:lang w:val="ru-RU"/>
              </w:rPr>
              <w:t>Требования к конфиденциальности</w:t>
            </w:r>
            <w:bookmarkEnd w:id="48"/>
            <w:bookmarkEnd w:id="49"/>
            <w:bookmarkEnd w:id="50"/>
            <w:bookmarkEnd w:id="51"/>
          </w:p>
        </w:tc>
        <w:tc>
          <w:tcPr>
            <w:tcW w:w="232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32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0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307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Исполнитель обязуется не разглашать третьим лицам коммерческую, финансовую, техническую и иную информацию, ставшую известной в ходе реализации проекта.</w:t>
            </w:r>
          </w:p>
        </w:tc>
        <w:tc>
          <w:tcPr>
            <w:tcW w:w="232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32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48"/>
              <w:keepNext w:val="false"/>
              <w:widowControl w:val="false"/>
              <w:numPr>
                <w:ilvl w:val="0"/>
                <w:numId w:val="0"/>
              </w:numPr>
              <w:spacing w:before="0" w:after="60"/>
              <w:ind w:left="0" w:hanging="0"/>
              <w:jc w:val="left"/>
              <w:outlineLvl w:val="2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0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307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b/>
                <w:bCs/>
                <w:sz w:val="24"/>
                <w:szCs w:val="24"/>
                <w:lang w:val="ru-RU"/>
              </w:rPr>
            </w:pPr>
            <w:bookmarkStart w:id="52" w:name="_Toc132039869"/>
            <w:bookmarkStart w:id="53" w:name="_Toc62468993"/>
            <w:r>
              <w:rPr>
                <w:b/>
                <w:bCs/>
                <w:sz w:val="24"/>
                <w:szCs w:val="24"/>
                <w:lang w:val="ru-RU"/>
              </w:rPr>
              <w:t>Требования к качеству оказываемых Услуг</w:t>
            </w:r>
            <w:bookmarkEnd w:id="52"/>
            <w:bookmarkEnd w:id="53"/>
          </w:p>
        </w:tc>
        <w:tc>
          <w:tcPr>
            <w:tcW w:w="232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32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0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307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Требования к техническому сопровождению</w:t>
            </w:r>
          </w:p>
        </w:tc>
        <w:tc>
          <w:tcPr>
            <w:tcW w:w="232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32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0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5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Способ обращения</w:t>
            </w:r>
          </w:p>
        </w:tc>
        <w:tc>
          <w:tcPr>
            <w:tcW w:w="373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Система Helpdesk или электронная почта исполнителя.</w:t>
            </w:r>
          </w:p>
        </w:tc>
        <w:tc>
          <w:tcPr>
            <w:tcW w:w="232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32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48"/>
              <w:keepNext w:val="false"/>
              <w:widowControl w:val="false"/>
              <w:numPr>
                <w:ilvl w:val="0"/>
                <w:numId w:val="0"/>
              </w:numPr>
              <w:spacing w:before="0" w:after="60"/>
              <w:ind w:left="0" w:hanging="0"/>
              <w:jc w:val="left"/>
              <w:outlineLvl w:val="2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0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307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Горячая линия Исполнителя должна обеспечивать Заказчику возможность оперативно получать консультации;</w:t>
            </w:r>
          </w:p>
        </w:tc>
        <w:tc>
          <w:tcPr>
            <w:tcW w:w="232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32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48"/>
              <w:keepNext w:val="false"/>
              <w:widowControl w:val="false"/>
              <w:numPr>
                <w:ilvl w:val="0"/>
                <w:numId w:val="0"/>
              </w:numPr>
              <w:spacing w:before="0" w:after="60"/>
              <w:ind w:left="0" w:hanging="0"/>
              <w:jc w:val="left"/>
              <w:outlineLvl w:val="2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0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307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Каждое обращение Заказчика должно фиксироваться</w:t>
            </w:r>
          </w:p>
        </w:tc>
        <w:tc>
          <w:tcPr>
            <w:tcW w:w="232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32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48"/>
              <w:keepNext w:val="false"/>
              <w:widowControl w:val="false"/>
              <w:numPr>
                <w:ilvl w:val="0"/>
                <w:numId w:val="0"/>
              </w:numPr>
              <w:spacing w:before="0" w:after="60"/>
              <w:ind w:left="0" w:hanging="0"/>
              <w:jc w:val="left"/>
              <w:outlineLvl w:val="2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0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307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 случае если проблему не удалось решить сразу, Заказчику должен сообщаться номер обращения и сроки решения проблемы; Указанное действие должно быть продублировано по электронной почте;</w:t>
            </w:r>
          </w:p>
        </w:tc>
        <w:tc>
          <w:tcPr>
            <w:tcW w:w="232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32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48"/>
              <w:keepNext w:val="false"/>
              <w:widowControl w:val="false"/>
              <w:numPr>
                <w:ilvl w:val="0"/>
                <w:numId w:val="0"/>
              </w:numPr>
              <w:spacing w:before="0" w:after="60"/>
              <w:ind w:left="0" w:hanging="0"/>
              <w:jc w:val="left"/>
              <w:outlineLvl w:val="2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0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307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Заявки от Заказчика, требующие для решения привлечения дополнительных специалистов Исполнителя, должны переводиться на соответствующие отделы сразу после обращения. Информация о ходе решения должна быть сообщена Заказчику не позднее суток с момента его последнего обращения;</w:t>
            </w:r>
          </w:p>
        </w:tc>
        <w:tc>
          <w:tcPr>
            <w:tcW w:w="232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32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48"/>
              <w:keepNext w:val="false"/>
              <w:widowControl w:val="false"/>
              <w:numPr>
                <w:ilvl w:val="0"/>
                <w:numId w:val="0"/>
              </w:numPr>
              <w:spacing w:before="0" w:after="60"/>
              <w:ind w:left="0" w:hanging="0"/>
              <w:jc w:val="left"/>
              <w:outlineLvl w:val="2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0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307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Исполнитель должен доводить решение проблемы Заказчика до логического завершения (Заказчик подтверждает решение проблемы). </w:t>
            </w:r>
          </w:p>
        </w:tc>
        <w:tc>
          <w:tcPr>
            <w:tcW w:w="232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32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48"/>
              <w:keepNext w:val="false"/>
              <w:widowControl w:val="false"/>
              <w:numPr>
                <w:ilvl w:val="0"/>
                <w:numId w:val="0"/>
              </w:numPr>
              <w:spacing w:before="0" w:after="60"/>
              <w:ind w:left="0" w:hanging="0"/>
              <w:jc w:val="left"/>
              <w:outlineLvl w:val="2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0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307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Требования к ответу на письменный запрос</w:t>
            </w:r>
          </w:p>
        </w:tc>
        <w:tc>
          <w:tcPr>
            <w:tcW w:w="232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32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0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5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Срок ответа</w:t>
            </w:r>
          </w:p>
        </w:tc>
        <w:tc>
          <w:tcPr>
            <w:tcW w:w="373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Не позднее 30 к.д. с момента поступления обращения</w:t>
            </w:r>
          </w:p>
        </w:tc>
        <w:tc>
          <w:tcPr>
            <w:tcW w:w="232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32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48"/>
              <w:keepNext w:val="false"/>
              <w:widowControl w:val="false"/>
              <w:numPr>
                <w:ilvl w:val="0"/>
                <w:numId w:val="0"/>
              </w:numPr>
              <w:spacing w:before="0" w:after="60"/>
              <w:ind w:left="0" w:hanging="0"/>
              <w:jc w:val="left"/>
              <w:outlineLvl w:val="2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0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307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Официальный запрос направляется по адресу места нахождения, указанному в Договоре или ранее полученном уведомлении Исполнителя об изменении адреса, </w:t>
            </w:r>
            <w:r>
              <w:rPr>
                <w:sz w:val="24"/>
                <w:szCs w:val="28"/>
                <w:lang w:val="ru-RU"/>
              </w:rPr>
              <w:t>при этом документ будет считаться полученным:</w:t>
            </w:r>
          </w:p>
        </w:tc>
        <w:tc>
          <w:tcPr>
            <w:tcW w:w="232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32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48"/>
              <w:keepNext w:val="false"/>
              <w:widowControl w:val="false"/>
              <w:numPr>
                <w:ilvl w:val="0"/>
                <w:numId w:val="0"/>
              </w:numPr>
              <w:spacing w:before="0" w:after="60"/>
              <w:ind w:left="0" w:hanging="0"/>
              <w:jc w:val="left"/>
              <w:outlineLvl w:val="2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0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5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Доставкой лично или курьером Стороной-отправителя</w:t>
            </w:r>
          </w:p>
        </w:tc>
        <w:tc>
          <w:tcPr>
            <w:tcW w:w="373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 дату и время фактического приема уведомления Стороной-получателем с отметкой о получении</w:t>
            </w:r>
          </w:p>
        </w:tc>
        <w:tc>
          <w:tcPr>
            <w:tcW w:w="232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32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48"/>
              <w:keepNext w:val="false"/>
              <w:widowControl w:val="false"/>
              <w:numPr>
                <w:ilvl w:val="0"/>
                <w:numId w:val="0"/>
              </w:numPr>
              <w:spacing w:before="0" w:after="60"/>
              <w:ind w:left="0" w:hanging="0"/>
              <w:jc w:val="left"/>
              <w:outlineLvl w:val="2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0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5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Заказным почтовым отправлением с уведомлением о вручении</w:t>
            </w:r>
          </w:p>
        </w:tc>
        <w:tc>
          <w:tcPr>
            <w:tcW w:w="373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 дату фактического вручения почтового отправления, либо в день удостоверения работником почтовой службы факта отказа от принятия такого почтового отправления адресатом / факта отсутствия адресата по указанному адресу</w:t>
            </w:r>
          </w:p>
        </w:tc>
        <w:tc>
          <w:tcPr>
            <w:tcW w:w="232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32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48"/>
              <w:keepNext w:val="false"/>
              <w:widowControl w:val="false"/>
              <w:numPr>
                <w:ilvl w:val="0"/>
                <w:numId w:val="0"/>
              </w:numPr>
              <w:spacing w:before="0" w:after="60"/>
              <w:ind w:left="0" w:hanging="0"/>
              <w:jc w:val="left"/>
              <w:outlineLvl w:val="2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0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5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Факсимильным сообщением</w:t>
            </w:r>
          </w:p>
        </w:tc>
        <w:tc>
          <w:tcPr>
            <w:tcW w:w="373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 дату и время отправления, подтвержденного протоколом передачи, распечатанным факсимильным аппаратом Стороны-отправителя. В случае, если передача факсимильного сообщения осуществляется вне обычных рабочих часов Стороны-получателя, документ будет считаться полученным в 10.00 следующего рабочего дня. </w:t>
            </w:r>
          </w:p>
        </w:tc>
        <w:tc>
          <w:tcPr>
            <w:tcW w:w="232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32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48"/>
              <w:keepNext w:val="false"/>
              <w:widowControl w:val="false"/>
              <w:numPr>
                <w:ilvl w:val="0"/>
                <w:numId w:val="0"/>
              </w:numPr>
              <w:spacing w:before="0" w:after="60"/>
              <w:ind w:left="0" w:hanging="0"/>
              <w:jc w:val="left"/>
              <w:outlineLvl w:val="2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0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307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Требования к безопасности и конфиденциальности</w:t>
            </w:r>
          </w:p>
        </w:tc>
        <w:tc>
          <w:tcPr>
            <w:tcW w:w="232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32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0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307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Вся информация (в том числе информация о персональных данных физических лиц) по Договору и информация, полученная в результате действия сторон по Договору, является конфиденциальной.</w:t>
            </w:r>
          </w:p>
        </w:tc>
        <w:tc>
          <w:tcPr>
            <w:tcW w:w="232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32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48"/>
              <w:keepNext w:val="false"/>
              <w:widowControl w:val="false"/>
              <w:numPr>
                <w:ilvl w:val="0"/>
                <w:numId w:val="0"/>
              </w:numPr>
              <w:spacing w:before="0" w:after="60"/>
              <w:ind w:left="0" w:hanging="0"/>
              <w:jc w:val="left"/>
              <w:outlineLvl w:val="2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0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307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Исполнитель обязуется использовать персональные данные физических лиц только для целей исполнения настоящего Договора.</w:t>
            </w:r>
          </w:p>
        </w:tc>
        <w:tc>
          <w:tcPr>
            <w:tcW w:w="232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32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48"/>
              <w:keepNext w:val="false"/>
              <w:widowControl w:val="false"/>
              <w:numPr>
                <w:ilvl w:val="0"/>
                <w:numId w:val="0"/>
              </w:numPr>
              <w:spacing w:before="0" w:after="60"/>
              <w:ind w:left="0" w:hanging="0"/>
              <w:jc w:val="left"/>
              <w:outlineLvl w:val="2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0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307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Стороны обязуются не распространять, не разглашать и не использовать полученную во время действия Договора информацию для передачи третьим лицам, равно как не использовать ее в коммерческих целях без письменного согласия всех участвующих в договоре сторон.</w:t>
            </w:r>
          </w:p>
        </w:tc>
        <w:tc>
          <w:tcPr>
            <w:tcW w:w="232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32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48"/>
              <w:keepNext w:val="false"/>
              <w:widowControl w:val="false"/>
              <w:numPr>
                <w:ilvl w:val="0"/>
                <w:numId w:val="0"/>
              </w:numPr>
              <w:spacing w:before="0" w:after="60"/>
              <w:ind w:left="0" w:hanging="0"/>
              <w:jc w:val="left"/>
              <w:outlineLvl w:val="2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0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307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Безопасность персональных данных физических лиц достигается Исполнителем путем исключения несанкционированного, в том числе случайного, доступа к персональным данным, результатом которого может стать уничтожение, изменение, блокирование, копирование, распространение персональных данных, а также иные несанкционированные действия.</w:t>
            </w:r>
          </w:p>
        </w:tc>
        <w:tc>
          <w:tcPr>
            <w:tcW w:w="232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32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48"/>
              <w:keepNext w:val="false"/>
              <w:widowControl w:val="false"/>
              <w:numPr>
                <w:ilvl w:val="0"/>
                <w:numId w:val="0"/>
              </w:numPr>
              <w:spacing w:before="0" w:after="60"/>
              <w:ind w:left="0" w:hanging="0"/>
              <w:jc w:val="left"/>
              <w:outlineLvl w:val="2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0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307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Исполнитель обязан обеспечить безопасность персональных данных при их обработке с использованием средств защиты информации (в том числе, шифровальных (криптографических) средств, средств предотвращения несанкционированного доступа, утечки информации по техническим каналам и т.п.)</w:t>
            </w:r>
          </w:p>
        </w:tc>
        <w:tc>
          <w:tcPr>
            <w:tcW w:w="232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32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48"/>
              <w:keepNext w:val="false"/>
              <w:widowControl w:val="false"/>
              <w:numPr>
                <w:ilvl w:val="0"/>
                <w:numId w:val="0"/>
              </w:numPr>
              <w:spacing w:before="0" w:after="60"/>
              <w:ind w:left="0" w:hanging="0"/>
              <w:jc w:val="left"/>
              <w:outlineLvl w:val="2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0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307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Исполнитель обязан соблюдать меры информационной безопасности.</w:t>
            </w:r>
          </w:p>
        </w:tc>
        <w:tc>
          <w:tcPr>
            <w:tcW w:w="232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32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48"/>
              <w:keepNext w:val="false"/>
              <w:widowControl w:val="false"/>
              <w:numPr>
                <w:ilvl w:val="0"/>
                <w:numId w:val="0"/>
              </w:numPr>
              <w:spacing w:before="0" w:after="60"/>
              <w:ind w:left="0" w:hanging="0"/>
              <w:jc w:val="left"/>
              <w:outlineLvl w:val="2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0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307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Требования к Исполнителю</w:t>
            </w:r>
          </w:p>
        </w:tc>
        <w:tc>
          <w:tcPr>
            <w:tcW w:w="232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32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0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5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Срок существования юридического лица / физического лица, зарегистрированного в установленном законом порядке и осуществляющего предпринимательскую деятельность без образования юридического лица поставщика.</w:t>
            </w:r>
          </w:p>
        </w:tc>
        <w:tc>
          <w:tcPr>
            <w:tcW w:w="373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Не менее 8 лет</w:t>
            </w:r>
          </w:p>
        </w:tc>
        <w:tc>
          <w:tcPr>
            <w:tcW w:w="232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32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48"/>
              <w:keepNext w:val="false"/>
              <w:widowControl w:val="false"/>
              <w:numPr>
                <w:ilvl w:val="0"/>
                <w:numId w:val="0"/>
              </w:numPr>
              <w:spacing w:before="0" w:after="60"/>
              <w:ind w:left="0" w:hanging="0"/>
              <w:jc w:val="left"/>
              <w:outlineLvl w:val="2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0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307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Наличие у участника закупочной процедуры официального статуса ИТ- компании в России</w:t>
            </w:r>
          </w:p>
        </w:tc>
        <w:tc>
          <w:tcPr>
            <w:tcW w:w="232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32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48"/>
              <w:keepNext w:val="false"/>
              <w:widowControl w:val="false"/>
              <w:numPr>
                <w:ilvl w:val="0"/>
                <w:numId w:val="0"/>
              </w:numPr>
              <w:spacing w:before="0" w:after="60"/>
              <w:ind w:left="0" w:hanging="0"/>
              <w:jc w:val="left"/>
              <w:outlineLvl w:val="2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0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307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Исполнитель должен иметь в штате сертифицированных специалистов, прошедших учебные курсы по программе сертификации Битрикс. (Желательно наличие сертификатов по следующим курсам: «Контент-менеджер», «Многосайтовость», «Установка и настройка», «Интеграция дизайна и настройка платформы», «Разработчик Bitrix Framework», «Администратор. Базовый», «Администратор. Модули», «Администратор. Бизнес»)</w:t>
            </w:r>
          </w:p>
          <w:p>
            <w:pPr>
              <w:pStyle w:val="ListParagraph"/>
              <w:widowControl w:val="false"/>
              <w:spacing w:before="0" w:after="0"/>
              <w:ind w:left="0" w:firstLine="567"/>
              <w:contextualSpacing w:val="false"/>
              <w:jc w:val="both"/>
              <w:rPr>
                <w:i/>
                <w:i/>
                <w:iCs/>
                <w:sz w:val="24"/>
                <w:szCs w:val="24"/>
                <w:lang w:val="ru-RU"/>
              </w:rPr>
            </w:pPr>
            <w:r>
              <w:rPr>
                <w:rFonts w:eastAsia="Times New Roman"/>
                <w:bCs/>
                <w:i/>
                <w:iCs/>
                <w:sz w:val="24"/>
                <w:szCs w:val="24"/>
                <w:shd w:fill="FFFFFF" w:val="clear"/>
                <w:lang w:val="ru-RU" w:eastAsia="ja-JP"/>
              </w:rPr>
              <w:t>Неисполнение данного пункта является основанием для отклонения заявки.</w:t>
            </w:r>
          </w:p>
        </w:tc>
        <w:tc>
          <w:tcPr>
            <w:tcW w:w="232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32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48"/>
              <w:keepNext w:val="false"/>
              <w:widowControl w:val="false"/>
              <w:numPr>
                <w:ilvl w:val="0"/>
                <w:numId w:val="0"/>
              </w:numPr>
              <w:spacing w:before="0" w:after="60"/>
              <w:ind w:left="0" w:hanging="0"/>
              <w:jc w:val="left"/>
              <w:outlineLvl w:val="2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0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307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Специалисты должностей программист, тестировщик и верстальщик, должны быть сертифицированы по программе сертификации Битрикс (подтверждается сканами сертификатов), должны иметь сертификаты прохождения обучения по направлениям PHP, JavaScript, CSS, HTML5.</w:t>
            </w:r>
          </w:p>
          <w:p>
            <w:pPr>
              <w:pStyle w:val="ListParagraph"/>
              <w:widowControl w:val="false"/>
              <w:spacing w:before="0" w:after="0"/>
              <w:ind w:left="0" w:firstLine="567"/>
              <w:contextualSpacing w:val="false"/>
              <w:jc w:val="both"/>
              <w:rPr>
                <w:i/>
                <w:i/>
                <w:iCs/>
                <w:sz w:val="24"/>
                <w:szCs w:val="24"/>
                <w:lang w:val="ru-RU"/>
              </w:rPr>
            </w:pPr>
            <w:r>
              <w:rPr>
                <w:rFonts w:eastAsia="Times New Roman"/>
                <w:bCs/>
                <w:i/>
                <w:iCs/>
                <w:sz w:val="24"/>
                <w:szCs w:val="24"/>
                <w:shd w:fill="FFFFFF" w:val="clear"/>
                <w:lang w:val="ru-RU" w:eastAsia="ja-JP"/>
              </w:rPr>
              <w:t>Неисполнение данного пункта является основанием для отклонения заявки.</w:t>
            </w:r>
          </w:p>
        </w:tc>
        <w:tc>
          <w:tcPr>
            <w:tcW w:w="232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32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48"/>
              <w:keepNext w:val="false"/>
              <w:widowControl w:val="false"/>
              <w:numPr>
                <w:ilvl w:val="0"/>
                <w:numId w:val="0"/>
              </w:numPr>
              <w:spacing w:before="0" w:after="60"/>
              <w:ind w:left="0" w:hanging="0"/>
              <w:jc w:val="left"/>
              <w:outlineLvl w:val="2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0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307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suppressAutoHyphens w:val="false"/>
              <w:spacing w:before="0" w:after="0"/>
              <w:ind w:left="720" w:hanging="0"/>
              <w:contextualSpacing w:val="false"/>
              <w:jc w:val="both"/>
              <w:rPr>
                <w:rFonts w:eastAsia="Times New Roman"/>
                <w:b/>
                <w:b/>
                <w:shd w:fill="FFFFFF" w:val="clear"/>
                <w:lang w:eastAsia="ja-JP"/>
              </w:rPr>
            </w:pPr>
            <w:r>
              <w:rPr>
                <w:rFonts w:eastAsia="Times New Roman"/>
                <w:b/>
                <w:sz w:val="24"/>
                <w:szCs w:val="24"/>
                <w:shd w:fill="FFFFFF" w:val="clear"/>
                <w:lang w:val="ru-RU" w:eastAsia="ja-JP"/>
              </w:rPr>
              <w:t>Требования к опыту оказания аналогичных услуг</w:t>
            </w:r>
          </w:p>
        </w:tc>
        <w:tc>
          <w:tcPr>
            <w:tcW w:w="232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32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0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307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У исполнителя должен быть опыт работы на рынке, что подтверждается копиями договоров за последние 5 лет. </w:t>
            </w:r>
          </w:p>
          <w:p>
            <w:pPr>
              <w:pStyle w:val="Normal"/>
              <w:widowControl w:val="false"/>
              <w:suppressAutoHyphens w:val="false"/>
              <w:bidi w:val="0"/>
              <w:spacing w:before="0" w:after="0"/>
              <w:ind w:left="0" w:right="0" w:firstLine="624"/>
              <w:jc w:val="left"/>
              <w:rPr>
                <w:i/>
                <w:i/>
                <w:iCs/>
                <w:sz w:val="24"/>
                <w:szCs w:val="24"/>
                <w:lang w:val="ru-RU"/>
              </w:rPr>
            </w:pPr>
            <w:r>
              <w:rPr>
                <w:rFonts w:eastAsia="Times New Roman"/>
                <w:bCs/>
                <w:i/>
                <w:iCs/>
                <w:sz w:val="24"/>
                <w:szCs w:val="24"/>
                <w:shd w:fill="FFFFFF" w:val="clear"/>
                <w:lang w:val="ru-RU" w:eastAsia="ja-JP"/>
              </w:rPr>
              <w:t>Неисполнение данного пункта является основанием для отклонения заявки.</w:t>
            </w:r>
          </w:p>
        </w:tc>
        <w:tc>
          <w:tcPr>
            <w:tcW w:w="232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32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48"/>
              <w:keepNext w:val="false"/>
              <w:widowControl w:val="false"/>
              <w:numPr>
                <w:ilvl w:val="0"/>
                <w:numId w:val="0"/>
              </w:numPr>
              <w:spacing w:before="0" w:after="60"/>
              <w:ind w:left="0" w:hanging="0"/>
              <w:jc w:val="left"/>
              <w:outlineLvl w:val="2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0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307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У исполнителя должен быть опыт работы по развитию сайтов на CMS 1С-Битрикс в сфере ТЭК и/или промышленными предприятиями за последние три года, предшествующих дате подачи заявки на участие в данной закупке, подтверждённый копиями договоров и актов о выполненных работах. </w:t>
            </w:r>
          </w:p>
        </w:tc>
        <w:tc>
          <w:tcPr>
            <w:tcW w:w="232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32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48"/>
              <w:keepNext w:val="false"/>
              <w:widowControl w:val="false"/>
              <w:numPr>
                <w:ilvl w:val="0"/>
                <w:numId w:val="0"/>
              </w:numPr>
              <w:spacing w:before="0" w:after="60"/>
              <w:ind w:left="0" w:hanging="0"/>
              <w:jc w:val="left"/>
              <w:outlineLvl w:val="2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0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307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Исполнитель должен иметь собственную инфраструктуру обработки данных для тестирования и отладки сайта, его компонентов, а также для моделирования нагрузки при высокой посещаемости. Документальное подтверждение наличия такого инструментария в справке о материально-технических ресурсах является преимуществом. </w:t>
            </w:r>
          </w:p>
        </w:tc>
        <w:tc>
          <w:tcPr>
            <w:tcW w:w="232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32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48"/>
              <w:keepNext w:val="false"/>
              <w:widowControl w:val="false"/>
              <w:numPr>
                <w:ilvl w:val="0"/>
                <w:numId w:val="0"/>
              </w:numPr>
              <w:spacing w:before="0" w:after="60"/>
              <w:ind w:left="0" w:hanging="0"/>
              <w:jc w:val="left"/>
              <w:outlineLvl w:val="2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0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307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Исполнитель должен иметь инструментарий (программное обеспечение) для исполнения настоящего ТЗ, имеющий полезный срок использования до 31.12.2023: операционные системы (Microsoft Windows, Windows Server, Linux и аналоги), наборы средств разработки (Adobe Acrobat Professional, Adobe Photoshop, Adobe Illustrator и аналоги), интегрированные среды разработки (JetBrains, PhpStorm IDE, Eclipse IDE, NetBeans IDE и аналоги), офисные приложения (Microsoft Office и аналоги). Документальное подтверждение наличия такого инструментария в справке о материально-технических ресурсах является преимуществом.</w:t>
            </w:r>
          </w:p>
        </w:tc>
        <w:tc>
          <w:tcPr>
            <w:tcW w:w="232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32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48"/>
              <w:keepNext w:val="false"/>
              <w:widowControl w:val="false"/>
              <w:numPr>
                <w:ilvl w:val="0"/>
                <w:numId w:val="0"/>
              </w:numPr>
              <w:spacing w:before="0" w:after="60"/>
              <w:ind w:left="0" w:hanging="0"/>
              <w:jc w:val="left"/>
              <w:outlineLvl w:val="2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0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307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Требования о наличии действующих разрешений, аттестаций, свидетельств СРО, лицензий</w:t>
            </w:r>
          </w:p>
        </w:tc>
        <w:tc>
          <w:tcPr>
            <w:tcW w:w="232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32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0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307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Участник должен иметь сертификат, подтверждающий статус Золотого сертифицированного партнёра «1С- Битрикс», и находиться в списке официальных партнёров на официальном сайте компании «1С-Битрикс».</w:t>
            </w:r>
          </w:p>
        </w:tc>
        <w:tc>
          <w:tcPr>
            <w:tcW w:w="232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32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48"/>
              <w:keepNext w:val="false"/>
              <w:widowControl w:val="false"/>
              <w:numPr>
                <w:ilvl w:val="0"/>
                <w:numId w:val="0"/>
              </w:numPr>
              <w:spacing w:before="0" w:after="60"/>
              <w:ind w:left="0" w:hanging="0"/>
              <w:jc w:val="left"/>
              <w:outlineLvl w:val="2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0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307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Участник должен иметь компетенцию «Крупные корпоративные Внедрения».</w:t>
            </w:r>
          </w:p>
        </w:tc>
        <w:tc>
          <w:tcPr>
            <w:tcW w:w="232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32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48"/>
              <w:keepNext w:val="false"/>
              <w:widowControl w:val="false"/>
              <w:numPr>
                <w:ilvl w:val="0"/>
                <w:numId w:val="0"/>
              </w:numPr>
              <w:spacing w:before="0" w:after="60"/>
              <w:ind w:left="0" w:hanging="0"/>
              <w:jc w:val="left"/>
              <w:outlineLvl w:val="2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0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307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Участник должен иметь компетенцию «Решения для государственных организаций».</w:t>
            </w:r>
          </w:p>
        </w:tc>
        <w:tc>
          <w:tcPr>
            <w:tcW w:w="232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32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48"/>
              <w:keepNext w:val="false"/>
              <w:widowControl w:val="false"/>
              <w:numPr>
                <w:ilvl w:val="0"/>
                <w:numId w:val="0"/>
              </w:numPr>
              <w:spacing w:before="0" w:after="60"/>
              <w:ind w:left="0" w:hanging="0"/>
              <w:jc w:val="left"/>
              <w:outlineLvl w:val="2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0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307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Участник должен иметь компетенцию участника «Программы мониторинга качества внедрения».</w:t>
            </w:r>
          </w:p>
        </w:tc>
        <w:tc>
          <w:tcPr>
            <w:tcW w:w="232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32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48"/>
              <w:keepNext w:val="false"/>
              <w:widowControl w:val="false"/>
              <w:numPr>
                <w:ilvl w:val="0"/>
                <w:numId w:val="0"/>
              </w:numPr>
              <w:spacing w:before="0" w:after="60"/>
              <w:ind w:left="0" w:hanging="0"/>
              <w:jc w:val="left"/>
              <w:outlineLvl w:val="2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0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307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Участник должен иметь компетенцию «Хостинг PHP».</w:t>
            </w:r>
          </w:p>
        </w:tc>
        <w:tc>
          <w:tcPr>
            <w:tcW w:w="232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32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48"/>
              <w:keepNext w:val="false"/>
              <w:widowControl w:val="false"/>
              <w:numPr>
                <w:ilvl w:val="0"/>
                <w:numId w:val="0"/>
              </w:numPr>
              <w:spacing w:before="0" w:after="60"/>
              <w:ind w:left="0" w:hanging="0"/>
              <w:jc w:val="left"/>
              <w:outlineLvl w:val="2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0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307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Участник должен быть уполномочен в пределах территории РФ совершать в отношении продуктов 1С-Битрикс (включая коробочные версии продуктов на условиях лицензии «Энтерпрайз») следующие действия: демонстрировать, интегрировать с другими программными комплексами и системами, внедрять, адаптировать и сопровождать; совершать сделки по распространению или предоставлению прав использования приобретённых надлежащим образом продуктов при условии, что на дату совершения таких сделок сохраняется действие официального статуса партнёра 1С-Битрикс.</w:t>
            </w:r>
          </w:p>
        </w:tc>
        <w:tc>
          <w:tcPr>
            <w:tcW w:w="232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32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48"/>
              <w:keepNext w:val="false"/>
              <w:widowControl w:val="false"/>
              <w:numPr>
                <w:ilvl w:val="0"/>
                <w:numId w:val="0"/>
              </w:numPr>
              <w:spacing w:before="0" w:after="60"/>
              <w:ind w:left="0" w:hanging="0"/>
              <w:jc w:val="left"/>
              <w:outlineLvl w:val="2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0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307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ИНЫЕ УСЛОВИЯ ОКАЗАНИЯ УСЛУГ</w:t>
            </w:r>
          </w:p>
        </w:tc>
        <w:tc>
          <w:tcPr>
            <w:tcW w:w="232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32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0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b w:val="false"/>
                <w:bCs w:val="false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589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b w:val="false"/>
                <w:b w:val="false"/>
                <w:bCs w:val="false"/>
                <w:sz w:val="24"/>
                <w:szCs w:val="24"/>
                <w:lang w:val="ru-RU"/>
              </w:rPr>
            </w:pPr>
            <w:r>
              <w:rPr>
                <w:b w:val="false"/>
                <w:bCs w:val="false"/>
                <w:sz w:val="24"/>
                <w:szCs w:val="24"/>
                <w:lang w:val="ru-RU"/>
              </w:rPr>
              <w:t>Для создания условий, при которых гарантируется соответствие оказываемых услуг по сопровождению Системы настоящим Техническим требованиям, Заказчиком должен быть проведен комплекс технических и организационных мероприятий, включающий, как минимум:</w:t>
            </w:r>
          </w:p>
        </w:tc>
        <w:tc>
          <w:tcPr>
            <w:tcW w:w="371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b w:val="false"/>
                <w:b w:val="false"/>
                <w:bCs w:val="false"/>
                <w:sz w:val="24"/>
                <w:szCs w:val="24"/>
                <w:lang w:val="ru-RU"/>
              </w:rPr>
            </w:pPr>
            <w:r>
              <w:rPr>
                <w:b w:val="false"/>
                <w:bCs w:val="false"/>
                <w:sz w:val="24"/>
                <w:szCs w:val="24"/>
                <w:lang w:val="ru-RU"/>
              </w:rPr>
              <w:t>Организацию рабочего места Исполнителя через удаленный доступ соответствующих специалистов Исполнителя в корпоративную сеть Заказчика по действующим в Обществе процедурам предоставления доступа и на срок действия Договора по данному проекту.</w:t>
            </w:r>
          </w:p>
        </w:tc>
        <w:tc>
          <w:tcPr>
            <w:tcW w:w="2326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32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48"/>
              <w:keepNext w:val="false"/>
              <w:widowControl w:val="false"/>
              <w:numPr>
                <w:ilvl w:val="0"/>
                <w:numId w:val="0"/>
              </w:numPr>
              <w:spacing w:before="0" w:after="60"/>
              <w:ind w:left="0" w:hanging="0"/>
              <w:jc w:val="left"/>
              <w:outlineLvl w:val="2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0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b w:val="false"/>
                <w:bCs w:val="false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589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b w:val="false"/>
                <w:b w:val="false"/>
                <w:bCs w:val="false"/>
                <w:sz w:val="24"/>
                <w:szCs w:val="24"/>
                <w:lang w:val="ru-RU"/>
              </w:rPr>
            </w:pPr>
            <w:r>
              <w:rPr>
                <w:b w:val="false"/>
                <w:bCs w:val="false"/>
                <w:sz w:val="24"/>
                <w:szCs w:val="24"/>
                <w:lang w:val="ru-RU"/>
              </w:rPr>
            </w:r>
          </w:p>
        </w:tc>
        <w:tc>
          <w:tcPr>
            <w:tcW w:w="371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b w:val="false"/>
                <w:b w:val="false"/>
                <w:bCs w:val="false"/>
                <w:sz w:val="24"/>
                <w:szCs w:val="24"/>
                <w:lang w:val="ru-RU"/>
              </w:rPr>
            </w:pPr>
            <w:r>
              <w:rPr>
                <w:b w:val="false"/>
                <w:bCs w:val="false"/>
                <w:sz w:val="24"/>
                <w:szCs w:val="24"/>
                <w:lang w:val="ru-RU"/>
              </w:rPr>
              <w:t>Организацию на базе инфраструктуры Заказчика тестовой среды для функционального тестирования, в случае необходимости.</w:t>
            </w:r>
          </w:p>
        </w:tc>
        <w:tc>
          <w:tcPr>
            <w:tcW w:w="232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</w:r>
          </w:p>
        </w:tc>
        <w:tc>
          <w:tcPr>
            <w:tcW w:w="232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48"/>
              <w:keepNext w:val="false"/>
              <w:widowControl w:val="false"/>
              <w:numPr>
                <w:ilvl w:val="0"/>
                <w:numId w:val="0"/>
              </w:numPr>
              <w:spacing w:before="0" w:after="60"/>
              <w:ind w:left="0" w:hanging="0"/>
              <w:jc w:val="left"/>
              <w:outlineLvl w:val="2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0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b w:val="false"/>
                <w:bCs w:val="false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589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b w:val="false"/>
                <w:b w:val="false"/>
                <w:bCs w:val="false"/>
                <w:sz w:val="24"/>
                <w:szCs w:val="24"/>
                <w:lang w:val="ru-RU"/>
              </w:rPr>
            </w:pPr>
            <w:r>
              <w:rPr>
                <w:b w:val="false"/>
                <w:bCs w:val="false"/>
                <w:sz w:val="24"/>
                <w:szCs w:val="24"/>
                <w:lang w:val="ru-RU"/>
              </w:rPr>
            </w:r>
          </w:p>
        </w:tc>
        <w:tc>
          <w:tcPr>
            <w:tcW w:w="371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b w:val="false"/>
                <w:b w:val="false"/>
                <w:bCs w:val="false"/>
                <w:sz w:val="24"/>
                <w:szCs w:val="24"/>
                <w:lang w:val="ru-RU"/>
              </w:rPr>
            </w:pPr>
            <w:r>
              <w:rPr>
                <w:b w:val="false"/>
                <w:bCs w:val="false"/>
                <w:sz w:val="24"/>
                <w:szCs w:val="24"/>
                <w:lang w:val="ru-RU"/>
              </w:rPr>
              <w:t>Организацию доступа ключевых пользователей к тестовой среде на этапе функционального тестирования, в случае необходимости.</w:t>
            </w:r>
          </w:p>
        </w:tc>
        <w:tc>
          <w:tcPr>
            <w:tcW w:w="232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</w:r>
          </w:p>
        </w:tc>
        <w:tc>
          <w:tcPr>
            <w:tcW w:w="232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48"/>
              <w:keepNext w:val="false"/>
              <w:widowControl w:val="false"/>
              <w:numPr>
                <w:ilvl w:val="0"/>
                <w:numId w:val="0"/>
              </w:numPr>
              <w:spacing w:before="0" w:after="60"/>
              <w:ind w:left="0" w:hanging="0"/>
              <w:jc w:val="left"/>
              <w:outlineLvl w:val="2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0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b w:val="false"/>
                <w:bCs w:val="false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589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b w:val="false"/>
                <w:b w:val="false"/>
                <w:bCs w:val="false"/>
                <w:sz w:val="24"/>
                <w:szCs w:val="24"/>
                <w:lang w:val="ru-RU"/>
              </w:rPr>
            </w:pPr>
            <w:r>
              <w:rPr>
                <w:b w:val="false"/>
                <w:bCs w:val="false"/>
                <w:sz w:val="24"/>
                <w:szCs w:val="24"/>
                <w:lang w:val="ru-RU"/>
              </w:rPr>
            </w:r>
          </w:p>
        </w:tc>
        <w:tc>
          <w:tcPr>
            <w:tcW w:w="371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b w:val="false"/>
                <w:b w:val="false"/>
                <w:bCs w:val="false"/>
                <w:sz w:val="24"/>
                <w:szCs w:val="24"/>
                <w:lang w:val="ru-RU"/>
              </w:rPr>
            </w:pPr>
            <w:r>
              <w:rPr>
                <w:b w:val="false"/>
                <w:bCs w:val="false"/>
                <w:sz w:val="24"/>
                <w:szCs w:val="24"/>
                <w:lang w:val="ru-RU"/>
              </w:rPr>
              <w:t>Организацию установки и обновления Системы в тестовой и рабочей среде в соответствии с регламентами управления изменениями, действующими в организации Заказчика.</w:t>
            </w:r>
          </w:p>
        </w:tc>
        <w:tc>
          <w:tcPr>
            <w:tcW w:w="232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</w:r>
          </w:p>
        </w:tc>
        <w:tc>
          <w:tcPr>
            <w:tcW w:w="232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48"/>
              <w:keepNext w:val="false"/>
              <w:widowControl w:val="false"/>
              <w:numPr>
                <w:ilvl w:val="0"/>
                <w:numId w:val="0"/>
              </w:numPr>
              <w:spacing w:before="0" w:after="60"/>
              <w:ind w:left="0" w:hanging="0"/>
              <w:jc w:val="left"/>
              <w:outlineLvl w:val="2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0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b w:val="false"/>
                <w:bCs w:val="false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589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b w:val="false"/>
                <w:b w:val="false"/>
                <w:bCs w:val="false"/>
                <w:sz w:val="24"/>
                <w:szCs w:val="24"/>
                <w:lang w:val="ru-RU"/>
              </w:rPr>
            </w:pPr>
            <w:r>
              <w:rPr>
                <w:b w:val="false"/>
                <w:bCs w:val="false"/>
                <w:sz w:val="24"/>
                <w:szCs w:val="24"/>
                <w:lang w:val="ru-RU"/>
              </w:rPr>
            </w:r>
          </w:p>
        </w:tc>
        <w:tc>
          <w:tcPr>
            <w:tcW w:w="371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b w:val="false"/>
                <w:b w:val="false"/>
                <w:bCs w:val="false"/>
                <w:sz w:val="24"/>
                <w:szCs w:val="24"/>
                <w:lang w:val="ru-RU"/>
              </w:rPr>
            </w:pPr>
            <w:r>
              <w:rPr>
                <w:b w:val="false"/>
                <w:bCs w:val="false"/>
                <w:sz w:val="24"/>
                <w:szCs w:val="24"/>
                <w:lang w:val="ru-RU"/>
              </w:rPr>
              <w:t>Согласование передаваемой эксплуатационной документации.</w:t>
            </w:r>
          </w:p>
        </w:tc>
        <w:tc>
          <w:tcPr>
            <w:tcW w:w="232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</w:r>
          </w:p>
        </w:tc>
        <w:tc>
          <w:tcPr>
            <w:tcW w:w="232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48"/>
              <w:keepNext w:val="false"/>
              <w:widowControl w:val="false"/>
              <w:numPr>
                <w:ilvl w:val="0"/>
                <w:numId w:val="0"/>
              </w:numPr>
              <w:spacing w:before="0" w:after="60"/>
              <w:ind w:left="0" w:hanging="0"/>
              <w:jc w:val="left"/>
              <w:outlineLvl w:val="2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0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589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b w:val="false"/>
                <w:b w:val="false"/>
                <w:bCs w:val="false"/>
                <w:sz w:val="24"/>
                <w:szCs w:val="24"/>
                <w:lang w:val="ru-RU"/>
              </w:rPr>
            </w:pPr>
            <w:r>
              <w:rPr>
                <w:b w:val="false"/>
                <w:bCs w:val="false"/>
                <w:sz w:val="24"/>
                <w:szCs w:val="24"/>
                <w:lang w:val="ru-RU"/>
              </w:rPr>
            </w:r>
          </w:p>
        </w:tc>
        <w:tc>
          <w:tcPr>
            <w:tcW w:w="371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b w:val="false"/>
                <w:b w:val="false"/>
                <w:bCs w:val="false"/>
                <w:sz w:val="24"/>
                <w:szCs w:val="24"/>
                <w:lang w:val="ru-RU"/>
              </w:rPr>
            </w:pPr>
            <w:r>
              <w:rPr>
                <w:b w:val="false"/>
                <w:bCs w:val="false"/>
                <w:sz w:val="24"/>
                <w:szCs w:val="24"/>
                <w:lang w:val="ru-RU"/>
              </w:rPr>
              <w:t>Назначение ответственных за эксплуатацию Системы со стороны Заказчика, передачу Исполнителем Заказчику всех системных учетных записей и паролей.</w:t>
            </w:r>
          </w:p>
        </w:tc>
        <w:tc>
          <w:tcPr>
            <w:tcW w:w="232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</w:r>
          </w:p>
        </w:tc>
        <w:tc>
          <w:tcPr>
            <w:tcW w:w="232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48"/>
              <w:keepNext w:val="false"/>
              <w:widowControl w:val="false"/>
              <w:numPr>
                <w:ilvl w:val="0"/>
                <w:numId w:val="0"/>
              </w:numPr>
              <w:spacing w:before="0" w:after="60"/>
              <w:ind w:left="0" w:hanging="0"/>
              <w:jc w:val="left"/>
              <w:outlineLvl w:val="2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0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589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b w:val="false"/>
                <w:b w:val="false"/>
                <w:bCs w:val="false"/>
                <w:sz w:val="24"/>
                <w:szCs w:val="24"/>
                <w:lang w:val="ru-RU"/>
              </w:rPr>
            </w:pPr>
            <w:r>
              <w:rPr>
                <w:b w:val="false"/>
                <w:bCs w:val="false"/>
                <w:sz w:val="24"/>
                <w:szCs w:val="24"/>
                <w:lang w:val="ru-RU"/>
              </w:rPr>
            </w:r>
          </w:p>
        </w:tc>
        <w:tc>
          <w:tcPr>
            <w:tcW w:w="371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b w:val="false"/>
                <w:b w:val="false"/>
                <w:bCs w:val="false"/>
                <w:sz w:val="24"/>
                <w:szCs w:val="24"/>
                <w:lang w:val="ru-RU"/>
              </w:rPr>
            </w:pPr>
            <w:r>
              <w:rPr>
                <w:b w:val="false"/>
                <w:bCs w:val="false"/>
                <w:sz w:val="24"/>
                <w:szCs w:val="24"/>
                <w:lang w:val="ru-RU"/>
              </w:rPr>
              <w:t>Иные организационные мероприятия для обеспечения эксплуатации и незначительных доработок систем</w:t>
            </w:r>
          </w:p>
        </w:tc>
        <w:tc>
          <w:tcPr>
            <w:tcW w:w="232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</w:r>
          </w:p>
        </w:tc>
        <w:tc>
          <w:tcPr>
            <w:tcW w:w="232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48"/>
              <w:keepNext w:val="false"/>
              <w:widowControl w:val="false"/>
              <w:numPr>
                <w:ilvl w:val="0"/>
                <w:numId w:val="0"/>
              </w:numPr>
              <w:spacing w:before="0" w:after="60"/>
              <w:ind w:left="0" w:hanging="0"/>
              <w:jc w:val="left"/>
              <w:outlineLvl w:val="2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0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</w:tr>
    </w:tbl>
    <w:p>
      <w:pPr>
        <w:pStyle w:val="1"/>
        <w:keepLines/>
        <w:numPr>
          <w:ilvl w:val="0"/>
          <w:numId w:val="0"/>
        </w:numPr>
        <w:spacing w:before="120" w:after="60"/>
        <w:ind w:left="0" w:hanging="0"/>
        <w:jc w:val="center"/>
        <w:rPr>
          <w:lang w:val="ru-RU"/>
        </w:rPr>
      </w:pPr>
      <w:r>
        <w:rPr/>
      </w:r>
    </w:p>
    <w:sectPr>
      <w:headerReference w:type="default" r:id="rId5"/>
      <w:headerReference w:type="first" r:id="rId6"/>
      <w:type w:val="nextPage"/>
      <w:pgSz w:orient="landscape" w:w="16838" w:h="11906"/>
      <w:pgMar w:left="992" w:right="567" w:gutter="0" w:header="680" w:top="851" w:footer="0" w:bottom="851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  <w:font w:name="OpenSymbol">
    <w:altName w:val="Arial Unicode MS"/>
    <w:charset w:val="01"/>
    <w:family w:val="auto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36"/>
      <w:rPr>
        <w:lang w:val="ru-RU"/>
      </w:rPr>
    </w:pPr>
    <w:r>
      <w:rPr>
        <w:lang w:val="ru-RU"/>
      </w:rPr>
      <mc:AlternateContent>
        <mc:Choice Requires="wps">
          <w:drawing>
            <wp:anchor behindDoc="0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36"/>
                            <w:rPr/>
                          </w:pPr>
                          <w:r>
                            <w:rPr>
                              <w:rStyle w:val="Pagenumber"/>
                              <w:color w:val="000000"/>
                              <w:lang w:val="ru-RU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  <w:lang w:val="ru-RU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  <w:lang w:val="ru-RU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  <w:lang w:val="ru-RU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  <w:lang w:val="ru-RU"/>
                            </w:rPr>
                            <w:fldChar w:fldCharType="end"/>
                          </w:r>
                          <w:r>
                            <w:rPr>
                              <w:rStyle w:val="Pagenumber"/>
                              <w:color w:val="000000"/>
                              <w:lang w:val="ru-RU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  <w:lang w:val="ru-RU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  <w:lang w:val="ru-RU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  <w:lang w:val="ru-RU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  <w:lang w:val="ru-RU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36"/>
                      <w:rPr/>
                    </w:pPr>
                    <w:r>
                      <w:rPr>
                        <w:rStyle w:val="Pagenumber"/>
                        <w:color w:val="000000"/>
                        <w:lang w:val="ru-RU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  <w:lang w:val="ru-RU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  <w:lang w:val="ru-RU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  <w:lang w:val="ru-RU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  <w:lang w:val="ru-RU"/>
                      </w:rPr>
                      <w:fldChar w:fldCharType="end"/>
                    </w:r>
                    <w:r>
                      <w:rPr>
                        <w:rStyle w:val="Pagenumber"/>
                        <w:color w:val="000000"/>
                        <w:lang w:val="ru-RU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  <w:lang w:val="ru-RU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  <w:lang w:val="ru-RU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  <w:lang w:val="ru-RU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  <w:lang w:val="ru-RU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36"/>
      <w:jc w:val="center"/>
      <w:rPr>
        <w:lang w:val="ru-RU"/>
      </w:rPr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36"/>
      <w:jc w:val="center"/>
      <w:rPr>
        <w:lang w:val="ru-RU"/>
      </w:rPr>
    </w:pPr>
    <w:r>
      <w:rPr>
        <w:lang w:val="ru-RU"/>
      </w:rPr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36"/>
      <w:jc w:val="center"/>
      <w:rPr>
        <w:lang w:val="ru-RU"/>
      </w:rPr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13</w:t>
    </w:r>
    <w:r>
      <w:rPr/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36"/>
      <w:jc w:val="center"/>
      <w:rPr>
        <w:lang w:val="ru-RU"/>
      </w:rPr>
    </w:pPr>
    <w:r>
      <w:rPr>
        <w:lang w:val="ru-RU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szCs w:val="28"/>
        <w:iCs w:val="false"/>
        <w:bCs w:val="false"/>
        <w:vanish w:val="false"/>
        <w:rFonts w:ascii="Times New Roman" w:hAnsi="Times New Roman" w:cs="Times New Roman"/>
        <w:color w:val="000000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9">
    <w:lvl w:ilvl="0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320"/>
        </w:tabs>
        <w:ind w:left="132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680"/>
        </w:tabs>
        <w:ind w:left="168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040"/>
        </w:tabs>
        <w:ind w:left="204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400"/>
        </w:tabs>
        <w:ind w:left="240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760"/>
        </w:tabs>
        <w:ind w:left="276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480"/>
        </w:tabs>
        <w:ind w:left="348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840"/>
        </w:tabs>
        <w:ind w:left="3840" w:hanging="360"/>
      </w:pPr>
      <w:rPr>
        <w:rFonts w:ascii="OpenSymbol" w:hAnsi="OpenSymbol" w:cs="OpenSymbol" w:hint="default"/>
      </w:rPr>
    </w:lvl>
  </w:abstractNum>
  <w:abstractNum w:abstractNumId="10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8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ahoma" w:cs="Lohit Devanagari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1">
    <w:name w:val="Heading 1"/>
    <w:basedOn w:val="3"/>
    <w:qFormat/>
    <w:pPr>
      <w:outlineLvl w:val="0"/>
    </w:pPr>
    <w:rPr>
      <w:sz w:val="28"/>
      <w:szCs w:val="28"/>
    </w:rPr>
  </w:style>
  <w:style w:type="paragraph" w:styleId="2">
    <w:name w:val="Heading 2"/>
    <w:basedOn w:val="4"/>
    <w:qFormat/>
    <w:pPr>
      <w:outlineLvl w:val="1"/>
    </w:pPr>
    <w:rPr/>
  </w:style>
  <w:style w:type="paragraph" w:styleId="3">
    <w:name w:val="Heading 3"/>
    <w:basedOn w:val="Normal"/>
    <w:qFormat/>
    <w:pPr>
      <w:keepNext w:val="true"/>
      <w:numPr>
        <w:ilvl w:val="2"/>
        <w:numId w:val="3"/>
      </w:numPr>
      <w:spacing w:before="120" w:after="60"/>
      <w:outlineLvl w:val="2"/>
    </w:pPr>
    <w:rPr>
      <w:rFonts w:eastAsia="Calibri"/>
      <w:b/>
      <w:sz w:val="24"/>
      <w:szCs w:val="24"/>
    </w:rPr>
  </w:style>
  <w:style w:type="paragraph" w:styleId="4">
    <w:name w:val="Heading 4"/>
    <w:basedOn w:val="3"/>
    <w:qFormat/>
    <w:pPr>
      <w:outlineLvl w:val="3"/>
    </w:pPr>
    <w:rPr>
      <w:bCs/>
    </w:rPr>
  </w:style>
  <w:style w:type="paragraph" w:styleId="5">
    <w:name w:val="Heading 5"/>
    <w:basedOn w:val="Normal"/>
    <w:uiPriority w:val="9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Normal"/>
    <w:uiPriority w:val="9"/>
    <w:qFormat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</w:rPr>
  </w:style>
  <w:style w:type="paragraph" w:styleId="7">
    <w:name w:val="Heading 7"/>
    <w:basedOn w:val="Normal"/>
    <w:uiPriority w:val="9"/>
    <w:qFormat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</w:rPr>
  </w:style>
  <w:style w:type="paragraph" w:styleId="8">
    <w:name w:val="Heading 8"/>
    <w:basedOn w:val="Normal"/>
    <w:uiPriority w:val="9"/>
    <w:qFormat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</w:rPr>
  </w:style>
  <w:style w:type="paragraph" w:styleId="9">
    <w:name w:val="Heading 9"/>
    <w:basedOn w:val="Normal"/>
    <w:uiPriority w:val="9"/>
    <w:qFormat/>
    <w:pPr>
      <w:spacing w:before="240" w:after="60"/>
      <w:outlineLvl w:val="8"/>
    </w:pPr>
    <w:rPr>
      <w:rFonts w:ascii="Arial" w:hAnsi="Arial"/>
      <w:sz w:val="22"/>
      <w:szCs w:val="22"/>
    </w:rPr>
  </w:style>
  <w:style w:type="character" w:styleId="Heading1Char">
    <w:name w:val="Heading 1 Char"/>
    <w:basedOn w:val="DefaultParagraphFont"/>
    <w:uiPriority w:val="9"/>
    <w:qFormat/>
    <w:rPr>
      <w:rFonts w:ascii="Arial" w:hAnsi="Arial" w:eastAsia="Arial" w:cs="Arial"/>
      <w:sz w:val="40"/>
      <w:szCs w:val="40"/>
    </w:rPr>
  </w:style>
  <w:style w:type="character" w:styleId="Heading2Char">
    <w:name w:val="Heading 2 Char"/>
    <w:basedOn w:val="DefaultParagraphFont"/>
    <w:uiPriority w:val="9"/>
    <w:qFormat/>
    <w:rPr>
      <w:rFonts w:ascii="Arial" w:hAnsi="Arial" w:eastAsia="Arial" w:cs="Arial"/>
      <w:sz w:val="34"/>
    </w:rPr>
  </w:style>
  <w:style w:type="character" w:styleId="Heading3Char">
    <w:name w:val="Heading 3 Char"/>
    <w:basedOn w:val="DefaultParagraphFont"/>
    <w:uiPriority w:val="9"/>
    <w:qFormat/>
    <w:rPr>
      <w:rFonts w:ascii="Arial" w:hAnsi="Arial" w:eastAsia="Arial" w:cs="Arial"/>
      <w:sz w:val="30"/>
      <w:szCs w:val="30"/>
    </w:rPr>
  </w:style>
  <w:style w:type="character" w:styleId="Heading4Char">
    <w:name w:val="Heading 4 Char"/>
    <w:basedOn w:val="DefaultParagraphFont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Heading5Char">
    <w:name w:val="Heading 5 Char"/>
    <w:basedOn w:val="DefaultParagraphFont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Heading6Char">
    <w:name w:val="Heading 6 Char"/>
    <w:basedOn w:val="DefaultParagraphFont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Heading7Char">
    <w:name w:val="Heading 7 Char"/>
    <w:basedOn w:val="DefaultParagraphFont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>
    <w:name w:val="Heading 8 Char"/>
    <w:basedOn w:val="DefaultParagraphFont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Heading9Char">
    <w:name w:val="Heading 9 Char"/>
    <w:basedOn w:val="DefaultParagraphFont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TitleChar">
    <w:name w:val="Title Char"/>
    <w:basedOn w:val="DefaultParagraphFont"/>
    <w:uiPriority w:val="10"/>
    <w:qFormat/>
    <w:rPr>
      <w:sz w:val="48"/>
      <w:szCs w:val="48"/>
    </w:rPr>
  </w:style>
  <w:style w:type="character" w:styleId="SubtitleChar">
    <w:name w:val="Subtitle Char"/>
    <w:basedOn w:val="DefaultParagraphFont"/>
    <w:uiPriority w:val="11"/>
    <w:qFormat/>
    <w:rPr>
      <w:sz w:val="24"/>
      <w:szCs w:val="24"/>
    </w:rPr>
  </w:style>
  <w:style w:type="character" w:styleId="QuoteChar">
    <w:name w:val="Quote Char"/>
    <w:uiPriority w:val="29"/>
    <w:qFormat/>
    <w:rPr>
      <w:i/>
    </w:rPr>
  </w:style>
  <w:style w:type="character" w:styleId="IntenseQuoteChar">
    <w:name w:val="Intense Quote Char"/>
    <w:uiPriority w:val="30"/>
    <w:qFormat/>
    <w:rPr>
      <w:i/>
    </w:rPr>
  </w:style>
  <w:style w:type="character" w:styleId="HeaderChar">
    <w:name w:val="Header Char"/>
    <w:basedOn w:val="DefaultParagraphFont"/>
    <w:uiPriority w:val="99"/>
    <w:qFormat/>
    <w:rPr/>
  </w:style>
  <w:style w:type="character" w:styleId="FooterChar">
    <w:name w:val="Footer Char"/>
    <w:basedOn w:val="DefaultParagraphFont"/>
    <w:uiPriority w:val="99"/>
    <w:qFormat/>
    <w:rPr/>
  </w:style>
  <w:style w:type="character" w:styleId="CaptionChar">
    <w:name w:val="Caption Char"/>
    <w:uiPriority w:val="99"/>
    <w:qFormat/>
    <w:rPr/>
  </w:style>
  <w:style w:type="character" w:styleId="Style5">
    <w:name w:val="Интернет-ссылка"/>
    <w:uiPriority w:val="99"/>
    <w:rPr>
      <w:color w:val="0000FF"/>
      <w:u w:val="single"/>
    </w:rPr>
  </w:style>
  <w:style w:type="character" w:styleId="FootnoteTextChar">
    <w:name w:val="Footnote Text Char"/>
    <w:uiPriority w:val="99"/>
    <w:qFormat/>
    <w:rPr>
      <w:sz w:val="18"/>
    </w:rPr>
  </w:style>
  <w:style w:type="character" w:styleId="Style6">
    <w:name w:val="Привязка сноски"/>
    <w:rPr>
      <w:vertAlign w:val="superscript"/>
    </w:rPr>
  </w:style>
  <w:style w:type="character" w:styleId="FootnoteCharacters">
    <w:name w:val="Footnote Characters"/>
    <w:qFormat/>
    <w:rPr>
      <w:vertAlign w:val="superscript"/>
    </w:rPr>
  </w:style>
  <w:style w:type="character" w:styleId="EndnoteTextChar">
    <w:name w:val="Endnote Text Char"/>
    <w:uiPriority w:val="99"/>
    <w:qFormat/>
    <w:rPr>
      <w:sz w:val="20"/>
    </w:rPr>
  </w:style>
  <w:style w:type="character" w:styleId="Style7">
    <w:name w:val="Привязка концевой сноски"/>
    <w:rPr>
      <w:vertAlign w:val="superscript"/>
    </w:rPr>
  </w:style>
  <w:style w:type="character" w:styleId="EndnoteCharacters">
    <w:name w:val="Endnote Characters"/>
    <w:basedOn w:val="DefaultParagraphFont"/>
    <w:qFormat/>
    <w:rPr>
      <w:vertAlign w:val="superscript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Pr/>
  </w:style>
  <w:style w:type="character" w:styleId="Annotationreference">
    <w:name w:val="annotation reference"/>
    <w:semiHidden/>
    <w:qFormat/>
    <w:rPr>
      <w:sz w:val="16"/>
      <w:szCs w:val="16"/>
    </w:rPr>
  </w:style>
  <w:style w:type="character" w:styleId="Strong">
    <w:name w:val="Strong"/>
    <w:uiPriority w:val="22"/>
    <w:qFormat/>
    <w:rPr>
      <w:b/>
      <w:bCs/>
    </w:rPr>
  </w:style>
  <w:style w:type="character" w:styleId="61" w:customStyle="1">
    <w:name w:val="Заголовок 6 Знак"/>
    <w:uiPriority w:val="9"/>
    <w:qFormat/>
    <w:rPr>
      <w:rFonts w:ascii="Cambria" w:hAnsi="Cambria"/>
      <w:i/>
      <w:iCs/>
      <w:color w:val="243F60"/>
    </w:rPr>
  </w:style>
  <w:style w:type="character" w:styleId="71" w:customStyle="1">
    <w:name w:val="Заголовок 7 Знак"/>
    <w:uiPriority w:val="9"/>
    <w:qFormat/>
    <w:rPr>
      <w:rFonts w:ascii="Cambria" w:hAnsi="Cambria"/>
      <w:i/>
      <w:iCs/>
      <w:color w:val="404040"/>
    </w:rPr>
  </w:style>
  <w:style w:type="character" w:styleId="81" w:customStyle="1">
    <w:name w:val="Заголовок 8 Знак"/>
    <w:uiPriority w:val="9"/>
    <w:qFormat/>
    <w:rPr>
      <w:rFonts w:ascii="Cambria" w:hAnsi="Cambria"/>
      <w:color w:val="4F81BD"/>
    </w:rPr>
  </w:style>
  <w:style w:type="character" w:styleId="11" w:customStyle="1">
    <w:name w:val="Заголовок 1 Знак"/>
    <w:qFormat/>
    <w:rPr>
      <w:rFonts w:eastAsia="Calibri"/>
      <w:b/>
      <w:sz w:val="28"/>
      <w:szCs w:val="28"/>
    </w:rPr>
  </w:style>
  <w:style w:type="character" w:styleId="21" w:customStyle="1">
    <w:name w:val="Заголовок 2 Знак"/>
    <w:qFormat/>
    <w:rPr>
      <w:rFonts w:eastAsia="Calibri"/>
      <w:b/>
      <w:bCs/>
      <w:sz w:val="24"/>
      <w:szCs w:val="24"/>
    </w:rPr>
  </w:style>
  <w:style w:type="character" w:styleId="31" w:customStyle="1">
    <w:name w:val="Заголовок 3 Знак"/>
    <w:qFormat/>
    <w:rPr>
      <w:rFonts w:eastAsia="Calibri"/>
      <w:b/>
      <w:sz w:val="24"/>
      <w:szCs w:val="24"/>
    </w:rPr>
  </w:style>
  <w:style w:type="character" w:styleId="41" w:customStyle="1">
    <w:name w:val="Заголовок 4 Знак"/>
    <w:qFormat/>
    <w:rPr>
      <w:rFonts w:eastAsia="Calibri"/>
      <w:b/>
      <w:bCs/>
      <w:sz w:val="24"/>
      <w:szCs w:val="24"/>
    </w:rPr>
  </w:style>
  <w:style w:type="character" w:styleId="51" w:customStyle="1">
    <w:name w:val="Заголовок 5 Знак"/>
    <w:uiPriority w:val="9"/>
    <w:qFormat/>
    <w:rPr>
      <w:b/>
      <w:bCs/>
      <w:i/>
      <w:iCs/>
      <w:sz w:val="26"/>
      <w:szCs w:val="26"/>
    </w:rPr>
  </w:style>
  <w:style w:type="character" w:styleId="91" w:customStyle="1">
    <w:name w:val="Заголовок 9 Знак"/>
    <w:uiPriority w:val="9"/>
    <w:qFormat/>
    <w:rPr>
      <w:rFonts w:ascii="Arial" w:hAnsi="Arial" w:cs="Arial"/>
      <w:sz w:val="22"/>
      <w:szCs w:val="22"/>
    </w:rPr>
  </w:style>
  <w:style w:type="character" w:styleId="Style8" w:customStyle="1">
    <w:name w:val="Название Знак"/>
    <w:uiPriority w:val="10"/>
    <w:qFormat/>
    <w:rPr>
      <w:sz w:val="28"/>
    </w:rPr>
  </w:style>
  <w:style w:type="character" w:styleId="Style9" w:customStyle="1">
    <w:name w:val="Подзаголовок Знак"/>
    <w:uiPriority w:val="11"/>
    <w:qFormat/>
    <w:rPr>
      <w:rFonts w:ascii="Cambria" w:hAnsi="Cambria"/>
      <w:i/>
      <w:iCs/>
      <w:color w:val="4F81BD"/>
      <w:spacing w:val="15"/>
      <w:sz w:val="24"/>
      <w:szCs w:val="24"/>
    </w:rPr>
  </w:style>
  <w:style w:type="character" w:styleId="Style10">
    <w:name w:val="Выделение"/>
    <w:uiPriority w:val="20"/>
    <w:qFormat/>
    <w:rPr>
      <w:i/>
      <w:iCs/>
    </w:rPr>
  </w:style>
  <w:style w:type="character" w:styleId="22" w:customStyle="1">
    <w:name w:val="Цитата 2 Знак"/>
    <w:uiPriority w:val="29"/>
    <w:qFormat/>
    <w:rPr>
      <w:rFonts w:ascii="Calibri" w:hAnsi="Calibri" w:eastAsia="Calibri"/>
      <w:i/>
      <w:iCs/>
      <w:color w:val="000000"/>
    </w:rPr>
  </w:style>
  <w:style w:type="character" w:styleId="Style11" w:customStyle="1">
    <w:name w:val="Выделенная цитата Знак"/>
    <w:uiPriority w:val="30"/>
    <w:qFormat/>
    <w:rPr>
      <w:rFonts w:ascii="Calibri" w:hAnsi="Calibri" w:eastAsia="Calibri"/>
      <w:b/>
      <w:bCs/>
      <w:i/>
      <w:iCs/>
      <w:color w:val="4F81BD"/>
    </w:rPr>
  </w:style>
  <w:style w:type="character" w:styleId="SubtleEmphasis">
    <w:name w:val="Subtle Emphasis"/>
    <w:uiPriority w:val="19"/>
    <w:qFormat/>
    <w:rPr>
      <w:i/>
      <w:iCs/>
      <w:color w:val="808080"/>
    </w:rPr>
  </w:style>
  <w:style w:type="character" w:styleId="IntenseEmphasis">
    <w:name w:val="Intense Emphasis"/>
    <w:uiPriority w:val="21"/>
    <w:qFormat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Pr>
      <w:smallCaps/>
      <w:color w:val="C0504D"/>
      <w:u w:val="single"/>
    </w:rPr>
  </w:style>
  <w:style w:type="character" w:styleId="IntenseReference">
    <w:name w:val="Intense Reference"/>
    <w:uiPriority w:val="32"/>
    <w:qFormat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Pr>
      <w:b/>
      <w:bCs/>
      <w:smallCaps/>
      <w:spacing w:val="5"/>
    </w:rPr>
  </w:style>
  <w:style w:type="character" w:styleId="Style12" w:customStyle="1">
    <w:name w:val="Электронная подпись Знак"/>
    <w:uiPriority w:val="99"/>
    <w:qFormat/>
    <w:rPr>
      <w:rFonts w:eastAsia="Calibri"/>
      <w:sz w:val="24"/>
      <w:szCs w:val="24"/>
    </w:rPr>
  </w:style>
  <w:style w:type="character" w:styleId="12" w:customStyle="1">
    <w:name w:val="Подпункт Знак1"/>
    <w:qFormat/>
    <w:rPr>
      <w:sz w:val="28"/>
    </w:rPr>
  </w:style>
  <w:style w:type="character" w:styleId="Style13" w:customStyle="1">
    <w:name w:val="Текст сноски Знак"/>
    <w:qFormat/>
    <w:rPr/>
  </w:style>
  <w:style w:type="character" w:styleId="Style14" w:customStyle="1">
    <w:name w:val="Основной текст Знак"/>
    <w:qFormat/>
    <w:rPr>
      <w:sz w:val="28"/>
      <w:szCs w:val="28"/>
    </w:rPr>
  </w:style>
  <w:style w:type="character" w:styleId="Blk" w:customStyle="1">
    <w:name w:val="blk"/>
    <w:qFormat/>
    <w:rPr/>
  </w:style>
  <w:style w:type="character" w:styleId="Style15" w:customStyle="1">
    <w:name w:val="Абзац списка Знак"/>
    <w:uiPriority w:val="34"/>
    <w:qFormat/>
    <w:rPr>
      <w:rFonts w:eastAsia="Calibri"/>
      <w:sz w:val="24"/>
      <w:szCs w:val="24"/>
    </w:rPr>
  </w:style>
  <w:style w:type="character" w:styleId="Style16" w:customStyle="1">
    <w:name w:val="комментарий"/>
    <w:qFormat/>
    <w:rPr>
      <w:b/>
      <w:i/>
      <w:shd w:fill="FFFF99" w:val="clear"/>
    </w:rPr>
  </w:style>
  <w:style w:type="character" w:styleId="Style17" w:customStyle="1">
    <w:name w:val="Подподпункт Знак"/>
    <w:qFormat/>
    <w:rPr>
      <w:sz w:val="26"/>
      <w:szCs w:val="26"/>
    </w:rPr>
  </w:style>
  <w:style w:type="character" w:styleId="32" w:customStyle="1">
    <w:name w:val="УРОВЕНЬ_Абзац_тип3 Знак"/>
    <w:qFormat/>
    <w:rPr>
      <w:rFonts w:eastAsia="Calibri"/>
      <w:sz w:val="26"/>
      <w:szCs w:val="28"/>
      <w:lang w:eastAsia="en-US"/>
    </w:rPr>
  </w:style>
  <w:style w:type="character" w:styleId="Style18" w:customStyle="1">
    <w:name w:val="Верхний колонтитул Знак"/>
    <w:uiPriority w:val="99"/>
    <w:qFormat/>
    <w:rPr>
      <w:sz w:val="24"/>
      <w:szCs w:val="24"/>
    </w:rPr>
  </w:style>
  <w:style w:type="character" w:styleId="Style19" w:customStyle="1">
    <w:name w:val="Текст примечания Знак"/>
    <w:semiHidden/>
    <w:qFormat/>
    <w:rPr/>
  </w:style>
  <w:style w:type="character" w:styleId="Style20" w:customStyle="1">
    <w:name w:val="Текст концевой сноски Знак"/>
    <w:basedOn w:val="DefaultParagraphFont"/>
    <w:qFormat/>
    <w:rPr/>
  </w:style>
  <w:style w:type="character" w:styleId="23" w:customStyle="1">
    <w:name w:val="Пункт2 Знак"/>
    <w:qFormat/>
    <w:rPr>
      <w:b/>
      <w:sz w:val="28"/>
    </w:rPr>
  </w:style>
  <w:style w:type="character" w:styleId="13" w:customStyle="1">
    <w:name w:val="УРОВЕНЬ_1. Знак"/>
    <w:qFormat/>
    <w:rPr>
      <w:rFonts w:eastAsia="Calibri"/>
      <w:caps/>
      <w:sz w:val="28"/>
      <w:szCs w:val="28"/>
      <w:lang w:eastAsia="en-US"/>
    </w:rPr>
  </w:style>
  <w:style w:type="character" w:styleId="Style21">
    <w:name w:val="Символ сноски"/>
    <w:qFormat/>
    <w:rPr/>
  </w:style>
  <w:style w:type="character" w:styleId="Style22">
    <w:name w:val="Ссылка указателя"/>
    <w:qFormat/>
    <w:rPr/>
  </w:style>
  <w:style w:type="character" w:styleId="Style23">
    <w:name w:val="Символ нумерации"/>
    <w:qFormat/>
    <w:rPr/>
  </w:style>
  <w:style w:type="character" w:styleId="Style24">
    <w:name w:val="Маркеры"/>
    <w:qFormat/>
    <w:rPr>
      <w:rFonts w:ascii="OpenSymbol" w:hAnsi="OpenSymbol" w:eastAsia="OpenSymbol" w:cs="OpenSymbol"/>
    </w:rPr>
  </w:style>
  <w:style w:type="paragraph" w:styleId="Style25">
    <w:name w:val="Заголовок"/>
    <w:basedOn w:val="Normal"/>
    <w:next w:val="Style26"/>
    <w:qFormat/>
    <w:pPr>
      <w:keepNext w:val="true"/>
      <w:spacing w:before="240" w:after="120"/>
    </w:pPr>
    <w:rPr>
      <w:rFonts w:ascii="Liberation Sans" w:hAnsi="Liberation Sans" w:eastAsia="Tahoma" w:cs="Lohit Devanagari"/>
      <w:sz w:val="28"/>
      <w:szCs w:val="28"/>
    </w:rPr>
  </w:style>
  <w:style w:type="paragraph" w:styleId="Style26">
    <w:name w:val="Body Text"/>
    <w:basedOn w:val="Normal"/>
    <w:pPr>
      <w:spacing w:before="0" w:after="120"/>
    </w:pPr>
    <w:rPr/>
  </w:style>
  <w:style w:type="paragraph" w:styleId="Style27">
    <w:name w:val="List"/>
    <w:basedOn w:val="Style26"/>
    <w:pPr/>
    <w:rPr>
      <w:rFonts w:cs="Lohit Devanagari"/>
    </w:rPr>
  </w:style>
  <w:style w:type="paragraph" w:styleId="Style28">
    <w:name w:val="Caption"/>
    <w:basedOn w:val="Normal"/>
    <w:uiPriority w:val="35"/>
    <w:qFormat/>
    <w:pPr/>
    <w:rPr>
      <w:rFonts w:eastAsia="Calibri"/>
      <w:b/>
      <w:bCs/>
      <w:color w:val="4F81BD"/>
      <w:sz w:val="18"/>
      <w:szCs w:val="18"/>
    </w:rPr>
  </w:style>
  <w:style w:type="paragraph" w:styleId="Style29">
    <w:name w:val="Указатель"/>
    <w:basedOn w:val="Normal"/>
    <w:qFormat/>
    <w:pPr>
      <w:suppressLineNumbers/>
    </w:pPr>
    <w:rPr>
      <w:rFonts w:cs="Lohit Devanagari"/>
    </w:rPr>
  </w:style>
  <w:style w:type="paragraph" w:styleId="Style30">
    <w:name w:val="Title"/>
    <w:basedOn w:val="Normal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Tableoffigures">
    <w:name w:val="table of figures"/>
    <w:basedOn w:val="Normal"/>
    <w:uiPriority w:val="99"/>
    <w:unhideWhenUsed/>
    <w:qFormat/>
    <w:pPr>
      <w:spacing w:before="0" w:afterAutospacing="0" w:after="0"/>
    </w:pPr>
    <w:rPr/>
  </w:style>
  <w:style w:type="paragraph" w:styleId="Style31" w:customStyle="1">
    <w:name w:val="Название раздела инструкции"/>
    <w:basedOn w:val="Normal"/>
    <w:qFormat/>
    <w:pPr>
      <w:jc w:val="center"/>
    </w:pPr>
    <w:rPr>
      <w:b/>
    </w:rPr>
  </w:style>
  <w:style w:type="paragraph" w:styleId="Style32" w:customStyle="1">
    <w:name w:val="Раздел положения"/>
    <w:basedOn w:val="Normal"/>
    <w:qFormat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33" w:customStyle="1">
    <w:name w:val="Подраздел раздела положения"/>
    <w:basedOn w:val="Normal"/>
    <w:qFormat/>
    <w:pPr>
      <w:numPr>
        <w:ilvl w:val="1"/>
        <w:numId w:val="1"/>
      </w:numPr>
      <w:spacing w:before="80" w:after="80"/>
      <w:jc w:val="both"/>
    </w:pPr>
    <w:rPr/>
  </w:style>
  <w:style w:type="paragraph" w:styleId="Style34">
    <w:name w:val="Footnote Text"/>
    <w:basedOn w:val="Normal"/>
    <w:pPr/>
    <w:rPr>
      <w:sz w:val="20"/>
      <w:szCs w:val="20"/>
    </w:rPr>
  </w:style>
  <w:style w:type="paragraph" w:styleId="14" w:customStyle="1">
    <w:name w:val="Шапка 1"/>
    <w:basedOn w:val="Normal"/>
    <w:qFormat/>
    <w:pPr>
      <w:pBdr>
        <w:bottom w:val="single" w:sz="24" w:space="1" w:color="000000"/>
      </w:pBdr>
      <w:spacing w:before="0" w:after="240"/>
      <w:jc w:val="center"/>
    </w:pPr>
    <w:rPr>
      <w:sz w:val="22"/>
      <w:szCs w:val="22"/>
    </w:rPr>
  </w:style>
  <w:style w:type="paragraph" w:styleId="24" w:customStyle="1">
    <w:name w:val="Шапка 2"/>
    <w:basedOn w:val="Normal"/>
    <w:qFormat/>
    <w:pPr>
      <w:pBdr>
        <w:bottom w:val="single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3" w:customStyle="1">
    <w:name w:val="Шапка 3"/>
    <w:basedOn w:val="Normal"/>
    <w:qFormat/>
    <w:pPr>
      <w:pBdr>
        <w:bottom w:val="single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5" w:customStyle="1">
    <w:name w:val="Название1"/>
    <w:basedOn w:val="Normal"/>
    <w:uiPriority w:val="10"/>
    <w:qFormat/>
    <w:pPr>
      <w:jc w:val="center"/>
    </w:pPr>
    <w:rPr>
      <w:szCs w:val="20"/>
    </w:rPr>
  </w:style>
  <w:style w:type="paragraph" w:styleId="Style35">
    <w:name w:val="Колонтитул"/>
    <w:basedOn w:val="Normal"/>
    <w:qFormat/>
    <w:pPr/>
    <w:rPr/>
  </w:style>
  <w:style w:type="paragraph" w:styleId="Style36">
    <w:name w:val="Header"/>
    <w:basedOn w:val="Normal"/>
    <w:uiPriority w:val="99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Style37">
    <w:name w:val="Body Text Indent"/>
    <w:basedOn w:val="Normal"/>
    <w:pPr>
      <w:ind w:left="360" w:hanging="0"/>
    </w:pPr>
    <w:rPr>
      <w:sz w:val="24"/>
      <w:szCs w:val="24"/>
    </w:rPr>
  </w:style>
  <w:style w:type="paragraph" w:styleId="Style38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qFormat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pPr>
      <w:spacing w:lineRule="auto" w:line="480" w:before="0" w:after="120"/>
    </w:pPr>
    <w:rPr/>
  </w:style>
  <w:style w:type="paragraph" w:styleId="BlockText">
    <w:name w:val="Block Text"/>
    <w:basedOn w:val="Normal"/>
    <w:qFormat/>
    <w:pPr>
      <w:ind w:left="-567" w:right="-766" w:hanging="0"/>
      <w:jc w:val="center"/>
    </w:pPr>
    <w:rPr>
      <w:b/>
      <w:bCs/>
      <w:sz w:val="24"/>
      <w:szCs w:val="20"/>
    </w:rPr>
  </w:style>
  <w:style w:type="paragraph" w:styleId="Style39" w:customStyle="1">
    <w:name w:val="Подпункт"/>
    <w:basedOn w:val="Normal"/>
    <w:qFormat/>
    <w:pPr>
      <w:tabs>
        <w:tab w:val="clear" w:pos="708"/>
        <w:tab w:val="left" w:pos="1134" w:leader="none"/>
      </w:tabs>
      <w:spacing w:lineRule="auto" w:line="360"/>
      <w:ind w:left="1134" w:hanging="1134"/>
      <w:jc w:val="both"/>
    </w:pPr>
    <w:rPr>
      <w:szCs w:val="20"/>
    </w:rPr>
  </w:style>
  <w:style w:type="paragraph" w:styleId="25" w:customStyle="1">
    <w:name w:val="Пункт2"/>
    <w:basedOn w:val="Normal"/>
    <w:qFormat/>
    <w:pPr>
      <w:keepNext w:val="true"/>
      <w:tabs>
        <w:tab w:val="clear" w:pos="708"/>
        <w:tab w:val="left" w:pos="1134" w:leader="none"/>
      </w:tabs>
      <w:spacing w:before="240" w:after="120"/>
      <w:ind w:left="1134" w:hanging="1134"/>
      <w:outlineLvl w:val="2"/>
    </w:pPr>
    <w:rPr>
      <w:b/>
      <w:szCs w:val="20"/>
    </w:rPr>
  </w:style>
  <w:style w:type="paragraph" w:styleId="16">
    <w:name w:val="TOC 1"/>
    <w:basedOn w:val="Normal"/>
    <w:uiPriority w:val="39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34">
    <w:name w:val="TOC 3"/>
    <w:basedOn w:val="Normal"/>
    <w:uiPriority w:val="39"/>
    <w:pPr>
      <w:ind w:left="280" w:hanging="0"/>
    </w:pPr>
    <w:rPr>
      <w:rFonts w:cs="Calibri" w:cstheme="minorHAnsi"/>
      <w:sz w:val="20"/>
      <w:szCs w:val="20"/>
    </w:rPr>
  </w:style>
  <w:style w:type="paragraph" w:styleId="Style40" w:customStyle="1">
    <w:name w:val="Раздел регламента"/>
    <w:basedOn w:val="Normal"/>
    <w:qFormat/>
    <w:pPr/>
    <w:rPr/>
  </w:style>
  <w:style w:type="paragraph" w:styleId="Style41" w:customStyle="1">
    <w:name w:val="Приложение к регламенту"/>
    <w:basedOn w:val="Normal"/>
    <w:qFormat/>
    <w:pPr>
      <w:jc w:val="right"/>
    </w:pPr>
    <w:rPr/>
  </w:style>
  <w:style w:type="paragraph" w:styleId="26">
    <w:name w:val="TOC 2"/>
    <w:basedOn w:val="Normal"/>
    <w:uiPriority w:val="39"/>
    <w:pPr>
      <w:spacing w:before="240" w:after="0"/>
    </w:pPr>
    <w:rPr>
      <w:rFonts w:cs="Calibri" w:cstheme="minorHAnsi"/>
      <w:bCs/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semiHidden/>
    <w:qFormat/>
    <w:pPr/>
    <w:rPr>
      <w:sz w:val="20"/>
      <w:szCs w:val="20"/>
    </w:rPr>
  </w:style>
  <w:style w:type="paragraph" w:styleId="Annotationsubject">
    <w:name w:val="annotation subject"/>
    <w:basedOn w:val="Annotationtext"/>
    <w:semiHidden/>
    <w:qFormat/>
    <w:pPr/>
    <w:rPr>
      <w:b/>
      <w:bCs/>
    </w:rPr>
  </w:style>
  <w:style w:type="paragraph" w:styleId="17" w:customStyle="1">
    <w:name w:val="Обычный (веб)1"/>
    <w:basedOn w:val="Normal"/>
    <w:uiPriority w:val="99"/>
    <w:qFormat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92">
    <w:name w:val="TOC 9"/>
    <w:basedOn w:val="Normal"/>
    <w:semiHidden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52">
    <w:name w:val="TOC 5"/>
    <w:basedOn w:val="Normal"/>
    <w:semiHidden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42">
    <w:name w:val="TOC 4"/>
    <w:basedOn w:val="Normal"/>
    <w:uiPriority w:val="39"/>
    <w:pPr>
      <w:tabs>
        <w:tab w:val="clear" w:pos="708"/>
        <w:tab w:val="left" w:pos="1120" w:leader="none"/>
        <w:tab w:val="right" w:pos="9911" w:leader="none"/>
      </w:tabs>
      <w:ind w:left="560" w:hanging="0"/>
    </w:pPr>
    <w:rPr>
      <w:rFonts w:cs="Calibri" w:cstheme="minorHAnsi"/>
      <w:sz w:val="20"/>
      <w:szCs w:val="20"/>
    </w:rPr>
  </w:style>
  <w:style w:type="paragraph" w:styleId="27" w:customStyle="1">
    <w:name w:val="Раздел положения 2"/>
    <w:basedOn w:val="Normal"/>
    <w:qFormat/>
    <w:pPr>
      <w:pageBreakBefore/>
      <w:jc w:val="both"/>
      <w:outlineLvl w:val="0"/>
    </w:pPr>
    <w:rPr>
      <w:b/>
    </w:rPr>
  </w:style>
  <w:style w:type="paragraph" w:styleId="Style42" w:customStyle="1">
    <w:name w:val="Знак Знак Знак Знак Знак Знак Знак Знак Знак"/>
    <w:basedOn w:val="Normal"/>
    <w:qFormat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eastAsia="en-US"/>
    </w:rPr>
  </w:style>
  <w:style w:type="paragraph" w:styleId="NoSpacing">
    <w:name w:val="No Spacing"/>
    <w:basedOn w:val="Normal"/>
    <w:uiPriority w:val="1"/>
    <w:qFormat/>
    <w:pPr>
      <w:spacing w:lineRule="auto" w:line="360"/>
    </w:pPr>
    <w:rPr>
      <w:rFonts w:eastAsia="Calibri"/>
      <w:sz w:val="24"/>
      <w:szCs w:val="24"/>
    </w:rPr>
  </w:style>
  <w:style w:type="paragraph" w:styleId="Style43">
    <w:name w:val="Subtitle"/>
    <w:basedOn w:val="Normal"/>
    <w:uiPriority w:val="11"/>
    <w:qFormat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uiPriority w:val="29"/>
    <w:qFormat/>
    <w:pPr/>
    <w:rPr>
      <w:rFonts w:ascii="Calibri" w:hAnsi="Calibri" w:eastAsia="Calibri"/>
      <w:i/>
      <w:iCs/>
      <w:color w:val="000000"/>
      <w:sz w:val="20"/>
      <w:szCs w:val="20"/>
    </w:rPr>
  </w:style>
  <w:style w:type="paragraph" w:styleId="IntenseQuote">
    <w:name w:val="Intense Quote"/>
    <w:basedOn w:val="Normal"/>
    <w:uiPriority w:val="30"/>
    <w:qFormat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</w:rPr>
  </w:style>
  <w:style w:type="paragraph" w:styleId="Style44">
    <w:name w:val="Index Heading"/>
    <w:basedOn w:val="Style25"/>
    <w:pPr/>
    <w:rPr/>
  </w:style>
  <w:style w:type="paragraph" w:styleId="Style45">
    <w:name w:val="TOC Heading"/>
    <w:basedOn w:val="1"/>
    <w:uiPriority w:val="39"/>
    <w:qFormat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mailSignature">
    <w:name w:val="E-mail Signature"/>
    <w:basedOn w:val="Normal"/>
    <w:uiPriority w:val="99"/>
    <w:unhideWhenUsed/>
    <w:qFormat/>
    <w:pPr/>
    <w:rPr>
      <w:rFonts w:eastAsia="Calibri"/>
      <w:sz w:val="24"/>
      <w:szCs w:val="24"/>
    </w:rPr>
  </w:style>
  <w:style w:type="paragraph" w:styleId="Style46" w:customStyle="1">
    <w:name w:val="Знак"/>
    <w:basedOn w:val="Normal"/>
    <w:qFormat/>
    <w:pPr>
      <w:spacing w:lineRule="exact" w:line="240" w:before="0" w:after="160"/>
    </w:pPr>
    <w:rPr>
      <w:rFonts w:ascii="Verdana" w:hAnsi="Verdana" w:cs="Verdana"/>
      <w:sz w:val="20"/>
      <w:szCs w:val="20"/>
      <w:lang w:eastAsia="en-US"/>
    </w:rPr>
  </w:style>
  <w:style w:type="paragraph" w:styleId="35" w:customStyle="1">
    <w:name w:val="Нумерованный список ур3"/>
    <w:basedOn w:val="Normal"/>
    <w:qFormat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ListBullet4" w:customStyle="1">
    <w:name w:val="List Bullet 4"/>
    <w:basedOn w:val="Normal"/>
    <w:qFormat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8" w:customStyle="1">
    <w:name w:val="Нумерованный список ур2"/>
    <w:basedOn w:val="Normal"/>
    <w:qFormat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6" w:customStyle="1">
    <w:name w:val="Знак Знак3 Знак Знак"/>
    <w:basedOn w:val="Normal"/>
    <w:qFormat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eastAsia="en-US"/>
    </w:rPr>
  </w:style>
  <w:style w:type="paragraph" w:styleId="Style47" w:customStyle="1">
    <w:name w:val="Пункт"/>
    <w:basedOn w:val="Normal"/>
    <w:qFormat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8" w:customStyle="1">
    <w:name w:val="Абзац списка1"/>
    <w:basedOn w:val="Normal"/>
    <w:qFormat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48" w:customStyle="1">
    <w:name w:val="Таблица"/>
    <w:basedOn w:val="Normal"/>
    <w:qFormat/>
    <w:pPr>
      <w:keepNext w:val="true"/>
      <w:spacing w:before="60" w:after="60"/>
      <w:jc w:val="center"/>
    </w:pPr>
    <w:rPr>
      <w:rFonts w:eastAsia="Calibri"/>
      <w:b/>
      <w:sz w:val="24"/>
      <w:szCs w:val="24"/>
    </w:rPr>
  </w:style>
  <w:style w:type="paragraph" w:styleId="Style49" w:customStyle="1">
    <w:name w:val="Таблица шапка"/>
    <w:basedOn w:val="Normal"/>
    <w:qFormat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50" w:customStyle="1">
    <w:name w:val="Подподпункт"/>
    <w:basedOn w:val="Style39"/>
    <w:qFormat/>
    <w:pPr>
      <w:tabs>
        <w:tab w:val="clear" w:pos="1134"/>
        <w:tab w:val="left" w:pos="5104" w:leader="none"/>
      </w:tabs>
      <w:spacing w:lineRule="auto" w:line="240" w:before="120" w:after="0"/>
      <w:ind w:left="5104" w:hanging="567"/>
    </w:pPr>
    <w:rPr>
      <w:sz w:val="26"/>
      <w:szCs w:val="26"/>
      <w:lang w:eastAsia="ru-RU"/>
    </w:rPr>
  </w:style>
  <w:style w:type="paragraph" w:styleId="Style51" w:customStyle="1">
    <w:name w:val="УРОВЕНЬ_(а)"/>
    <w:basedOn w:val="ListParagraph"/>
    <w:qFormat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Style52" w:customStyle="1">
    <w:name w:val="УРОВЕНЬ_-"/>
    <w:basedOn w:val="ListParagraph"/>
    <w:qFormat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9" w:customStyle="1">
    <w:name w:val="УРОВЕНЬ_Абзац_тип2"/>
    <w:basedOn w:val="ListParagraph"/>
    <w:qFormat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7" w:customStyle="1">
    <w:name w:val="УРОВЕНЬ_Абзац_тип3"/>
    <w:basedOn w:val="ListParagraph"/>
    <w:qFormat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53" w:customStyle="1">
    <w:name w:val="УРОВЕНЬ_Подпись"/>
    <w:basedOn w:val="ListParagraph"/>
    <w:qFormat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9" w:customStyle="1">
    <w:name w:val="Стиль Заголовок 1 + по ширине"/>
    <w:basedOn w:val="1"/>
    <w:qFormat/>
    <w:pPr>
      <w:keepLines/>
      <w:numPr>
        <w:ilvl w:val="0"/>
        <w:numId w:val="0"/>
      </w:numPr>
      <w:tabs>
        <w:tab w:val="clear" w:pos="708"/>
        <w:tab w:val="left" w:pos="567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sz w:val="40"/>
      <w:szCs w:val="20"/>
      <w:lang w:eastAsia="ru-RU"/>
    </w:rPr>
  </w:style>
  <w:style w:type="paragraph" w:styleId="Style54">
    <w:name w:val="Endnote Text"/>
    <w:basedOn w:val="Normal"/>
    <w:pPr/>
    <w:rPr>
      <w:sz w:val="20"/>
      <w:szCs w:val="20"/>
    </w:rPr>
  </w:style>
  <w:style w:type="paragraph" w:styleId="210" w:customStyle="1">
    <w:name w:val="Заголовок 2 КВВ"/>
    <w:basedOn w:val="Normal"/>
    <w:qFormat/>
    <w:pPr>
      <w:keepNext w:val="true"/>
      <w:numPr>
        <w:ilvl w:val="0"/>
        <w:numId w:val="5"/>
      </w:numPr>
      <w:spacing w:before="120" w:after="120"/>
      <w:jc w:val="both"/>
      <w:outlineLvl w:val="0"/>
    </w:pPr>
    <w:rPr>
      <w:b/>
      <w:sz w:val="24"/>
      <w:szCs w:val="20"/>
    </w:rPr>
  </w:style>
  <w:style w:type="paragraph" w:styleId="Style55" w:customStyle="1">
    <w:name w:val="Таблица текст"/>
    <w:basedOn w:val="Normal"/>
    <w:qFormat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pPr>
      <w:spacing w:beforeAutospacing="1" w:afterAutospacing="1"/>
    </w:pPr>
    <w:rPr>
      <w:sz w:val="24"/>
      <w:szCs w:val="24"/>
    </w:rPr>
  </w:style>
  <w:style w:type="paragraph" w:styleId="110" w:customStyle="1">
    <w:name w:val="УРОВЕНЬ_1."/>
    <w:basedOn w:val="ListParagraph"/>
    <w:qFormat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62">
    <w:name w:val="TOC 6"/>
    <w:basedOn w:val="Normal"/>
    <w:unhideWhenUsed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72">
    <w:name w:val="TOC 7"/>
    <w:basedOn w:val="Normal"/>
    <w:unhideWhenUsed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82">
    <w:name w:val="TOC 8"/>
    <w:basedOn w:val="Normal"/>
    <w:unhideWhenUsed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Style56">
    <w:name w:val="Содержимое врезки"/>
    <w:basedOn w:val="Normal"/>
    <w:qFormat/>
    <w:pPr/>
    <w:rPr/>
  </w:style>
  <w:style w:type="paragraph" w:styleId="Style57">
    <w:name w:val="Содержимое таблицы"/>
    <w:basedOn w:val="Normal"/>
    <w:qFormat/>
    <w:pPr>
      <w:widowControl w:val="false"/>
      <w:suppressLineNumbers/>
    </w:pPr>
    <w:rPr/>
  </w:style>
  <w:style w:type="paragraph" w:styleId="Style58">
    <w:name w:val="Заголовок таблицы"/>
    <w:basedOn w:val="Style57"/>
    <w:qFormat/>
    <w:pPr>
      <w:suppressLineNumbers/>
      <w:jc w:val="center"/>
    </w:pPr>
    <w:rPr>
      <w:b/>
      <w:bCs/>
    </w:rPr>
  </w:style>
  <w:style w:type="paragraph" w:styleId="Default">
    <w:name w:val="Default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Lohit Devanagari" w:eastAsiaTheme="minorHAnsi"/>
      <w:color w:val="000000"/>
      <w:kern w:val="0"/>
      <w:sz w:val="24"/>
      <w:szCs w:val="24"/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numbering" w:styleId="111" w:customStyle="1">
    <w:name w:val="Стиль1"/>
    <w:uiPriority w:val="99"/>
    <w:qFormat/>
  </w:style>
  <w:style w:type="numbering" w:styleId="211" w:customStyle="1">
    <w:name w:val="Стиль2"/>
    <w:uiPriority w:val="99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D5D8BB-A1FF-4CD5-A115-408287A556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Application>AlterOffice/3.2.11.2$Linux_X86_64 LibreOffice_project/f3cab14ae505be78703a2a5ea081339a808db020</Application>
  <AppVersion>15.0000</AppVersion>
  <Pages>13</Pages>
  <Words>1699</Words>
  <Characters>11891</Characters>
  <CharactersWithSpaces>13286</CharactersWithSpaces>
  <Paragraphs>303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2021-04-04T11:05:00Z</dcterms:created>
  <dc:creator>Быстров Олег Геннадьевич</dc:creator>
  <dc:description/>
  <dc:language>ru-RU</dc:language>
  <cp:lastModifiedBy>ilinib@sed.local</cp:lastModifiedBy>
  <dcterms:modified xsi:type="dcterms:W3CDTF">2025-08-15T14:04:07Z</dcterms:modified>
  <cp:revision>31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