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A355DD">
      <w:pPr>
        <w:pStyle w:val="2"/>
        <w:pageBreakBefore/>
        <w:numPr>
          <w:ilvl w:val="0"/>
          <w:numId w:val="0"/>
        </w:numPr>
        <w:ind w:firstLine="1077"/>
        <w:jc w:val="right"/>
      </w:pPr>
      <w:bookmarkStart w:id="0" w:name="_GoBack"/>
      <w:bookmarkEnd w:id="0"/>
      <w:r>
        <w:rPr>
          <w:rStyle w:val="a3"/>
          <w:shd w:val="clear" w:color="auto" w:fill="FFFFFF"/>
        </w:rPr>
        <w:t>Приложение № 1 к ТТ</w:t>
      </w:r>
      <w:r>
        <w:rPr>
          <w:rStyle w:val="a3"/>
          <w:caps/>
        </w:rPr>
        <w:t xml:space="preserve"> </w:t>
      </w:r>
    </w:p>
    <w:p w:rsidR="00000000" w:rsidRDefault="00A355DD"/>
    <w:p w:rsidR="00000000" w:rsidRDefault="00A355DD">
      <w:pPr>
        <w:spacing w:after="140" w:line="276" w:lineRule="auto"/>
        <w:jc w:val="center"/>
      </w:pPr>
      <w:r>
        <w:rPr>
          <w:b/>
          <w:bCs/>
        </w:rPr>
        <w:t>Требования к оформлению и составлению документации по ценообразованию</w:t>
      </w:r>
    </w:p>
    <w:p w:rsidR="00000000" w:rsidRDefault="00A355DD">
      <w:pPr>
        <w:ind w:firstLine="567"/>
        <w:contextualSpacing/>
        <w:jc w:val="both"/>
      </w:pPr>
      <w:r>
        <w:t>1. Использование нормативов ценообразования, не зарегистрированных и не вошедших в ФРСН, не допускается, кроме случаев, прямо указанных в настоящих требованиях.</w:t>
      </w:r>
    </w:p>
    <w:p w:rsidR="00000000" w:rsidRDefault="00A355DD">
      <w:pPr>
        <w:ind w:firstLine="567"/>
        <w:contextualSpacing/>
        <w:jc w:val="both"/>
      </w:pPr>
      <w:r>
        <w:t xml:space="preserve">2. </w:t>
      </w:r>
      <w:r>
        <w:t xml:space="preserve">Версия программного комплекса «Гранд-Смета» (далее–ПК «Гранд-смета») должна быть не ниже 2025. </w:t>
      </w:r>
    </w:p>
    <w:p w:rsidR="00000000" w:rsidRDefault="00A355DD">
      <w:pPr>
        <w:ind w:firstLine="567"/>
        <w:contextualSpacing/>
        <w:jc w:val="both"/>
      </w:pPr>
      <w:r>
        <w:t>3. При составлении смет руководствоваться Методикой определения сметной стоимости строительства, реконструкции, капитального ремонта, сноса объектов капитальног</w:t>
      </w:r>
      <w:r>
        <w:t>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Федерации», введенной в действие Приказом Министерства строительства и ЖКХ РФ от 04.08.2020 № 421/пр. (</w:t>
      </w:r>
      <w:r>
        <w:t>далее - Методикой определения сметной стоимости строительства) (в ред. Приказов Минстроя России от 07.07.2022 № 557/пр, от 30.01.2024 № 55/пр).</w:t>
      </w:r>
    </w:p>
    <w:p w:rsidR="00000000" w:rsidRDefault="00A355DD">
      <w:pPr>
        <w:ind w:firstLine="567"/>
        <w:contextualSpacing/>
        <w:jc w:val="both"/>
      </w:pPr>
      <w:r>
        <w:t>4. При составлении сметной документации необходимо использовать сметно-нормативную базу «ФСНБ-2022 (с Изм. 1-15)</w:t>
      </w:r>
      <w:r>
        <w:t>». Определение сметной стоимости работ при новом строительстве выполняется ресурсно-индексным методом расчета - с использованием сметных норм, сметных цен строительных ресурсов в базисном уровне цен и одновременным применением сметных цен строительных ресу</w:t>
      </w:r>
      <w:r>
        <w:t>рсов в текущем уровне цен, информации об индексах изменения сметной стоимости строительства по группам однородных строительных ресурсов и с учетом иной информации, используемой для определения сметной стоимости строительства, размещенных в ФГИС ЦС. Сметная</w:t>
      </w:r>
      <w:r>
        <w:t xml:space="preserve"> стоимость, определенная с применением ресурсно-индексного метода, приводится в ЛСР (ЛС) в текущем уровне цен.</w:t>
      </w:r>
    </w:p>
    <w:p w:rsidR="00000000" w:rsidRDefault="00A355DD">
      <w:pPr>
        <w:ind w:firstLine="567"/>
        <w:contextualSpacing/>
        <w:jc w:val="both"/>
      </w:pPr>
      <w:r>
        <w:t xml:space="preserve">4.1 При определении сметной стоимости ресурсно-индексным методом применяются индексы изменения сметной стоимости на текущий период (при наличии) </w:t>
      </w:r>
      <w:r>
        <w:t xml:space="preserve">для соответствующих видов объектов капитального строительства и субъектов Российской Федерации (частей территорий субъектов Российской Федерации). </w:t>
      </w:r>
    </w:p>
    <w:p w:rsidR="00000000" w:rsidRDefault="00A355DD">
      <w:pPr>
        <w:ind w:firstLine="567"/>
        <w:contextualSpacing/>
        <w:jc w:val="both"/>
      </w:pPr>
      <w:r>
        <w:t>5. В случае отсутствия единичных расценок в действующей СНБ возможно определение сметной стоимости с примене</w:t>
      </w:r>
      <w:r>
        <w:t>нием сборников: «Единых норм и расценок на строительные, монтажные и ремонтно-строительные работы» (далее – ЕНиР) и «Ведомственных норм и расценок на строительные, монтажные и ремонтно-строительные работы» (далее – ВНиР). Уровень оплаты труда для ЕНиР и ВН</w:t>
      </w:r>
      <w:r>
        <w:t>иР определять аналогично примененному в сметной документации методу расчета в соответствии с тарифными ставками сборника «Показатели часовой оплаты труда» (далее - ТС 2001), внесенного в ФРСН Сметная цена материальных ресурсов и (или) оборудования (далее –</w:t>
      </w:r>
      <w:r>
        <w:t xml:space="preserve">МТР), закупаемых на территории региона субъекта Российской Федерации, определенным в базисном уровне цен по состоянию на 01.01.2022 с использованием ФСБЦ-2022, индексов по группам однородных строительных ресурсов, размещенных в федеральной государственной </w:t>
      </w:r>
      <w:r>
        <w:t>информационной системе ценообразования в строительстве (далее – ФГИС ЦС) по субъекту Российской Федерации.</w:t>
      </w:r>
    </w:p>
    <w:p w:rsidR="00000000" w:rsidRDefault="00A355DD">
      <w:pPr>
        <w:ind w:firstLine="567"/>
        <w:contextualSpacing/>
        <w:jc w:val="both"/>
      </w:pPr>
      <w:r>
        <w:t>6. При отсутствии в ФГИС ЦС данных о сметных ценах в базисном или текущем уровне цен на отдельные материальные ресурсы и оборудование, а также сметны</w:t>
      </w:r>
      <w:r>
        <w:t>х нормативов на отдельные виды работ и услуг допускается определение их сметной стоимости по наиболее экономичному варианту, определенному на основании сбора информации о текущих ценах (далее - конъюнктурный анализ). Результаты конъюнктурного анализа оформ</w:t>
      </w:r>
      <w:r>
        <w:t>ляются в соответствии с рекомендуемой формой, приведенной в Приложении N 1 к Методике, и подписываются застройщиком или техническим заказчиком (далее - заказчик). (в ред. Приказа Минстроя РФ от 07.07.2022 N 557/пр, от 30.01.2024 N 55/пр)</w:t>
      </w:r>
    </w:p>
    <w:p w:rsidR="00000000" w:rsidRDefault="00A355DD">
      <w:pPr>
        <w:ind w:firstLine="567"/>
        <w:contextualSpacing/>
        <w:jc w:val="both"/>
      </w:pPr>
      <w:r>
        <w:t>7. Сметная цена ма</w:t>
      </w:r>
      <w:r>
        <w:t xml:space="preserve">териальных ресурсов и оборудования принимается на основании информации, размещенной в ФГИС ЦС и учитывает затраты, связанные с их приобретением (в том числе стоимость тары, упаковки, реквизита (при наличии таковых), для оборудования также </w:t>
      </w:r>
      <w:r>
        <w:lastRenderedPageBreak/>
        <w:t>–стоимости компле</w:t>
      </w:r>
      <w:r>
        <w:t>кта запасных частей на гарантийный срок эксплуатации), заготовительно-складские расходы, стоимость перевозки.</w:t>
      </w:r>
    </w:p>
    <w:p w:rsidR="00000000" w:rsidRDefault="00A355DD">
      <w:pPr>
        <w:ind w:firstLine="567"/>
        <w:contextualSpacing/>
        <w:jc w:val="both"/>
      </w:pPr>
      <w:r>
        <w:t>8. Стоимость материально-технических ресурсов (далее–МТР), не учтенных в расценках, определяется по сборнику сметных цен на материалы (далее – ССЦ</w:t>
      </w:r>
      <w:r>
        <w:t>), утвержденному в установленном порядке и внесенному в ФРСН. Номенклатура принимаемых по сборнику МТР должна строго соответствовать номенклатуре, определенной проектом, «применительное» использование расценок сборника не допускается.</w:t>
      </w:r>
    </w:p>
    <w:p w:rsidR="00000000" w:rsidRDefault="00A355DD">
      <w:pPr>
        <w:ind w:firstLine="567"/>
        <w:contextualSpacing/>
        <w:jc w:val="both"/>
      </w:pPr>
      <w:r>
        <w:t xml:space="preserve">9. Сметная стоимость </w:t>
      </w:r>
      <w:r>
        <w:t>материальных ресурсов и индивидуального стандартизированного (адаптированного) оборудования в текущем уровне цен, информация о которых отсутствует во ФГИС ЦС и ФРСН, определяется с учетом транспортных и заготовительно-складских затрат.</w:t>
      </w:r>
    </w:p>
    <w:p w:rsidR="00000000" w:rsidRDefault="00A355DD">
      <w:pPr>
        <w:ind w:firstLine="567"/>
        <w:contextualSpacing/>
        <w:jc w:val="both"/>
      </w:pPr>
      <w:r>
        <w:t>10. Транспортные зат</w:t>
      </w:r>
      <w:r>
        <w:t>раты для материальных ресурсов и оборудования определяются следующими методами:</w:t>
      </w:r>
    </w:p>
    <w:p w:rsidR="00000000" w:rsidRDefault="00A355DD">
      <w:pPr>
        <w:ind w:firstLine="567"/>
        <w:contextualSpacing/>
        <w:jc w:val="both"/>
      </w:pPr>
      <w:r>
        <w:t>10.1. расчетом с учетом расстояния перевозки, класса грузов, типа транспорта, наличии погрузо-разгрузочных работ, информации о ценах на услуги на перевозку грузов, в зависимост</w:t>
      </w:r>
      <w:r>
        <w:t>и</w:t>
      </w:r>
    </w:p>
    <w:p w:rsidR="00000000" w:rsidRDefault="00A355DD">
      <w:pPr>
        <w:contextualSpacing/>
        <w:jc w:val="both"/>
      </w:pPr>
      <w:r>
        <w:t>от вида транспорта (ж/д, автомобильный, речной, морской, воздушный), включенных в ФГИС</w:t>
      </w:r>
    </w:p>
    <w:p w:rsidR="00000000" w:rsidRDefault="00A355DD">
      <w:pPr>
        <w:contextualSpacing/>
        <w:jc w:val="both"/>
      </w:pPr>
      <w:r>
        <w:t>ЦС и в соответствии со сметными нормативами, включенными в ФРСН;</w:t>
      </w:r>
    </w:p>
    <w:p w:rsidR="00000000" w:rsidRDefault="00A355DD">
      <w:pPr>
        <w:ind w:firstLine="567"/>
        <w:contextualSpacing/>
        <w:jc w:val="both"/>
      </w:pPr>
      <w:r>
        <w:t>10.2. по результатам конъюнктурного анализа, согласно приказу Минстроя РФ от 04.08.2020 №421/пр, с уче</w:t>
      </w:r>
      <w:r>
        <w:t>том данных о стоимости услуг, полученных не менее чем от 2-х (двух) поставщиков (производителей) таких услуг, либо на основании данных по 1(одному) поставщику транспортных услуг, который является производителем или поставщиком материальных ресурсов или обо</w:t>
      </w:r>
      <w:r>
        <w:t>рудования (при отсутствии информации в ФГИС ЦС);</w:t>
      </w:r>
    </w:p>
    <w:p w:rsidR="00000000" w:rsidRDefault="00A355DD">
      <w:pPr>
        <w:ind w:firstLine="567"/>
        <w:contextualSpacing/>
        <w:jc w:val="both"/>
      </w:pPr>
      <w:r>
        <w:t>10.3. в размере до 3-х процентов от отпускной цены материальных ресурсов и оборудования (при невозможности определить затраты указанными выше способами), по решению заказчика.</w:t>
      </w:r>
    </w:p>
    <w:p w:rsidR="00000000" w:rsidRDefault="00A355DD">
      <w:pPr>
        <w:ind w:firstLine="567"/>
        <w:contextualSpacing/>
        <w:jc w:val="both"/>
      </w:pPr>
      <w:r>
        <w:t>Если транспортировка осуществля</w:t>
      </w:r>
      <w:r>
        <w:t>ется заказчиком самостоятельно (самовывоз), данный</w:t>
      </w:r>
    </w:p>
    <w:p w:rsidR="00000000" w:rsidRDefault="00A355DD">
      <w:pPr>
        <w:ind w:firstLine="567"/>
        <w:contextualSpacing/>
        <w:jc w:val="both"/>
      </w:pPr>
      <w:r>
        <w:t>показатель не учитывается.</w:t>
      </w:r>
    </w:p>
    <w:p w:rsidR="00000000" w:rsidRDefault="00A355DD">
      <w:pPr>
        <w:ind w:firstLine="567"/>
        <w:contextualSpacing/>
        <w:jc w:val="both"/>
      </w:pPr>
      <w:r>
        <w:t>11. Заготовительно-складские расходы определяются в % от суммы отпускной цены материалов, изделий, конструкций, оборудования и транспортных затрат:</w:t>
      </w:r>
    </w:p>
    <w:p w:rsidR="00000000" w:rsidRDefault="00A355DD">
      <w:pPr>
        <w:ind w:firstLine="567"/>
        <w:contextualSpacing/>
        <w:jc w:val="both"/>
      </w:pPr>
      <w:r>
        <w:t xml:space="preserve">2% -для материальных ресурсов </w:t>
      </w:r>
      <w:r>
        <w:t>(кроме металлоконструкций);</w:t>
      </w:r>
    </w:p>
    <w:p w:rsidR="00000000" w:rsidRDefault="00A355DD">
      <w:pPr>
        <w:ind w:firstLine="567"/>
        <w:contextualSpacing/>
        <w:jc w:val="both"/>
      </w:pPr>
      <w:r>
        <w:t>0,75%- для металлоконструкций;</w:t>
      </w:r>
    </w:p>
    <w:p w:rsidR="00000000" w:rsidRDefault="00A355DD">
      <w:pPr>
        <w:ind w:firstLine="567"/>
        <w:contextualSpacing/>
        <w:jc w:val="both"/>
      </w:pPr>
      <w:r>
        <w:t>1,2% - для оборудования.</w:t>
      </w:r>
    </w:p>
    <w:p w:rsidR="00000000" w:rsidRDefault="00A355DD">
      <w:pPr>
        <w:ind w:firstLine="567"/>
        <w:contextualSpacing/>
        <w:jc w:val="both"/>
      </w:pPr>
      <w:r>
        <w:t>12. При формировании сметной стоимости в ЛСР (ЛС) отдельно выделяется сметная стоимость по видам оборудования: инженерное; технологическое; лабораторное; транспортные средс</w:t>
      </w:r>
      <w:r>
        <w:t>тва; инструмент для технологических процессов; производственный и хозяйственный инвентарь, в т.ч. мебель.</w:t>
      </w:r>
    </w:p>
    <w:p w:rsidR="00000000" w:rsidRDefault="00A355DD">
      <w:pPr>
        <w:ind w:firstLine="567"/>
        <w:contextualSpacing/>
        <w:jc w:val="both"/>
      </w:pPr>
      <w:r>
        <w:t>13. При использовании в сметах коэффициентов и лимитированных затрат указывать обоснование из технической части, вводных указаний сборников или других</w:t>
      </w:r>
      <w:r>
        <w:t xml:space="preserve"> нормативных документов и приложений к ним.</w:t>
      </w:r>
    </w:p>
    <w:p w:rsidR="00000000" w:rsidRDefault="00A355DD">
      <w:pPr>
        <w:ind w:firstLine="567"/>
        <w:contextualSpacing/>
        <w:jc w:val="both"/>
      </w:pPr>
      <w:r>
        <w:t xml:space="preserve">14. Поправочные коэффициенты из технической части к расценкам (например, на демонтаж или для учета особых условий выполнения работ) учитываются индивидуально для каждой позиции и в выходных формах при выгрузке в </w:t>
      </w:r>
      <w:r>
        <w:t>формат «Excel» и указываются попозиционно. Коэффициенты, учитывающие усложняющие факторы и условия производства работ, могут применяться одновременно с другими коэффициентами, предусмотренными сметными нормативами, включенными в ФРСН. При одновременном при</w:t>
      </w:r>
      <w:r>
        <w:t>менении коэффициенты перемножаются, результат округляется до семи знаков после запятой.</w:t>
      </w:r>
    </w:p>
    <w:p w:rsidR="00000000" w:rsidRDefault="00A355DD">
      <w:pPr>
        <w:ind w:firstLine="567"/>
        <w:contextualSpacing/>
        <w:jc w:val="both"/>
      </w:pPr>
      <w:r>
        <w:t>15. При внесении изменений в сметную документацию разрабатывается сводный сметный расчет, определяющий общую сметную стоимость строительства с учетом произведенных изме</w:t>
      </w:r>
      <w:r>
        <w:t>нений проектной и (или) иной технической документации на полный объем работ с учетом объемов корректировки (исключаемых и дополнительных). По решению заказчика дополнительно может быть разработан отдельный сводный сметный расчет, определяющий сметную стоим</w:t>
      </w:r>
      <w:r>
        <w:t>ость изменений. Локальные сметные расчеты (сметы) разрабатываются отдельно на исключаемые и дополнительные объемы работ.</w:t>
      </w:r>
    </w:p>
    <w:p w:rsidR="00000000" w:rsidRDefault="00A355DD">
      <w:pPr>
        <w:ind w:firstLine="567"/>
        <w:contextualSpacing/>
        <w:jc w:val="both"/>
      </w:pPr>
      <w:r>
        <w:t>16. Резерв средств на непредвиденные работы и затраты определен в смете в процентах в размере. Порядок расчета за непредвиденные работы</w:t>
      </w:r>
      <w:r>
        <w:t xml:space="preserve"> и затраты оговаривать в договоре подряда.</w:t>
      </w:r>
    </w:p>
    <w:p w:rsidR="00000000" w:rsidRDefault="00A355DD">
      <w:pPr>
        <w:ind w:firstLine="567"/>
        <w:contextualSpacing/>
        <w:jc w:val="both"/>
      </w:pPr>
      <w:r>
        <w:lastRenderedPageBreak/>
        <w:t>17. В ЛСР (ЛС) указывать величину накладных расходов по видам строительных, ремонтно-строительных, монтажных и пусконаладочных работ, на основании нормативных документов, внесенных в ФРСН.</w:t>
      </w:r>
    </w:p>
    <w:p w:rsidR="00000000" w:rsidRDefault="00A355DD">
      <w:pPr>
        <w:ind w:firstLine="567"/>
        <w:contextualSpacing/>
        <w:jc w:val="both"/>
      </w:pPr>
      <w:r>
        <w:t>18. В ЛСР (ЛС) указывать</w:t>
      </w:r>
      <w:r>
        <w:t xml:space="preserve"> величину сметной прибыли по видам строительных, ремонтно-строительных, монтажных и пусконаладочных работ, на основании актуальных нормативных документов, внесенных в ФРСН.</w:t>
      </w:r>
    </w:p>
    <w:p w:rsidR="00000000" w:rsidRDefault="00A355DD">
      <w:pPr>
        <w:ind w:firstLine="567"/>
        <w:contextualSpacing/>
        <w:jc w:val="both"/>
      </w:pPr>
      <w:r>
        <w:t>19. При определении сметных затрат на демонтаж строительных конструкций и оборудова</w:t>
      </w:r>
      <w:r>
        <w:t>ния стоимость погрузки, перевозки (от строительной площадки до места утилизации или складирования) и разгрузки строительного мусора и материалов, полученных при разборке строительных конструкций и оборудования, следует учитывать дополнительно, на основании</w:t>
      </w:r>
      <w:r>
        <w:t xml:space="preserve"> проектной и (или) иной технической документации, проекта организации работ по сносу объекта капитального строительства.</w:t>
      </w:r>
    </w:p>
    <w:p w:rsidR="00000000" w:rsidRDefault="00A355DD">
      <w:pPr>
        <w:ind w:firstLine="567"/>
        <w:contextualSpacing/>
        <w:jc w:val="both"/>
      </w:pPr>
      <w:r>
        <w:t>20. В локальных сметных расчетах построчные и итоговые суммы округлять.</w:t>
      </w:r>
    </w:p>
    <w:p w:rsidR="00000000" w:rsidRDefault="00A355DD">
      <w:pPr>
        <w:ind w:firstLine="567"/>
        <w:contextualSpacing/>
        <w:jc w:val="both"/>
      </w:pPr>
      <w:r>
        <w:t>21. В сметных расчетах при исключении и добавлении ресурсов (ма</w:t>
      </w:r>
      <w:r>
        <w:t>териалов) необходимо данные ресурсы относить в отдельную позицию, не допускается изменение внутри расценки.</w:t>
      </w:r>
    </w:p>
    <w:p w:rsidR="00000000" w:rsidRDefault="00A355DD">
      <w:pPr>
        <w:ind w:firstLine="567"/>
        <w:contextualSpacing/>
        <w:jc w:val="both"/>
      </w:pPr>
      <w:r>
        <w:t>22. Сметная документация должна быть представлена в двух вариантах:</w:t>
      </w:r>
    </w:p>
    <w:p w:rsidR="00000000" w:rsidRDefault="00A355DD">
      <w:pPr>
        <w:ind w:firstLine="567"/>
        <w:contextualSpacing/>
        <w:jc w:val="both"/>
      </w:pPr>
      <w:r>
        <w:t>- на бумажном носителе (количество указано в конкурсной документации) в соответс</w:t>
      </w:r>
      <w:r>
        <w:t>твии</w:t>
      </w:r>
    </w:p>
    <w:p w:rsidR="00000000" w:rsidRDefault="00A355DD">
      <w:pPr>
        <w:contextualSpacing/>
        <w:jc w:val="both"/>
      </w:pPr>
      <w:r>
        <w:t>с Требованиям к оформлению и составлению сметной документации;</w:t>
      </w:r>
    </w:p>
    <w:p w:rsidR="00000000" w:rsidRDefault="00A355DD">
      <w:pPr>
        <w:ind w:firstLine="567"/>
        <w:contextualSpacing/>
        <w:jc w:val="both"/>
        <w:rPr>
          <w:b/>
          <w:bCs/>
        </w:rPr>
      </w:pPr>
      <w:r>
        <w:t>- на электронном носителе (в формате «xml» ПК «Гранд-Смета», «Excel», «pdf»), полностью соответствующему, бумажному варианту. Сметная документация в формате «Excel» должна быть представлен</w:t>
      </w:r>
      <w:r>
        <w:t>а в одном файле с внесением ССР, ЛСР и других расчетов на отдельные листы (вкладки) документа.</w:t>
      </w:r>
    </w:p>
    <w:p w:rsidR="00000000" w:rsidRDefault="00A355DD">
      <w:pPr>
        <w:spacing w:after="140" w:line="276" w:lineRule="auto"/>
        <w:jc w:val="center"/>
        <w:rPr>
          <w:b/>
          <w:bCs/>
        </w:rPr>
      </w:pPr>
      <w:bookmarkStart w:id="1" w:name="_Hlk48224758"/>
      <w:bookmarkStart w:id="2" w:name="_Ref40301253"/>
    </w:p>
    <w:bookmarkEnd w:id="1"/>
    <w:bookmarkEnd w:id="2"/>
    <w:p w:rsidR="00000000" w:rsidRDefault="00A355DD">
      <w:pPr>
        <w:spacing w:after="140" w:line="276" w:lineRule="auto"/>
        <w:jc w:val="center"/>
      </w:pPr>
    </w:p>
    <w:sectPr w:rsidR="0000000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1" w:bottom="992" w:left="1134" w:header="680" w:footer="720" w:gutter="0"/>
      <w:cols w:space="720"/>
      <w:titlePg/>
      <w:docGrid w:linePitch="381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355DD">
      <w:r>
        <w:separator/>
      </w:r>
    </w:p>
  </w:endnote>
  <w:endnote w:type="continuationSeparator" w:id="0">
    <w:p w:rsidR="00000000" w:rsidRDefault="00A35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355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355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355DD">
      <w:r>
        <w:separator/>
      </w:r>
    </w:p>
  </w:footnote>
  <w:footnote w:type="continuationSeparator" w:id="0">
    <w:p w:rsidR="00000000" w:rsidRDefault="00A35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355DD">
    <w:pPr>
      <w:pStyle w:val="ab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355DD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  <w:rPr>
        <w:b/>
        <w:sz w:val="24"/>
      </w:rPr>
    </w:lvl>
    <w:lvl w:ilvl="3">
      <w:start w:val="1"/>
      <w:numFmt w:val="decimal"/>
      <w:lvlText w:val="%2.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736" w:hanging="936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240" w:hanging="108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744" w:hanging="1224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320" w:hanging="144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5DD"/>
    <w:rsid w:val="00A3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715E3F04-60B9-4FC3-B311-6F7AD5D9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4"/>
    <w:next w:val="a"/>
    <w:qFormat/>
    <w:pPr>
      <w:ind w:left="0" w:firstLine="1077"/>
      <w:jc w:val="both"/>
      <w:outlineLvl w:val="1"/>
    </w:pPr>
  </w:style>
  <w:style w:type="paragraph" w:styleId="3">
    <w:name w:val="heading 3"/>
    <w:basedOn w:val="a"/>
    <w:next w:val="a"/>
    <w:qFormat/>
    <w:pPr>
      <w:keepNext/>
      <w:numPr>
        <w:numId w:val="2"/>
      </w:numPr>
      <w:spacing w:before="120" w:after="60"/>
      <w:outlineLvl w:val="2"/>
    </w:pPr>
    <w:rPr>
      <w:rFonts w:eastAsia="Calibri"/>
      <w:b/>
      <w:lang/>
    </w:rPr>
  </w:style>
  <w:style w:type="paragraph" w:styleId="4">
    <w:name w:val="heading 4"/>
    <w:basedOn w:val="3"/>
    <w:next w:val="a"/>
    <w:qFormat/>
    <w:pPr>
      <w:outlineLvl w:val="3"/>
    </w:pPr>
    <w:rPr>
      <w:bCs/>
    </w:rPr>
  </w:style>
  <w:style w:type="character" w:default="1" w:customStyle="1" w:styleId="WW8Num2z2">
    <w:name w:val="WW8Num2z2"/>
    <w:rPr>
      <w:b/>
      <w:sz w:val="24"/>
    </w:rPr>
  </w:style>
  <w:style w:type="character" w:default="1" w:customStyle="1" w:styleId="WW8Num2z4">
    <w:name w:val="WW8Num2z4"/>
    <w:rPr>
      <w:rFonts w:ascii="Symbol" w:hAnsi="Symbol" w:cs="Symbol"/>
    </w:rPr>
  </w:style>
  <w:style w:type="character" w:default="1" w:customStyle="1" w:styleId="WW8Num4z0">
    <w:name w:val="WW8Num4z0"/>
    <w:rPr>
      <w:b w:val="0"/>
      <w:sz w:val="24"/>
      <w:szCs w:val="24"/>
    </w:rPr>
  </w:style>
  <w:style w:type="character" w:customStyle="1" w:styleId="WW8Num4z1">
    <w:name w:val="WW8Num4z1"/>
    <w:rPr>
      <w:b w:val="0"/>
    </w:rPr>
  </w:style>
  <w:style w:type="character" w:customStyle="1" w:styleId="WW8Num5z1">
    <w:name w:val="WW8Num5z1"/>
    <w:rPr>
      <w:sz w:val="24"/>
      <w:szCs w:val="24"/>
    </w:rPr>
  </w:style>
  <w:style w:type="character" w:customStyle="1" w:styleId="WW8Num6z0">
    <w:name w:val="WW8Num6z0"/>
    <w:rPr>
      <w:sz w:val="24"/>
      <w:szCs w:val="24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 w:hint="default"/>
      <w:b w:val="0"/>
      <w:color w:val="000000"/>
    </w:rPr>
  </w:style>
  <w:style w:type="character" w:customStyle="1" w:styleId="WW8Num12z1">
    <w:name w:val="WW8Num12z1"/>
    <w:rPr>
      <w:b w:val="0"/>
      <w:color w:val="000000"/>
    </w:rPr>
  </w:style>
  <w:style w:type="character" w:customStyle="1" w:styleId="WW8Num13z0">
    <w:name w:val="WW8Num13z0"/>
    <w:rPr>
      <w:rFonts w:ascii="Symbol" w:hAnsi="Symbol" w:cs="Symbol" w:hint="default"/>
      <w:sz w:val="20"/>
    </w:rPr>
  </w:style>
  <w:style w:type="character" w:customStyle="1" w:styleId="WW8Num13z1">
    <w:name w:val="WW8Num13z1"/>
    <w:rPr>
      <w:rFonts w:ascii="Courier New" w:hAnsi="Courier New" w:cs="Courier New" w:hint="default"/>
      <w:sz w:val="20"/>
    </w:rPr>
  </w:style>
  <w:style w:type="character" w:customStyle="1" w:styleId="WW8Num13z2">
    <w:name w:val="WW8Num13z2"/>
    <w:rPr>
      <w:rFonts w:ascii="Wingdings" w:hAnsi="Wingdings" w:cs="Wingdings" w:hint="default"/>
      <w:sz w:val="20"/>
    </w:rPr>
  </w:style>
  <w:style w:type="character" w:customStyle="1" w:styleId="WW8Num14z0">
    <w:name w:val="WW8Num14z0"/>
    <w:rPr>
      <w:rFonts w:ascii="Symbol" w:hAnsi="Symbol" w:cs="Symbol" w:hint="default"/>
      <w:sz w:val="20"/>
    </w:rPr>
  </w:style>
  <w:style w:type="character" w:customStyle="1" w:styleId="WW8Num14z1">
    <w:name w:val="WW8Num14z1"/>
    <w:rPr>
      <w:rFonts w:ascii="Courier New" w:hAnsi="Courier New" w:cs="Courier New" w:hint="default"/>
      <w:sz w:val="20"/>
    </w:rPr>
  </w:style>
  <w:style w:type="character" w:customStyle="1" w:styleId="WW8Num14z2">
    <w:name w:val="WW8Num14z2"/>
    <w:rPr>
      <w:rFonts w:ascii="Wingdings" w:hAnsi="Wingdings" w:cs="Wingdings" w:hint="default"/>
      <w:sz w:val="20"/>
    </w:rPr>
  </w:style>
  <w:style w:type="character" w:customStyle="1" w:styleId="WW8Num20z0">
    <w:name w:val="WW8Num20z0"/>
    <w:rPr>
      <w:rFonts w:ascii="Symbol" w:hAnsi="Symbol" w:cs="Symbol" w:hint="default"/>
      <w:sz w:val="20"/>
    </w:rPr>
  </w:style>
  <w:style w:type="character" w:customStyle="1" w:styleId="WW8Num20z1">
    <w:name w:val="WW8Num20z1"/>
    <w:rPr>
      <w:rFonts w:ascii="Courier New" w:hAnsi="Courier New" w:cs="Courier New" w:hint="default"/>
      <w:sz w:val="20"/>
    </w:rPr>
  </w:style>
  <w:style w:type="character" w:customStyle="1" w:styleId="WW8Num20z2">
    <w:name w:val="WW8Num20z2"/>
    <w:rPr>
      <w:rFonts w:ascii="Wingdings" w:hAnsi="Wingdings" w:cs="Wingdings" w:hint="default"/>
      <w:sz w:val="20"/>
    </w:rPr>
  </w:style>
  <w:style w:type="character" w:customStyle="1" w:styleId="20">
    <w:name w:val="Основной шрифт абзаца2"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1">
    <w:name w:val="Основной шрифт абзаца1"/>
  </w:style>
  <w:style w:type="character" w:customStyle="1" w:styleId="a0">
    <w:name w:val="Верхний колонтитул Знак"/>
    <w:rPr>
      <w:sz w:val="24"/>
      <w:szCs w:val="24"/>
    </w:rPr>
  </w:style>
  <w:style w:type="character" w:customStyle="1" w:styleId="a1">
    <w:name w:val="Нижний колонтитул Знак"/>
    <w:rPr>
      <w:sz w:val="24"/>
      <w:szCs w:val="24"/>
    </w:rPr>
  </w:style>
  <w:style w:type="character" w:customStyle="1" w:styleId="a2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  <w:rPr>
      <w:b/>
      <w:sz w:val="24"/>
    </w:rPr>
  </w:style>
  <w:style w:type="character" w:customStyle="1" w:styleId="ListLabel22">
    <w:name w:val="ListLabel 22"/>
  </w:style>
  <w:style w:type="character" w:customStyle="1" w:styleId="ListLabel23">
    <w:name w:val="ListLabel 23"/>
    <w:rPr>
      <w:rFonts w:cs="Symbol"/>
    </w:rPr>
  </w:style>
  <w:style w:type="character" w:customStyle="1" w:styleId="ListLabel24">
    <w:name w:val="ListLabel 24"/>
    <w:rPr>
      <w:rFonts w:cs="Symbol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Symbol"/>
    </w:rPr>
  </w:style>
  <w:style w:type="character" w:customStyle="1" w:styleId="ListLabel27">
    <w:name w:val="ListLabel 27"/>
    <w:rPr>
      <w:rFonts w:cs="Symbol"/>
    </w:rPr>
  </w:style>
  <w:style w:type="character" w:customStyle="1" w:styleId="a3">
    <w:name w:val="комментарий"/>
    <w:rPr>
      <w:b/>
      <w:i/>
      <w:shd w:val="clear" w:color="auto" w:fill="FFFF99"/>
    </w:rPr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91">
    <w:name w:val="ListLabel 91"/>
    <w:rPr>
      <w:b w:val="0"/>
      <w:sz w:val="24"/>
      <w:szCs w:val="24"/>
    </w:rPr>
  </w:style>
  <w:style w:type="character" w:customStyle="1" w:styleId="ListLabel92">
    <w:name w:val="ListLabel 92"/>
    <w:rPr>
      <w:b w:val="0"/>
    </w:rPr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</w:style>
  <w:style w:type="character" w:customStyle="1" w:styleId="ListLabel101">
    <w:name w:val="ListLabel 101"/>
    <w:rPr>
      <w:sz w:val="24"/>
      <w:szCs w:val="24"/>
    </w:rPr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09">
    <w:name w:val="ListLabel 109"/>
    <w:rPr>
      <w:sz w:val="24"/>
      <w:szCs w:val="24"/>
    </w:rPr>
  </w:style>
  <w:style w:type="character" w:customStyle="1" w:styleId="ListLabel110">
    <w:name w:val="ListLabel 110"/>
  </w:style>
  <w:style w:type="character" w:customStyle="1" w:styleId="ListLabel111">
    <w:name w:val="ListLabel 111"/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  <w:rPr>
      <w:rFonts w:cs="Symbol"/>
    </w:rPr>
  </w:style>
  <w:style w:type="character" w:customStyle="1" w:styleId="ListLabel119">
    <w:name w:val="ListLabel 119"/>
    <w:rPr>
      <w:rFonts w:cs="Courier New"/>
    </w:rPr>
  </w:style>
  <w:style w:type="character" w:customStyle="1" w:styleId="ListLabel120">
    <w:name w:val="ListLabel 120"/>
    <w:rPr>
      <w:rFonts w:cs="Wingdings"/>
    </w:rPr>
  </w:style>
  <w:style w:type="character" w:customStyle="1" w:styleId="ListLabel121">
    <w:name w:val="ListLabel 121"/>
    <w:rPr>
      <w:rFonts w:cs="Symbol"/>
    </w:rPr>
  </w:style>
  <w:style w:type="character" w:customStyle="1" w:styleId="ListLabel122">
    <w:name w:val="ListLabel 122"/>
    <w:rPr>
      <w:rFonts w:cs="Courier New"/>
    </w:rPr>
  </w:style>
  <w:style w:type="character" w:customStyle="1" w:styleId="ListLabel123">
    <w:name w:val="ListLabel 123"/>
    <w:rPr>
      <w:rFonts w:cs="Wingdings"/>
    </w:rPr>
  </w:style>
  <w:style w:type="character" w:customStyle="1" w:styleId="ListLabel124">
    <w:name w:val="ListLabel 124"/>
    <w:rPr>
      <w:rFonts w:cs="Symbol"/>
    </w:rPr>
  </w:style>
  <w:style w:type="character" w:customStyle="1" w:styleId="ListLabel125">
    <w:name w:val="ListLabel 125"/>
    <w:rPr>
      <w:rFonts w:cs="Courier New"/>
    </w:rPr>
  </w:style>
  <w:style w:type="character" w:customStyle="1" w:styleId="ListLabel126">
    <w:name w:val="ListLabel 126"/>
    <w:rPr>
      <w:rFonts w:cs="Wingdings"/>
    </w:rPr>
  </w:style>
  <w:style w:type="character" w:customStyle="1" w:styleId="ListLabel127">
    <w:name w:val="ListLabel 127"/>
    <w:rPr>
      <w:rFonts w:cs="Symbol"/>
    </w:rPr>
  </w:style>
  <w:style w:type="character" w:customStyle="1" w:styleId="ListLabel128">
    <w:name w:val="ListLabel 128"/>
    <w:rPr>
      <w:rFonts w:cs="Courier New"/>
    </w:rPr>
  </w:style>
  <w:style w:type="character" w:customStyle="1" w:styleId="ListLabel129">
    <w:name w:val="ListLabel 129"/>
    <w:rPr>
      <w:rFonts w:cs="Wingdings"/>
    </w:rPr>
  </w:style>
  <w:style w:type="character" w:customStyle="1" w:styleId="ListLabel130">
    <w:name w:val="ListLabel 130"/>
    <w:rPr>
      <w:rFonts w:cs="Symbol"/>
    </w:rPr>
  </w:style>
  <w:style w:type="character" w:customStyle="1" w:styleId="ListLabel131">
    <w:name w:val="ListLabel 131"/>
    <w:rPr>
      <w:rFonts w:cs="Courier New"/>
    </w:rPr>
  </w:style>
  <w:style w:type="character" w:customStyle="1" w:styleId="ListLabel132">
    <w:name w:val="ListLabel 132"/>
    <w:rPr>
      <w:rFonts w:cs="Wingdings"/>
    </w:rPr>
  </w:style>
  <w:style w:type="character" w:customStyle="1" w:styleId="ListLabel133">
    <w:name w:val="ListLabel 133"/>
    <w:rPr>
      <w:rFonts w:cs="Symbol"/>
    </w:rPr>
  </w:style>
  <w:style w:type="character" w:customStyle="1" w:styleId="ListLabel134">
    <w:name w:val="ListLabel 134"/>
    <w:rPr>
      <w:rFonts w:cs="Courier New"/>
    </w:rPr>
  </w:style>
  <w:style w:type="character" w:customStyle="1" w:styleId="ListLabel135">
    <w:name w:val="ListLabel 135"/>
    <w:rPr>
      <w:rFonts w:cs="Wingdings"/>
    </w:rPr>
  </w:style>
  <w:style w:type="character" w:customStyle="1" w:styleId="ListLabel136">
    <w:name w:val="ListLabel 136"/>
    <w:rPr>
      <w:rFonts w:cs="Symbol"/>
    </w:rPr>
  </w:style>
  <w:style w:type="character" w:customStyle="1" w:styleId="ListLabel137">
    <w:name w:val="ListLabel 137"/>
    <w:rPr>
      <w:rFonts w:cs="Courier New"/>
    </w:rPr>
  </w:style>
  <w:style w:type="character" w:customStyle="1" w:styleId="ListLabel138">
    <w:name w:val="ListLabel 138"/>
    <w:rPr>
      <w:rFonts w:cs="Wingdings"/>
    </w:rPr>
  </w:style>
  <w:style w:type="character" w:customStyle="1" w:styleId="ListLabel139">
    <w:name w:val="ListLabel 139"/>
    <w:rPr>
      <w:rFonts w:cs="Symbol"/>
    </w:rPr>
  </w:style>
  <w:style w:type="character" w:customStyle="1" w:styleId="ListLabel140">
    <w:name w:val="ListLabel 140"/>
    <w:rPr>
      <w:rFonts w:cs="Courier New"/>
    </w:rPr>
  </w:style>
  <w:style w:type="character" w:customStyle="1" w:styleId="ListLabel141">
    <w:name w:val="ListLabel 141"/>
    <w:rPr>
      <w:rFonts w:cs="Wingdings"/>
    </w:rPr>
  </w:style>
  <w:style w:type="character" w:customStyle="1" w:styleId="ListLabel142">
    <w:name w:val="ListLabel 142"/>
    <w:rPr>
      <w:rFonts w:cs="Symbol"/>
    </w:rPr>
  </w:style>
  <w:style w:type="character" w:customStyle="1" w:styleId="ListLabel143">
    <w:name w:val="ListLabel 143"/>
    <w:rPr>
      <w:rFonts w:cs="Courier New"/>
    </w:rPr>
  </w:style>
  <w:style w:type="character" w:customStyle="1" w:styleId="ListLabel144">
    <w:name w:val="ListLabel 144"/>
    <w:rPr>
      <w:rFonts w:cs="Wingdings"/>
    </w:rPr>
  </w:style>
  <w:style w:type="character" w:customStyle="1" w:styleId="ListLabel73">
    <w:name w:val="ListLabel 73"/>
    <w:rPr>
      <w:rFonts w:cs="Symbol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Wingdings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rFonts w:cs="Courier New"/>
    </w:rPr>
  </w:style>
  <w:style w:type="character" w:customStyle="1" w:styleId="ListLabel78">
    <w:name w:val="ListLabel 78"/>
    <w:rPr>
      <w:rFonts w:cs="Wingdings"/>
    </w:rPr>
  </w:style>
  <w:style w:type="character" w:customStyle="1" w:styleId="ListLabel79">
    <w:name w:val="ListLabel 79"/>
    <w:rPr>
      <w:rFonts w:cs="Symbol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a4">
    <w:name w:val="Абзац списка Знак"/>
    <w:rPr>
      <w:rFonts w:eastAsia="Calibri"/>
      <w:sz w:val="24"/>
      <w:szCs w:val="24"/>
    </w:rPr>
  </w:style>
  <w:style w:type="character" w:styleId="a5">
    <w:name w:val="Emphasis"/>
    <w:qFormat/>
    <w:rPr>
      <w:i/>
      <w:iCs/>
    </w:rPr>
  </w:style>
  <w:style w:type="character" w:styleId="a6">
    <w:name w:val="Hyperlink"/>
    <w:rPr>
      <w:color w:val="0000FF"/>
      <w:u w:val="single"/>
    </w:rPr>
  </w:style>
  <w:style w:type="paragraph" w:customStyle="1" w:styleId="21">
    <w:name w:val="Заголовок2"/>
    <w:basedOn w:val="a"/>
    <w:next w:val="a7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2">
    <w:name w:val="Указатель1"/>
    <w:basedOn w:val="a"/>
    <w:pPr>
      <w:suppressLineNumbers/>
    </w:pPr>
    <w:rPr>
      <w:lang/>
    </w:rPr>
  </w:style>
  <w:style w:type="paragraph" w:customStyle="1" w:styleId="aa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d">
    <w:name w:val="Balloon Text"/>
    <w:basedOn w:val="a"/>
    <w:rPr>
      <w:rFonts w:ascii="Segoe UI" w:hAnsi="Segoe UI" w:cs="Segoe UI"/>
      <w:sz w:val="18"/>
      <w:szCs w:val="18"/>
      <w:lang w:val="x-none"/>
    </w:rPr>
  </w:style>
  <w:style w:type="paragraph" w:customStyle="1" w:styleId="ae">
    <w:name w:val="Содержимое таблицы"/>
    <w:basedOn w:val="a"/>
    <w:pPr>
      <w:widowControl w:val="0"/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styleId="af0">
    <w:name w:val="List Paragraph"/>
    <w:basedOn w:val="a"/>
    <w:qFormat/>
    <w:pPr>
      <w:ind w:left="720"/>
      <w:contextualSpacing/>
    </w:pPr>
    <w:rPr>
      <w:rFonts w:eastAsia="Calibri"/>
    </w:rPr>
  </w:style>
  <w:style w:type="paragraph" w:styleId="af1">
    <w:name w:val="Normal (Web)"/>
    <w:basedOn w:val="a"/>
    <w:pPr>
      <w:suppressAutoHyphens w:val="0"/>
      <w:spacing w:before="280" w:after="142" w:line="276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PAO Yakutskenergo</Company>
  <LinksUpToDate>false</LinksUpToDate>
  <CharactersWithSpaces>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Master</dc:creator>
  <cp:keywords/>
  <cp:lastModifiedBy>Котова Анна Сергеевна</cp:lastModifiedBy>
  <cp:revision>2</cp:revision>
  <cp:lastPrinted>2018-02-16T03:00:00Z</cp:lastPrinted>
  <dcterms:created xsi:type="dcterms:W3CDTF">2025-12-03T02:22:00Z</dcterms:created>
  <dcterms:modified xsi:type="dcterms:W3CDTF">2025-12-03T02:22:00Z</dcterms:modified>
</cp:coreProperties>
</file>