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7A" w:rsidRDefault="00067D7A">
      <w:pPr>
        <w:jc w:val="right"/>
        <w:rPr>
          <w:sz w:val="24"/>
          <w:szCs w:val="24"/>
        </w:rPr>
      </w:pPr>
    </w:p>
    <w:p w:rsidR="00067D7A" w:rsidRDefault="00067D7A">
      <w:pPr>
        <w:keepNext/>
        <w:keepLines/>
        <w:jc w:val="right"/>
        <w:rPr>
          <w:b/>
          <w:bCs/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rPr>
          <w:sz w:val="24"/>
          <w:szCs w:val="24"/>
        </w:rPr>
      </w:pPr>
    </w:p>
    <w:p w:rsidR="00067D7A" w:rsidRDefault="00067D7A">
      <w:pPr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067D7A">
      <w:pPr>
        <w:keepNext/>
        <w:keepLines/>
        <w:rPr>
          <w:sz w:val="24"/>
          <w:szCs w:val="24"/>
        </w:rPr>
      </w:pPr>
    </w:p>
    <w:p w:rsidR="00067D7A" w:rsidRDefault="008F660B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 w:rsidR="00067D7A" w:rsidRDefault="008F660B">
      <w:pPr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на выполнение работ:</w:t>
      </w:r>
    </w:p>
    <w:p w:rsidR="00067D7A" w:rsidRDefault="008F660B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ОКПД2 71.12.13.000 Проведение проектно-изыскательских работ для реконструкции ПС 35 </w:t>
      </w:r>
      <w:proofErr w:type="spellStart"/>
      <w:r>
        <w:rPr>
          <w:rFonts w:eastAsia="Calibri"/>
          <w:b/>
          <w:bCs/>
          <w:sz w:val="24"/>
          <w:szCs w:val="24"/>
        </w:rPr>
        <w:t>кВ</w:t>
      </w:r>
      <w:proofErr w:type="spellEnd"/>
      <w:r>
        <w:rPr>
          <w:rFonts w:eastAsia="Calibri"/>
          <w:b/>
          <w:bCs/>
          <w:sz w:val="24"/>
          <w:szCs w:val="24"/>
        </w:rPr>
        <w:t xml:space="preserve"> Табага </w:t>
      </w:r>
      <w:proofErr w:type="spellStart"/>
      <w:r>
        <w:rPr>
          <w:rFonts w:eastAsia="Calibri"/>
          <w:b/>
          <w:bCs/>
          <w:sz w:val="24"/>
          <w:szCs w:val="24"/>
        </w:rPr>
        <w:t>Майинского</w:t>
      </w:r>
      <w:proofErr w:type="spellEnd"/>
      <w:r>
        <w:rPr>
          <w:rFonts w:eastAsia="Calibri"/>
          <w:b/>
          <w:bCs/>
          <w:sz w:val="24"/>
          <w:szCs w:val="24"/>
        </w:rPr>
        <w:t xml:space="preserve"> РЭС для нужд Центральных электрических сетей в рамках инвестиционного проекта P_508-92406</w:t>
      </w:r>
    </w:p>
    <w:p w:rsidR="00067D7A" w:rsidRDefault="008F660B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bookmarkStart w:id="0" w:name="_GoBack"/>
      <w:bookmarkEnd w:id="0"/>
      <w:r>
        <w:rPr>
          <w:rFonts w:eastAsia="Calibri"/>
          <w:b/>
          <w:bCs/>
          <w:sz w:val="24"/>
          <w:szCs w:val="24"/>
        </w:rPr>
        <w:t>Лот №</w:t>
      </w:r>
      <w:r>
        <w:rPr>
          <w:rFonts w:eastAsia="Calibri"/>
          <w:b/>
          <w:bCs/>
          <w:sz w:val="24"/>
          <w:szCs w:val="24"/>
          <w:u w:val="single"/>
        </w:rPr>
        <w:t>18901-ТПИР ОБСЛ-2026-ЯЭ</w:t>
      </w:r>
    </w:p>
    <w:p w:rsidR="00067D7A" w:rsidRDefault="00067D7A">
      <w:pPr>
        <w:keepNext/>
        <w:keepLines/>
        <w:jc w:val="center"/>
        <w:rPr>
          <w:sz w:val="24"/>
          <w:szCs w:val="24"/>
        </w:rPr>
      </w:pPr>
    </w:p>
    <w:p w:rsidR="00067D7A" w:rsidRDefault="008F660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067D7A" w:rsidRDefault="008F66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-35435583"/>
        <w:docPartObj>
          <w:docPartGallery w:val="Table of Contents"/>
          <w:docPartUnique/>
        </w:docPartObj>
      </w:sdtPr>
      <w:sdtContent>
        <w:p w:rsidR="00067D7A" w:rsidRDefault="008F660B">
          <w:pPr>
            <w:pStyle w:val="2b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e"/>
            </w:rPr>
            <w:instrText xml:space="preserve"> TOC \o "1-4" \h</w:instrText>
          </w:r>
          <w:r>
            <w:rPr>
              <w:rStyle w:val="affe"/>
            </w:rPr>
            <w:fldChar w:fldCharType="separate"/>
          </w:r>
          <w:hyperlink w:anchor="__RefHeading___Toc8272_4098624048">
            <w:r>
              <w:rPr>
                <w:rStyle w:val="affe"/>
              </w:rPr>
              <w:t>1. Общие сведения</w:t>
            </w:r>
            <w:r>
              <w:rPr>
                <w:rStyle w:val="affe"/>
              </w:rPr>
              <w:tab/>
              <w:t>3</w:t>
            </w:r>
          </w:hyperlink>
        </w:p>
        <w:p w:rsidR="00067D7A" w:rsidRDefault="00660E5B">
          <w:pPr>
            <w:pStyle w:val="42"/>
            <w:tabs>
              <w:tab w:val="right" w:leader="dot" w:pos="9921"/>
            </w:tabs>
          </w:pPr>
          <w:hyperlink w:anchor="__RefHeading___Toc8274_4098624048">
            <w:r w:rsidR="008F660B">
              <w:rPr>
                <w:rStyle w:val="affe"/>
              </w:rPr>
              <w:t>1.1 Обозначения и сокращения</w:t>
            </w:r>
            <w:r w:rsidR="008F660B">
              <w:rPr>
                <w:rStyle w:val="affe"/>
              </w:rPr>
              <w:tab/>
              <w:t>3</w:t>
            </w:r>
          </w:hyperlink>
        </w:p>
        <w:p w:rsidR="00067D7A" w:rsidRDefault="00660E5B">
          <w:pPr>
            <w:pStyle w:val="42"/>
            <w:tabs>
              <w:tab w:val="right" w:leader="dot" w:pos="9921"/>
            </w:tabs>
          </w:pPr>
          <w:hyperlink w:anchor="__RefHeading___Toc8276_4098624048">
            <w:r w:rsidR="008F660B">
              <w:rPr>
                <w:rStyle w:val="affe"/>
              </w:rPr>
              <w:t>1.2 Наименование закупаемой продукции</w:t>
            </w:r>
            <w:r w:rsidR="008F660B">
              <w:rPr>
                <w:rStyle w:val="affe"/>
              </w:rPr>
              <w:tab/>
              <w:t>4</w:t>
            </w:r>
          </w:hyperlink>
        </w:p>
        <w:p w:rsidR="00067D7A" w:rsidRDefault="00660E5B">
          <w:pPr>
            <w:pStyle w:val="42"/>
            <w:tabs>
              <w:tab w:val="right" w:leader="dot" w:pos="9921"/>
            </w:tabs>
          </w:pPr>
          <w:hyperlink w:anchor="__RefHeading___Toc8278_4098624048">
            <w:r w:rsidR="008F660B">
              <w:rPr>
                <w:rStyle w:val="affe"/>
              </w:rPr>
              <w:t>1.3 Цель оказания услуг</w:t>
            </w:r>
            <w:r w:rsidR="008F660B">
              <w:rPr>
                <w:rStyle w:val="affe"/>
              </w:rPr>
              <w:tab/>
              <w:t>4</w:t>
            </w:r>
          </w:hyperlink>
        </w:p>
        <w:p w:rsidR="00067D7A" w:rsidRDefault="00660E5B">
          <w:pPr>
            <w:pStyle w:val="42"/>
            <w:tabs>
              <w:tab w:val="right" w:leader="dot" w:pos="9921"/>
            </w:tabs>
          </w:pPr>
          <w:hyperlink w:anchor="__RefHeading___Toc8280_4098624048">
            <w:r w:rsidR="008F660B">
              <w:rPr>
                <w:rStyle w:val="affe"/>
              </w:rPr>
              <w:t>1.4 Существующее положение</w:t>
            </w:r>
            <w:r w:rsidR="008F660B">
              <w:rPr>
                <w:rStyle w:val="affe"/>
              </w:rPr>
              <w:tab/>
              <w:t>4</w:t>
            </w:r>
          </w:hyperlink>
        </w:p>
        <w:p w:rsidR="00067D7A" w:rsidRDefault="00660E5B">
          <w:pPr>
            <w:pStyle w:val="42"/>
            <w:tabs>
              <w:tab w:val="right" w:leader="dot" w:pos="9921"/>
            </w:tabs>
          </w:pPr>
          <w:hyperlink w:anchor="__RefHeading___Toc8282_4098624048">
            <w:r w:rsidR="008F660B">
              <w:rPr>
                <w:rStyle w:val="affe"/>
              </w:rPr>
              <w:t>1.5 Информация в отношении исполнения договора, которая должна быть учтена при подготовке заявки.</w:t>
            </w:r>
            <w:r w:rsidR="008F660B">
              <w:rPr>
                <w:rStyle w:val="affe"/>
              </w:rPr>
              <w:tab/>
              <w:t>4</w:t>
            </w:r>
          </w:hyperlink>
        </w:p>
        <w:p w:rsidR="00067D7A" w:rsidRDefault="00660E5B">
          <w:pPr>
            <w:pStyle w:val="2b"/>
            <w:tabs>
              <w:tab w:val="right" w:leader="dot" w:pos="9921"/>
            </w:tabs>
          </w:pPr>
          <w:hyperlink w:anchor="__RefHeading___Toc8284_4098624048">
            <w:r w:rsidR="008F660B">
              <w:rPr>
                <w:rStyle w:val="affe"/>
              </w:rPr>
              <w:t>2. Требования к продукции</w:t>
            </w:r>
            <w:r w:rsidR="008F660B">
              <w:rPr>
                <w:rStyle w:val="affe"/>
              </w:rPr>
              <w:tab/>
              <w:t>5</w:t>
            </w:r>
          </w:hyperlink>
        </w:p>
        <w:p w:rsidR="00067D7A" w:rsidRDefault="00660E5B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8286_4098624048">
            <w:r w:rsidR="008F660B">
              <w:rPr>
                <w:rStyle w:val="affe"/>
              </w:rPr>
              <w:t>2.1. Требования к объемам и срокам выполнения работ</w:t>
            </w:r>
            <w:r w:rsidR="008F660B">
              <w:rPr>
                <w:rStyle w:val="affe"/>
              </w:rPr>
              <w:tab/>
              <w:t>5</w:t>
            </w:r>
          </w:hyperlink>
        </w:p>
        <w:p w:rsidR="00067D7A" w:rsidRDefault="00660E5B">
          <w:pPr>
            <w:pStyle w:val="42"/>
            <w:tabs>
              <w:tab w:val="right" w:leader="dot" w:pos="9921"/>
            </w:tabs>
          </w:pPr>
          <w:hyperlink w:anchor="__RefHeading___Toc8288_4098624048">
            <w:r w:rsidR="008F660B">
              <w:rPr>
                <w:rStyle w:val="affe"/>
              </w:rPr>
              <w:t>2.1.1 Требования к видам и объемам работ</w:t>
            </w:r>
            <w:r w:rsidR="008F660B">
              <w:rPr>
                <w:rStyle w:val="affe"/>
              </w:rPr>
              <w:tab/>
              <w:t>5</w:t>
            </w:r>
          </w:hyperlink>
        </w:p>
        <w:p w:rsidR="00067D7A" w:rsidRDefault="00660E5B">
          <w:pPr>
            <w:pStyle w:val="42"/>
            <w:tabs>
              <w:tab w:val="right" w:leader="dot" w:pos="9921"/>
            </w:tabs>
          </w:pPr>
          <w:hyperlink w:anchor="__RefHeading___Toc8292_4098624048">
            <w:r w:rsidR="008F660B">
              <w:rPr>
                <w:rStyle w:val="affe"/>
              </w:rPr>
              <w:t>2.1.2 Требования к срокам выполнения работ</w:t>
            </w:r>
            <w:r w:rsidR="008F660B">
              <w:rPr>
                <w:rStyle w:val="affe"/>
              </w:rPr>
              <w:tab/>
            </w:r>
          </w:hyperlink>
          <w:r w:rsidR="008F660B">
            <w:t>6</w:t>
          </w:r>
        </w:p>
        <w:p w:rsidR="00067D7A" w:rsidRDefault="00660E5B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8294_4098624048">
            <w:r w:rsidR="008F660B">
              <w:rPr>
                <w:rStyle w:val="affe"/>
              </w:rPr>
              <w:t>2.2 Требования к качеству работ</w:t>
            </w:r>
            <w:r w:rsidR="008F660B">
              <w:rPr>
                <w:rStyle w:val="affe"/>
              </w:rPr>
              <w:tab/>
            </w:r>
          </w:hyperlink>
          <w:r w:rsidR="008F660B">
            <w:t>7</w:t>
          </w:r>
        </w:p>
        <w:p w:rsidR="00067D7A" w:rsidRDefault="00660E5B">
          <w:pPr>
            <w:pStyle w:val="2b"/>
            <w:tabs>
              <w:tab w:val="right" w:leader="dot" w:pos="9921"/>
            </w:tabs>
          </w:pPr>
          <w:hyperlink w:anchor="__RefHeading___Toc8296_4098624048">
            <w:r w:rsidR="008F660B">
              <w:rPr>
                <w:rStyle w:val="affe"/>
              </w:rPr>
              <w:t xml:space="preserve">3. </w:t>
            </w:r>
            <w:r w:rsidR="008F660B">
              <w:rPr>
                <w:rStyle w:val="affe"/>
                <w:iCs/>
              </w:rPr>
              <w:t>Требования к документации по ценообразованию на этапе закупки</w:t>
            </w:r>
            <w:r w:rsidR="008F660B">
              <w:rPr>
                <w:rStyle w:val="affe"/>
              </w:rPr>
              <w:tab/>
              <w:t>1</w:t>
            </w:r>
          </w:hyperlink>
          <w:r w:rsidR="008F660B">
            <w:t>5</w:t>
          </w:r>
        </w:p>
        <w:p w:rsidR="00067D7A" w:rsidRDefault="00660E5B">
          <w:pPr>
            <w:pStyle w:val="2b"/>
            <w:tabs>
              <w:tab w:val="right" w:leader="dot" w:pos="9921"/>
            </w:tabs>
          </w:pPr>
          <w:hyperlink w:anchor="__RefHeading___Toc8298_4098624048">
            <w:r w:rsidR="008F660B">
              <w:rPr>
                <w:rStyle w:val="affe"/>
                <w:iCs/>
              </w:rPr>
              <w:t>4. Приложения</w:t>
            </w:r>
            <w:r w:rsidR="008F660B">
              <w:rPr>
                <w:rStyle w:val="affe"/>
              </w:rPr>
              <w:tab/>
              <w:t>1</w:t>
            </w:r>
          </w:hyperlink>
          <w:r w:rsidR="008F660B">
            <w:t>5</w:t>
          </w:r>
          <w:r w:rsidR="008F660B">
            <w:fldChar w:fldCharType="end"/>
          </w:r>
        </w:p>
      </w:sdtContent>
    </w:sdt>
    <w:p w:rsidR="00067D7A" w:rsidRDefault="00067D7A">
      <w:pPr>
        <w:pStyle w:val="2b"/>
        <w:tabs>
          <w:tab w:val="right" w:leader="dot" w:pos="9921"/>
        </w:tabs>
      </w:pPr>
    </w:p>
    <w:p w:rsidR="00067D7A" w:rsidRDefault="00067D7A">
      <w:pPr>
        <w:rPr>
          <w:b/>
          <w:sz w:val="24"/>
          <w:szCs w:val="24"/>
        </w:rPr>
      </w:pPr>
    </w:p>
    <w:p w:rsidR="00067D7A" w:rsidRDefault="008F660B">
      <w:pPr>
        <w:rPr>
          <w:sz w:val="24"/>
          <w:szCs w:val="24"/>
        </w:rPr>
      </w:pPr>
      <w:bookmarkStart w:id="1" w:name="__RefHeading___Toc15821_2903166146"/>
      <w:bookmarkEnd w:id="1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7D7A" w:rsidRDefault="008F660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067D7A" w:rsidRDefault="008F660B">
      <w:pPr>
        <w:pStyle w:val="22"/>
        <w:numPr>
          <w:ilvl w:val="2"/>
          <w:numId w:val="8"/>
        </w:numPr>
        <w:ind w:right="-397" w:hanging="363"/>
        <w:rPr>
          <w:lang w:val="ru-RU"/>
        </w:rPr>
      </w:pPr>
      <w:bookmarkStart w:id="2" w:name="__RefHeading___Toc8272_4098624048"/>
      <w:bookmarkStart w:id="3" w:name="_Toc54646395"/>
      <w:bookmarkStart w:id="4" w:name="_Toc147320077"/>
      <w:bookmarkStart w:id="5" w:name="_Toc51339692"/>
      <w:bookmarkEnd w:id="2"/>
      <w:r>
        <w:lastRenderedPageBreak/>
        <w:t>Общие сведения</w:t>
      </w:r>
      <w:bookmarkEnd w:id="3"/>
      <w:bookmarkEnd w:id="4"/>
      <w:bookmarkEnd w:id="5"/>
    </w:p>
    <w:p w:rsidR="00067D7A" w:rsidRDefault="008F660B">
      <w:pPr>
        <w:pStyle w:val="40"/>
        <w:numPr>
          <w:ilvl w:val="2"/>
          <w:numId w:val="3"/>
        </w:numPr>
        <w:rPr>
          <w:lang w:val="ru-RU"/>
        </w:rPr>
      </w:pPr>
      <w:bookmarkStart w:id="6" w:name="__RefHeading___Toc8274_4098624048"/>
      <w:bookmarkStart w:id="7" w:name="_Toc147320078"/>
      <w:bookmarkEnd w:id="6"/>
      <w:r>
        <w:t>Обозначения</w:t>
      </w:r>
      <w:bookmarkStart w:id="8" w:name="_Toc46743505"/>
      <w:bookmarkStart w:id="9" w:name="_Toc54646396"/>
      <w:r>
        <w:t xml:space="preserve"> и сокращения</w:t>
      </w:r>
      <w:bookmarkEnd w:id="7"/>
      <w:bookmarkEnd w:id="8"/>
      <w:bookmarkEnd w:id="9"/>
    </w:p>
    <w:p w:rsidR="00067D7A" w:rsidRDefault="00067D7A">
      <w:pPr>
        <w:rPr>
          <w:rStyle w:val="aff3"/>
          <w:b w:val="0"/>
          <w:bCs/>
          <w:iCs/>
          <w:sz w:val="26"/>
          <w:szCs w:val="26"/>
        </w:rPr>
      </w:pPr>
    </w:p>
    <w:tbl>
      <w:tblPr>
        <w:tblW w:w="10024" w:type="dxa"/>
        <w:jc w:val="center"/>
        <w:tblLayout w:type="fixed"/>
        <w:tblLook w:val="0000" w:firstRow="0" w:lastRow="0" w:firstColumn="0" w:lastColumn="0" w:noHBand="0" w:noVBand="0"/>
      </w:tblPr>
      <w:tblGrid>
        <w:gridCol w:w="1689"/>
        <w:gridCol w:w="8335"/>
      </w:tblGrid>
      <w:tr w:rsidR="00067D7A">
        <w:trPr>
          <w:cantSplit/>
          <w:trHeight w:hRule="exact" w:val="817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pStyle w:val="affff"/>
              <w:widowControl w:val="0"/>
              <w:tabs>
                <w:tab w:val="left" w:pos="426"/>
              </w:tabs>
              <w:spacing w:before="120" w:after="120" w:line="276" w:lineRule="auto"/>
              <w:jc w:val="both"/>
            </w:pPr>
            <w:r>
              <w:rPr>
                <w:b/>
              </w:rPr>
              <w:t xml:space="preserve">АИИС КУЭ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pStyle w:val="affff"/>
              <w:widowControl w:val="0"/>
              <w:tabs>
                <w:tab w:val="left" w:pos="426"/>
              </w:tabs>
              <w:spacing w:before="120" w:after="120" w:line="276" w:lineRule="auto"/>
              <w:jc w:val="both"/>
            </w:pPr>
            <w:r>
              <w:t>Автоматизированная информационно-измерительная система коммерческого учета электроэнергии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ВЛ</w:t>
            </w:r>
          </w:p>
        </w:tc>
        <w:tc>
          <w:tcPr>
            <w:tcW w:w="8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Воздушная линия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ВН</w:t>
            </w:r>
          </w:p>
        </w:tc>
        <w:tc>
          <w:tcPr>
            <w:tcW w:w="8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Высокое напряжение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КРУН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Комплектные распределительные устройства наружной установки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ЛС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Локальная смета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ЛЭП</w:t>
            </w:r>
          </w:p>
        </w:tc>
        <w:tc>
          <w:tcPr>
            <w:tcW w:w="8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Линия электропередачи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НН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Низкое напряжение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НТД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ОРУ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ПАО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ПД</w:t>
            </w:r>
          </w:p>
        </w:tc>
        <w:tc>
          <w:tcPr>
            <w:tcW w:w="8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Проектная документация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ПИР</w:t>
            </w:r>
          </w:p>
        </w:tc>
        <w:tc>
          <w:tcPr>
            <w:tcW w:w="8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Проектно-изыскательские работы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ПОС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Проект организации строительства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ПС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Подстанция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ПУЭ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РД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Руководящие документы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РУ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Распределительное устройство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СНБ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Сметно-нормативная база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СОПТ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Система оперативного постоянного тока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СОТ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Система оперативного тока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СП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Свод правил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СРО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Саморегулируемая организация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ССР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Сводный сметный расчет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ССЦ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Средние сметные цены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ТБ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Техника безопасности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ТТ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ФЗ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 w:rsidR="00067D7A">
        <w:trPr>
          <w:cantSplit/>
          <w:trHeight w:hRule="exact" w:val="454"/>
          <w:jc w:val="center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/>
                <w:sz w:val="24"/>
                <w:szCs w:val="24"/>
              </w:rPr>
              <w:t>ЦЭС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Центральные электрические сети (Филиал ПАО «Якутскэнерго»)</w:t>
            </w:r>
          </w:p>
        </w:tc>
      </w:tr>
    </w:tbl>
    <w:p w:rsidR="00067D7A" w:rsidRDefault="008F660B">
      <w:pPr>
        <w:pStyle w:val="40"/>
        <w:numPr>
          <w:ilvl w:val="2"/>
          <w:numId w:val="3"/>
        </w:numPr>
      </w:pPr>
      <w:bookmarkStart w:id="10" w:name="__RefHeading___Toc8276_4098624048"/>
      <w:bookmarkStart w:id="11" w:name="_Toc147320079"/>
      <w:bookmarkStart w:id="12" w:name="_Toc54646397"/>
      <w:bookmarkStart w:id="13" w:name="_Toc46743506"/>
      <w:bookmarkEnd w:id="10"/>
      <w:r>
        <w:lastRenderedPageBreak/>
        <w:t>Наименование закупаемой продукции</w:t>
      </w:r>
      <w:bookmarkEnd w:id="11"/>
      <w:bookmarkEnd w:id="12"/>
      <w:bookmarkEnd w:id="13"/>
    </w:p>
    <w:p w:rsidR="00067D7A" w:rsidRDefault="008F660B">
      <w:pPr>
        <w:ind w:firstLine="709"/>
        <w:jc w:val="both"/>
      </w:pPr>
      <w:r>
        <w:rPr>
          <w:color w:val="000000"/>
          <w:sz w:val="24"/>
          <w:szCs w:val="24"/>
        </w:rPr>
        <w:t xml:space="preserve">ОКПД2 71.12.13.000 Проведение проектно-изыскательских работ для реконструкции ПС 35 </w:t>
      </w:r>
      <w:proofErr w:type="spellStart"/>
      <w:r>
        <w:rPr>
          <w:color w:val="000000"/>
          <w:sz w:val="24"/>
          <w:szCs w:val="24"/>
        </w:rPr>
        <w:t>кВ</w:t>
      </w:r>
      <w:proofErr w:type="spellEnd"/>
      <w:r>
        <w:rPr>
          <w:color w:val="000000"/>
          <w:sz w:val="24"/>
          <w:szCs w:val="24"/>
        </w:rPr>
        <w:t xml:space="preserve"> Табага </w:t>
      </w:r>
      <w:proofErr w:type="spellStart"/>
      <w:r>
        <w:rPr>
          <w:color w:val="000000"/>
          <w:sz w:val="24"/>
          <w:szCs w:val="24"/>
        </w:rPr>
        <w:t>Майинского</w:t>
      </w:r>
      <w:proofErr w:type="spellEnd"/>
      <w:r>
        <w:rPr>
          <w:color w:val="000000"/>
          <w:sz w:val="24"/>
          <w:szCs w:val="24"/>
        </w:rPr>
        <w:t xml:space="preserve"> РЭС для нужд Центральных электрических сетей в рамках инвестиционного проекта P_508-92406</w:t>
      </w:r>
    </w:p>
    <w:p w:rsidR="00067D7A" w:rsidRDefault="008F660B">
      <w:pPr>
        <w:pStyle w:val="40"/>
        <w:numPr>
          <w:ilvl w:val="2"/>
          <w:numId w:val="3"/>
        </w:numPr>
      </w:pPr>
      <w:bookmarkStart w:id="14" w:name="__RefHeading___Toc8278_4098624048"/>
      <w:bookmarkStart w:id="15" w:name="_Toc147320080"/>
      <w:bookmarkEnd w:id="14"/>
      <w:r>
        <w:t>Цель</w:t>
      </w:r>
      <w:bookmarkStart w:id="16" w:name="_Toc46743507"/>
      <w:bookmarkStart w:id="17" w:name="_Toc54646398"/>
      <w:r>
        <w:t xml:space="preserve"> </w:t>
      </w:r>
      <w:bookmarkEnd w:id="16"/>
      <w:r>
        <w:rPr>
          <w:lang w:val="ru-RU"/>
        </w:rPr>
        <w:t>оказания услуг</w:t>
      </w:r>
      <w:bookmarkEnd w:id="15"/>
      <w:bookmarkEnd w:id="17"/>
    </w:p>
    <w:p w:rsidR="00067D7A" w:rsidRDefault="008F660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Выполнение проектно-изыскательских работ для реконструкции </w:t>
      </w:r>
      <w:r>
        <w:rPr>
          <w:rFonts w:eastAsia="Calibri" w:cs="Calibri"/>
          <w:color w:val="000000"/>
          <w:sz w:val="24"/>
          <w:szCs w:val="24"/>
        </w:rPr>
        <w:t xml:space="preserve">ПС 35 </w:t>
      </w:r>
      <w:proofErr w:type="spellStart"/>
      <w:r>
        <w:rPr>
          <w:rFonts w:eastAsia="Calibri" w:cs="Calibri"/>
          <w:color w:val="000000"/>
          <w:sz w:val="24"/>
          <w:szCs w:val="24"/>
        </w:rPr>
        <w:t>кВ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Табага</w:t>
      </w:r>
      <w:r>
        <w:rPr>
          <w:rFonts w:eastAsia="Calibri" w:cs="Calibri"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в целях обеспечения надежности электроснабжения потребителей.</w:t>
      </w:r>
    </w:p>
    <w:p w:rsidR="00067D7A" w:rsidRDefault="008F660B">
      <w:pPr>
        <w:pStyle w:val="40"/>
        <w:numPr>
          <w:ilvl w:val="2"/>
          <w:numId w:val="3"/>
        </w:numPr>
      </w:pPr>
      <w:bookmarkStart w:id="18" w:name="__RefHeading___Toc8280_4098624048"/>
      <w:bookmarkStart w:id="19" w:name="_Toc147320081"/>
      <w:bookmarkStart w:id="20" w:name="_Toc54646399"/>
      <w:bookmarkStart w:id="21" w:name="_Toc46743508"/>
      <w:bookmarkEnd w:id="18"/>
      <w:r>
        <w:rPr>
          <w:color w:val="000000"/>
        </w:rPr>
        <w:t>Су</w:t>
      </w:r>
      <w:r>
        <w:t>ществующее положение</w:t>
      </w:r>
      <w:bookmarkStart w:id="22" w:name="_Toc54646400"/>
      <w:bookmarkEnd w:id="19"/>
      <w:bookmarkEnd w:id="20"/>
      <w:bookmarkEnd w:id="21"/>
    </w:p>
    <w:p w:rsidR="00067D7A" w:rsidRDefault="008F660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Место производства работ:</w:t>
      </w:r>
    </w:p>
    <w:p w:rsidR="00067D7A" w:rsidRDefault="008F660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Республика Саха (Якутия), </w:t>
      </w:r>
      <w:proofErr w:type="spellStart"/>
      <w:r>
        <w:rPr>
          <w:rFonts w:eastAsia="Calibri"/>
          <w:sz w:val="24"/>
          <w:szCs w:val="24"/>
        </w:rPr>
        <w:t>Мегино-Кангаласский</w:t>
      </w:r>
      <w:proofErr w:type="spellEnd"/>
      <w:r>
        <w:rPr>
          <w:rFonts w:eastAsia="Calibri"/>
          <w:sz w:val="24"/>
          <w:szCs w:val="24"/>
        </w:rPr>
        <w:t xml:space="preserve"> улус (район), </w:t>
      </w:r>
      <w:proofErr w:type="spellStart"/>
      <w:r>
        <w:rPr>
          <w:rFonts w:eastAsia="Calibri"/>
          <w:sz w:val="24"/>
          <w:szCs w:val="24"/>
        </w:rPr>
        <w:t>с.Табага</w:t>
      </w:r>
      <w:proofErr w:type="spellEnd"/>
      <w:r>
        <w:rPr>
          <w:rFonts w:eastAsia="Calibri"/>
          <w:sz w:val="24"/>
          <w:szCs w:val="24"/>
        </w:rPr>
        <w:t xml:space="preserve">, </w:t>
      </w:r>
      <w:proofErr w:type="spellStart"/>
      <w:r>
        <w:rPr>
          <w:rFonts w:eastAsia="Calibri"/>
          <w:sz w:val="24"/>
          <w:szCs w:val="24"/>
        </w:rPr>
        <w:t>Майинский</w:t>
      </w:r>
      <w:proofErr w:type="spellEnd"/>
      <w:r>
        <w:rPr>
          <w:rFonts w:eastAsia="Calibri"/>
          <w:sz w:val="24"/>
          <w:szCs w:val="24"/>
        </w:rPr>
        <w:t xml:space="preserve"> РЭС.</w:t>
      </w:r>
    </w:p>
    <w:p w:rsidR="00067D7A" w:rsidRDefault="008F660B">
      <w:pPr>
        <w:ind w:firstLine="709"/>
        <w:jc w:val="both"/>
      </w:pPr>
      <w:r>
        <w:rPr>
          <w:sz w:val="24"/>
          <w:szCs w:val="24"/>
        </w:rPr>
        <w:t>Основание проведения работ:</w:t>
      </w:r>
    </w:p>
    <w:p w:rsidR="00067D7A" w:rsidRDefault="008F660B">
      <w:pPr>
        <w:ind w:firstLine="737"/>
        <w:jc w:val="both"/>
      </w:pPr>
      <w:r>
        <w:rPr>
          <w:sz w:val="24"/>
          <w:szCs w:val="24"/>
        </w:rPr>
        <w:t>- Инвестиционная программа ПАО «Якутскэнерго» на 2025-2030 гг.</w:t>
      </w:r>
    </w:p>
    <w:p w:rsidR="00067D7A" w:rsidRDefault="008F660B">
      <w:pPr>
        <w:widowControl w:val="0"/>
        <w:tabs>
          <w:tab w:val="left" w:pos="735"/>
          <w:tab w:val="left" w:pos="1260"/>
          <w:tab w:val="left" w:pos="7803"/>
        </w:tabs>
        <w:ind w:right="-1"/>
        <w:jc w:val="both"/>
      </w:pPr>
      <w:r>
        <w:rPr>
          <w:sz w:val="24"/>
          <w:szCs w:val="24"/>
        </w:rPr>
        <w:tab/>
        <w:t xml:space="preserve">- </w:t>
      </w:r>
      <w:r>
        <w:rPr>
          <w:rFonts w:eastAsia="Calibri"/>
          <w:sz w:val="24"/>
          <w:szCs w:val="24"/>
        </w:rPr>
        <w:t xml:space="preserve">Ежегодно происходит процесс разрушения (эрозии) береговой линии </w:t>
      </w:r>
      <w:proofErr w:type="gramStart"/>
      <w:r>
        <w:rPr>
          <w:rFonts w:eastAsia="Calibri"/>
          <w:sz w:val="24"/>
          <w:szCs w:val="24"/>
        </w:rPr>
        <w:t>озера  с</w:t>
      </w:r>
      <w:proofErr w:type="gramEnd"/>
      <w:r>
        <w:rPr>
          <w:rFonts w:eastAsia="Calibri"/>
          <w:sz w:val="24"/>
          <w:szCs w:val="24"/>
        </w:rPr>
        <w:t xml:space="preserve"> левой стороны территории ПС, что приводит к  осадке порталов</w:t>
      </w:r>
    </w:p>
    <w:p w:rsidR="00067D7A" w:rsidRDefault="00067D7A">
      <w:pPr>
        <w:widowControl w:val="0"/>
        <w:tabs>
          <w:tab w:val="left" w:pos="735"/>
          <w:tab w:val="left" w:pos="1260"/>
          <w:tab w:val="left" w:pos="7803"/>
        </w:tabs>
        <w:ind w:right="-1"/>
        <w:jc w:val="both"/>
        <w:rPr>
          <w:rFonts w:eastAsia="Calibri"/>
          <w:sz w:val="24"/>
          <w:szCs w:val="24"/>
          <w:shd w:val="clear" w:color="auto" w:fill="FFFF00"/>
        </w:rPr>
      </w:pPr>
    </w:p>
    <w:p w:rsidR="00067D7A" w:rsidRDefault="008F660B">
      <w:pPr>
        <w:pStyle w:val="40"/>
        <w:numPr>
          <w:ilvl w:val="2"/>
          <w:numId w:val="3"/>
        </w:numPr>
        <w:rPr>
          <w:b w:val="0"/>
          <w:bCs w:val="0"/>
          <w:sz w:val="20"/>
          <w:szCs w:val="20"/>
        </w:rPr>
      </w:pPr>
      <w:bookmarkStart w:id="23" w:name="__RefHeading___Toc8282_4098624048"/>
      <w:bookmarkStart w:id="24" w:name="_Toc147320082"/>
      <w:bookmarkEnd w:id="23"/>
      <w:r>
        <w:t>Информация в отношении исполнения договора, которая должна быть учтена при подготовке заявки.</w:t>
      </w:r>
      <w:bookmarkEnd w:id="24"/>
    </w:p>
    <w:p w:rsidR="00067D7A" w:rsidRDefault="008F660B">
      <w:pPr>
        <w:ind w:firstLine="709"/>
        <w:jc w:val="both"/>
      </w:pPr>
      <w:r>
        <w:rPr>
          <w:sz w:val="24"/>
          <w:szCs w:val="24"/>
        </w:rPr>
        <w:t>- Перебазировка транспорта, людей, спецтехники и материалов до места проведения работ осуществляется наземным видом транспорта;</w:t>
      </w:r>
    </w:p>
    <w:p w:rsidR="00067D7A" w:rsidRDefault="008F660B">
      <w:pPr>
        <w:rPr>
          <w:sz w:val="24"/>
          <w:szCs w:val="24"/>
        </w:rPr>
      </w:pPr>
      <w:r>
        <w:rPr>
          <w:sz w:val="24"/>
          <w:szCs w:val="24"/>
        </w:rPr>
        <w:tab/>
        <w:t>- Сбор исходных данных касательно объекта строительства и согласование с Заявителем осуществляет Подрядчик;</w:t>
      </w:r>
    </w:p>
    <w:p w:rsidR="00067D7A" w:rsidRDefault="008F660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Выкопировка</w:t>
      </w:r>
      <w:proofErr w:type="spellEnd"/>
      <w:r>
        <w:rPr>
          <w:sz w:val="24"/>
          <w:szCs w:val="24"/>
        </w:rPr>
        <w:t xml:space="preserve"> с топографической основы (с кадастровыми границами) заказывается подрядчиком с МБУ «</w:t>
      </w:r>
      <w:proofErr w:type="spellStart"/>
      <w:r>
        <w:rPr>
          <w:sz w:val="24"/>
          <w:szCs w:val="24"/>
        </w:rPr>
        <w:t>ГлавАПУ</w:t>
      </w:r>
      <w:proofErr w:type="spellEnd"/>
      <w:r>
        <w:rPr>
          <w:sz w:val="24"/>
          <w:szCs w:val="24"/>
        </w:rPr>
        <w:t xml:space="preserve">» (в случае, если необходима </w:t>
      </w:r>
      <w:proofErr w:type="spellStart"/>
      <w:r>
        <w:rPr>
          <w:sz w:val="24"/>
          <w:szCs w:val="24"/>
        </w:rPr>
        <w:t>топооснова</w:t>
      </w:r>
      <w:proofErr w:type="spellEnd"/>
      <w:r>
        <w:rPr>
          <w:sz w:val="24"/>
          <w:szCs w:val="24"/>
        </w:rPr>
        <w:t xml:space="preserve"> от МБУ "</w:t>
      </w:r>
      <w:proofErr w:type="spellStart"/>
      <w:r>
        <w:rPr>
          <w:sz w:val="24"/>
          <w:szCs w:val="24"/>
        </w:rPr>
        <w:t>ГлавАПУ</w:t>
      </w:r>
      <w:proofErr w:type="spellEnd"/>
      <w:r>
        <w:rPr>
          <w:sz w:val="24"/>
          <w:szCs w:val="24"/>
        </w:rPr>
        <w:t>");</w:t>
      </w:r>
    </w:p>
    <w:p w:rsidR="00067D7A" w:rsidRDefault="008F660B">
      <w:pPr>
        <w:rPr>
          <w:sz w:val="24"/>
          <w:szCs w:val="24"/>
        </w:rPr>
      </w:pPr>
      <w:r>
        <w:rPr>
          <w:sz w:val="24"/>
          <w:szCs w:val="24"/>
        </w:rPr>
        <w:tab/>
        <w:t>- Подрядчик (и привлекаемые им Субподрядчики) должен иметь свидетельство о допуске к работам. Выбор Субподрядчиков согласовывается с Заказчиком. Подрядчик несет полную ответственность за работу Субподрядчика;</w:t>
      </w:r>
    </w:p>
    <w:p w:rsidR="00067D7A" w:rsidRDefault="008F660B">
      <w:pPr>
        <w:ind w:firstLine="709"/>
        <w:rPr>
          <w:sz w:val="20"/>
          <w:szCs w:val="20"/>
        </w:rPr>
      </w:pPr>
      <w:r>
        <w:rPr>
          <w:sz w:val="24"/>
          <w:szCs w:val="24"/>
        </w:rPr>
        <w:t>- Для сбора информации на выполнение работ обязателен выезд Подрядчика на осмотр объекта по месту.</w:t>
      </w:r>
    </w:p>
    <w:p w:rsidR="00067D7A" w:rsidRDefault="008F660B" w:rsidP="008F660B">
      <w:pPr>
        <w:pStyle w:val="aff0"/>
        <w:spacing w:before="119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  <w:bookmarkEnd w:id="22"/>
    </w:p>
    <w:tbl>
      <w:tblPr>
        <w:tblW w:w="991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7"/>
        <w:gridCol w:w="2416"/>
        <w:gridCol w:w="2291"/>
        <w:gridCol w:w="2576"/>
        <w:gridCol w:w="1818"/>
      </w:tblGrid>
      <w:tr w:rsidR="00067D7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067D7A" w:rsidRDefault="008F660B">
            <w:pPr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067D7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67D7A">
        <w:trPr>
          <w:trHeight w:val="881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pStyle w:val="aff2"/>
              <w:widowControl w:val="0"/>
              <w:ind w:left="0"/>
              <w:jc w:val="center"/>
            </w:pPr>
            <w:r>
              <w:t>1.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rFonts w:eastAsia="Calibri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Реконструкция </w:t>
            </w:r>
            <w:r>
              <w:rPr>
                <w:rFonts w:eastAsia="Calibri" w:cs="Calibri"/>
                <w:bCs/>
                <w:color w:val="000000"/>
                <w:sz w:val="24"/>
                <w:szCs w:val="24"/>
              </w:rPr>
              <w:t xml:space="preserve">ПС 35 </w:t>
            </w:r>
            <w:proofErr w:type="spellStart"/>
            <w:r>
              <w:rPr>
                <w:rFonts w:eastAsia="Calibri" w:cs="Calibri"/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Табага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Республика Саха (Якутия),  </w:t>
            </w:r>
            <w:proofErr w:type="spellStart"/>
            <w:r>
              <w:rPr>
                <w:rFonts w:eastAsia="Calibri"/>
                <w:sz w:val="24"/>
                <w:szCs w:val="24"/>
              </w:rPr>
              <w:t>Мегино-Кангаласский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улус, </w:t>
            </w:r>
            <w:r>
              <w:rPr>
                <w:rFonts w:eastAsia="Calibri"/>
                <w:sz w:val="24"/>
                <w:szCs w:val="24"/>
              </w:rPr>
              <w:br/>
              <w:t>с. Табага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color w:val="FF0000"/>
              </w:rPr>
            </w:pPr>
            <w:r>
              <w:rPr>
                <w:rFonts w:eastAsia="Calibri" w:cs="Calibri"/>
                <w:bCs/>
                <w:color w:val="000000"/>
                <w:sz w:val="24"/>
                <w:szCs w:val="24"/>
              </w:rPr>
              <w:t xml:space="preserve">ПС 35 </w:t>
            </w:r>
            <w:proofErr w:type="spellStart"/>
            <w:r>
              <w:rPr>
                <w:rFonts w:eastAsia="Calibri" w:cs="Calibri"/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Табага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ЦЭС филиал ПАО «Якутскэнерго»</w:t>
            </w:r>
          </w:p>
        </w:tc>
      </w:tr>
    </w:tbl>
    <w:p w:rsidR="00067D7A" w:rsidRDefault="008F660B">
      <w:pPr>
        <w:pStyle w:val="22"/>
        <w:spacing w:before="0" w:after="62"/>
        <w:ind w:left="1440" w:hanging="363"/>
      </w:pPr>
      <w:r>
        <w:br w:type="page"/>
      </w:r>
    </w:p>
    <w:p w:rsidR="00067D7A" w:rsidRDefault="008F660B">
      <w:pPr>
        <w:pStyle w:val="22"/>
        <w:numPr>
          <w:ilvl w:val="1"/>
          <w:numId w:val="3"/>
        </w:numPr>
        <w:spacing w:before="0" w:after="62"/>
        <w:ind w:left="1440" w:hanging="363"/>
      </w:pPr>
      <w:bookmarkStart w:id="25" w:name="__RefHeading___Toc8284_4098624048"/>
      <w:bookmarkStart w:id="26" w:name="_Toc147320083"/>
      <w:bookmarkEnd w:id="25"/>
      <w:r>
        <w:lastRenderedPageBreak/>
        <w:t>Требования к продукции</w:t>
      </w:r>
      <w:bookmarkEnd w:id="26"/>
    </w:p>
    <w:p w:rsidR="00067D7A" w:rsidRDefault="008F660B">
      <w:pPr>
        <w:pStyle w:val="31"/>
      </w:pPr>
      <w:bookmarkStart w:id="27" w:name="__RefHeading___Toc8286_4098624048"/>
      <w:bookmarkStart w:id="28" w:name="_Toc147320084"/>
      <w:bookmarkEnd w:id="27"/>
      <w:r>
        <w:t xml:space="preserve">2.1. </w:t>
      </w:r>
      <w:bookmarkStart w:id="29" w:name="_Toc54646404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28"/>
      <w:bookmarkEnd w:id="29"/>
    </w:p>
    <w:p w:rsidR="00067D7A" w:rsidRDefault="008F660B">
      <w:pPr>
        <w:pStyle w:val="40"/>
        <w:numPr>
          <w:ilvl w:val="3"/>
          <w:numId w:val="3"/>
        </w:numPr>
        <w:rPr>
          <w:lang w:val="ru-RU"/>
        </w:rPr>
      </w:pPr>
      <w:bookmarkStart w:id="30" w:name="__RefHeading___Toc8288_4098624048"/>
      <w:bookmarkStart w:id="31" w:name="_Toc147320085"/>
      <w:bookmarkStart w:id="32" w:name="_Toc54646405"/>
      <w:bookmarkEnd w:id="30"/>
      <w:r>
        <w:t>Требования к видам и объемам работ</w:t>
      </w:r>
      <w:bookmarkEnd w:id="31"/>
      <w:bookmarkEnd w:id="32"/>
    </w:p>
    <w:p w:rsidR="00067D7A" w:rsidRDefault="008F660B">
      <w:pPr>
        <w:pStyle w:val="aff0"/>
        <w:rPr>
          <w:b/>
          <w:bCs/>
        </w:rPr>
      </w:pPr>
      <w:bookmarkStart w:id="33" w:name="__RefHeading___Toc15841_2903166146"/>
      <w:bookmarkStart w:id="34" w:name="_Toc51339695"/>
      <w:bookmarkStart w:id="35" w:name="_Toc54646406"/>
      <w:bookmarkEnd w:id="33"/>
      <w:r>
        <w:rPr>
          <w:b/>
          <w:bCs/>
          <w:sz w:val="24"/>
          <w:szCs w:val="24"/>
        </w:rPr>
        <w:t xml:space="preserve">Таблица 2. Перечень </w:t>
      </w:r>
      <w:bookmarkEnd w:id="34"/>
      <w:r>
        <w:rPr>
          <w:b/>
          <w:bCs/>
          <w:sz w:val="24"/>
          <w:szCs w:val="24"/>
        </w:rPr>
        <w:t>и объем выполняемых работ</w:t>
      </w:r>
      <w:bookmarkEnd w:id="35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2"/>
        <w:gridCol w:w="4845"/>
        <w:gridCol w:w="2088"/>
        <w:gridCol w:w="2280"/>
      </w:tblGrid>
      <w:tr w:rsidR="00067D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067D7A" w:rsidRDefault="008F660B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keepNext/>
              <w:widowControl w:val="0"/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67D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67D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исходных данных. Разработка, обоснование и согласование ОТР с технико-экономическим обоснованием.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t>1</w:t>
            </w:r>
          </w:p>
        </w:tc>
      </w:tr>
      <w:tr w:rsidR="00067D7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</w:pPr>
            <w:r>
              <w:t>2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инженерных изысканий: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widowControl w:val="0"/>
              <w:jc w:val="center"/>
            </w:pPr>
          </w:p>
        </w:tc>
      </w:tr>
      <w:tr w:rsidR="00067D7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инженерно-геодезические изыскания(в том числе </w:t>
            </w:r>
            <w:proofErr w:type="spellStart"/>
            <w:r>
              <w:rPr>
                <w:sz w:val="24"/>
                <w:szCs w:val="24"/>
              </w:rPr>
              <w:t>топосъемка</w:t>
            </w:r>
            <w:proofErr w:type="spellEnd"/>
            <w:r>
              <w:rPr>
                <w:sz w:val="24"/>
                <w:szCs w:val="24"/>
              </w:rPr>
              <w:t>, масштаб 1:500);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t>1</w:t>
            </w:r>
          </w:p>
        </w:tc>
      </w:tr>
      <w:tr w:rsidR="00067D7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инженерно-геологические изыскания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t>1</w:t>
            </w:r>
          </w:p>
        </w:tc>
      </w:tr>
      <w:tr w:rsidR="00067D7A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067D7A" w:rsidRDefault="008F660B">
            <w:pPr>
              <w:widowControl w:val="0"/>
            </w:pPr>
            <w:r>
              <w:rPr>
                <w:sz w:val="24"/>
                <w:szCs w:val="24"/>
              </w:rPr>
              <w:t>Разработка, согласование проектной, рабочей и сметной документации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</w:pPr>
            <w:r>
              <w:t>1</w:t>
            </w:r>
          </w:p>
        </w:tc>
      </w:tr>
    </w:tbl>
    <w:p w:rsidR="00067D7A" w:rsidRDefault="008F660B">
      <w:pPr>
        <w:pStyle w:val="aff0"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3. Основные характеристики проектируемого объекта</w:t>
      </w:r>
    </w:p>
    <w:tbl>
      <w:tblPr>
        <w:tblW w:w="1006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129"/>
        <w:gridCol w:w="2529"/>
        <w:gridCol w:w="14"/>
        <w:gridCol w:w="6393"/>
      </w:tblGrid>
      <w:tr w:rsidR="00067D7A">
        <w:trPr>
          <w:trHeight w:val="70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tabs>
                <w:tab w:val="left" w:pos="180"/>
              </w:tabs>
              <w:jc w:val="center"/>
            </w:pPr>
            <w:r>
              <w:rPr>
                <w:b/>
                <w:sz w:val="22"/>
                <w:szCs w:val="22"/>
              </w:rPr>
              <w:t>Характеристика объекта</w:t>
            </w:r>
          </w:p>
        </w:tc>
      </w:tr>
      <w:tr w:rsidR="00067D7A"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напряжения,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– 35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НН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– 10</w:t>
            </w:r>
          </w:p>
        </w:tc>
      </w:tr>
      <w:tr w:rsidR="00067D7A"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Конструктивное исполнение ПС и РУ (открытое, закрытое, КТП, КРУЭ и т.д.)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ОРУ-35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кВ</w:t>
            </w:r>
            <w:proofErr w:type="spellEnd"/>
          </w:p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ЗРУ-10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кВ</w:t>
            </w:r>
            <w:proofErr w:type="spellEnd"/>
          </w:p>
        </w:tc>
      </w:tr>
      <w:tr w:rsidR="00067D7A">
        <w:trPr>
          <w:trHeight w:val="835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схемы каждого РУ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Схему ОРУ-35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bidi="ru-RU"/>
              </w:rPr>
              <w:t xml:space="preserve"> принять </w:t>
            </w:r>
            <w:r>
              <w:rPr>
                <w:color w:val="000000"/>
                <w:sz w:val="22"/>
                <w:szCs w:val="22"/>
                <w:lang w:eastAsia="en-US" w:bidi="ru-RU"/>
              </w:rPr>
              <w:t>№35-4</w:t>
            </w:r>
            <w:r>
              <w:rPr>
                <w:color w:val="000000"/>
                <w:sz w:val="22"/>
                <w:szCs w:val="22"/>
                <w:lang w:eastAsia="en-US" w:bidi="en-US"/>
              </w:rPr>
              <w:t>Н</w:t>
            </w:r>
            <w:r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КРУН – 10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определить при проектировании</w:t>
            </w:r>
          </w:p>
        </w:tc>
      </w:tr>
      <w:tr w:rsidR="00067D7A">
        <w:trPr>
          <w:trHeight w:val="835"/>
        </w:trPr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Суммарная протяженность на границах проектирования:</w:t>
            </w:r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0,200 км</w:t>
            </w:r>
          </w:p>
        </w:tc>
      </w:tr>
      <w:tr w:rsidR="00067D7A">
        <w:trPr>
          <w:trHeight w:val="1442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ЛЭП, подключаемых к ПС, по каждому РУ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 xml:space="preserve">Ввод КВЛ 35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Майя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color w:val="000000"/>
                <w:sz w:val="24"/>
                <w:szCs w:val="24"/>
              </w:rPr>
              <w:t>Бютейдях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отпайками. </w:t>
            </w:r>
          </w:p>
          <w:p w:rsidR="00067D7A" w:rsidRDefault="008F660B">
            <w:pPr>
              <w:widowControl w:val="0"/>
              <w:tabs>
                <w:tab w:val="left" w:pos="18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 xml:space="preserve">ВЛ 10 </w:t>
            </w:r>
            <w:proofErr w:type="spellStart"/>
            <w:r>
              <w:rPr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Отходящая Л-Табага, Л-</w:t>
            </w:r>
            <w:proofErr w:type="spellStart"/>
            <w:r>
              <w:rPr>
                <w:color w:val="000000"/>
                <w:sz w:val="24"/>
                <w:szCs w:val="24"/>
              </w:rPr>
              <w:t>Суола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 (предусмотреть резерв);</w:t>
            </w:r>
          </w:p>
        </w:tc>
      </w:tr>
      <w:tr w:rsidR="00067D7A"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резервных ячеек по каждому РУ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 ячейки СШ 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(по 1 ячейке в каждой СШ 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67D7A"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выключателей и функциональная связь между полюсами выключателей каждого РУ</w:t>
            </w:r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Style7"/>
              <w:shd w:val="clear" w:color="auto" w:fill="auto"/>
              <w:tabs>
                <w:tab w:val="left" w:pos="205"/>
              </w:tabs>
              <w:spacing w:line="240" w:lineRule="auto"/>
              <w:ind w:firstLine="0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На напряжении 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35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– Вакуумный выключатель BB/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Tel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- 35</w:t>
            </w:r>
            <w:r>
              <w:rPr>
                <w:bCs/>
                <w:color w:val="000000"/>
                <w:sz w:val="24"/>
                <w:szCs w:val="24"/>
              </w:rPr>
              <w:t>;</w:t>
            </w:r>
          </w:p>
          <w:p w:rsidR="00067D7A" w:rsidRDefault="008F660B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На напряжении 10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- Вакуумный выключатель ВB/TEL-10;</w:t>
            </w:r>
          </w:p>
        </w:tc>
      </w:tr>
      <w:tr w:rsidR="00067D7A">
        <w:tc>
          <w:tcPr>
            <w:tcW w:w="36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 мощность силовых (авто)трансформаторов</w:t>
            </w:r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1Т – 1,6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МВА ,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2Т- 1 МВА</w:t>
            </w:r>
          </w:p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Определить проектом использования сущ. силовых трансформаторов или замены. </w:t>
            </w:r>
          </w:p>
        </w:tc>
      </w:tr>
      <w:tr w:rsidR="00067D7A"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собственных нужд 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Определить при проектировании </w:t>
            </w:r>
          </w:p>
        </w:tc>
      </w:tr>
      <w:tr w:rsidR="00067D7A"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оперативного постоянного тока (СОТ, СОПТ)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Адаптировать существующим оборудованием</w:t>
            </w:r>
          </w:p>
        </w:tc>
      </w:tr>
      <w:tr w:rsidR="00067D7A"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Релейная защита и сетевая автоматика (РЗ и СА) 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</w:rPr>
              <w:t>Адаптировать существующим оборудованием</w:t>
            </w:r>
          </w:p>
        </w:tc>
      </w:tr>
      <w:tr w:rsidR="00067D7A"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tabs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Наименование характеристики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tabs>
                <w:tab w:val="left" w:pos="180"/>
              </w:tabs>
              <w:jc w:val="center"/>
            </w:pPr>
            <w:r>
              <w:rPr>
                <w:b/>
                <w:sz w:val="22"/>
                <w:szCs w:val="22"/>
              </w:rPr>
              <w:t>Характеристика объекта</w:t>
            </w:r>
          </w:p>
        </w:tc>
      </w:tr>
      <w:tr w:rsidR="00067D7A"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Автоматизированная информационно-измерительная система коммерческого учета электроэнергии (АИИС КУЭ)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при проектировании в объеме вводимого (реконструируемого) оборудования.</w:t>
            </w:r>
          </w:p>
        </w:tc>
      </w:tr>
      <w:tr w:rsidR="00067D7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связи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Инфраструктура средств связи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keepNext/>
              <w:widowControl w:val="0"/>
              <w:tabs>
                <w:tab w:val="left" w:pos="205"/>
              </w:tabs>
              <w:jc w:val="both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 xml:space="preserve">Организация дистанционного управления коммутационными аппаратами обслуживающим персоналом ЦЭС на ПС «Табага», в ДП </w:t>
            </w:r>
            <w:proofErr w:type="spellStart"/>
            <w:r>
              <w:rPr>
                <w:iCs/>
                <w:sz w:val="24"/>
                <w:szCs w:val="24"/>
              </w:rPr>
              <w:t>Майинского</w:t>
            </w:r>
            <w:proofErr w:type="spellEnd"/>
            <w:r>
              <w:rPr>
                <w:iCs/>
                <w:sz w:val="24"/>
                <w:szCs w:val="24"/>
              </w:rPr>
              <w:t xml:space="preserve"> РЭС ЦЭС ПАО «Якутскэнерго» (определить при проектировании). </w:t>
            </w:r>
          </w:p>
        </w:tc>
      </w:tr>
      <w:tr w:rsidR="00067D7A"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обеспечению пожарной безопасности на объекте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при проектировании</w:t>
            </w:r>
          </w:p>
        </w:tc>
      </w:tr>
      <w:tr w:rsidR="00067D7A"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охране объекта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ограждение, освещение, видеонаблюдение, СОНП.</w:t>
            </w:r>
          </w:p>
        </w:tc>
      </w:tr>
      <w:tr w:rsidR="00067D7A"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земельному участку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</w:pPr>
            <w:r>
              <w:rPr>
                <w:sz w:val="24"/>
                <w:szCs w:val="24"/>
              </w:rPr>
              <w:t>Определить проектом перенос ПС на новый участок.</w:t>
            </w:r>
          </w:p>
        </w:tc>
      </w:tr>
      <w:tr w:rsidR="00067D7A"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Диспетчерское наименование ПС</w:t>
            </w:r>
          </w:p>
        </w:tc>
        <w:tc>
          <w:tcPr>
            <w:tcW w:w="6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 35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Табага</w:t>
            </w:r>
          </w:p>
        </w:tc>
      </w:tr>
    </w:tbl>
    <w:p w:rsidR="00067D7A" w:rsidRDefault="00067D7A">
      <w:pPr>
        <w:spacing w:after="120"/>
        <w:rPr>
          <w:sz w:val="24"/>
          <w:szCs w:val="24"/>
        </w:rPr>
      </w:pPr>
    </w:p>
    <w:p w:rsidR="00067D7A" w:rsidRDefault="008F660B">
      <w:pPr>
        <w:pStyle w:val="40"/>
        <w:numPr>
          <w:ilvl w:val="3"/>
          <w:numId w:val="3"/>
        </w:numPr>
        <w:spacing w:before="0" w:after="62"/>
      </w:pPr>
      <w:bookmarkStart w:id="36" w:name="__RefHeading___Toc8292_4098624048"/>
      <w:bookmarkStart w:id="37" w:name="_Toc51339696"/>
      <w:bookmarkStart w:id="38" w:name="_Toc147320087"/>
      <w:bookmarkStart w:id="39" w:name="_Toc54646407"/>
      <w:bookmarkEnd w:id="36"/>
      <w:r>
        <w:t xml:space="preserve">Требования </w:t>
      </w:r>
      <w:bookmarkEnd w:id="37"/>
      <w:r>
        <w:t>к срокам выполнения работ</w:t>
      </w:r>
      <w:bookmarkEnd w:id="38"/>
      <w:bookmarkEnd w:id="39"/>
    </w:p>
    <w:p w:rsidR="00067D7A" w:rsidRDefault="008F660B">
      <w:pPr>
        <w:pStyle w:val="aff0"/>
        <w:rPr>
          <w:b/>
          <w:bCs/>
        </w:rPr>
      </w:pPr>
      <w:bookmarkStart w:id="40" w:name="__RefHeading___Toc15845_2903166146"/>
      <w:bookmarkStart w:id="41" w:name="_Toc50125127"/>
      <w:bookmarkStart w:id="42" w:name="_Toc51339697"/>
      <w:bookmarkStart w:id="43" w:name="_Toc54646408"/>
      <w:bookmarkEnd w:id="40"/>
      <w:r>
        <w:rPr>
          <w:b/>
          <w:bCs/>
          <w:sz w:val="24"/>
          <w:szCs w:val="24"/>
        </w:rPr>
        <w:t xml:space="preserve">Таблица 4. </w:t>
      </w:r>
      <w:bookmarkStart w:id="44" w:name="_Hlk50465284"/>
      <w:r>
        <w:rPr>
          <w:b/>
          <w:bCs/>
          <w:sz w:val="24"/>
          <w:szCs w:val="24"/>
        </w:rPr>
        <w:t xml:space="preserve">Требования по срокам </w:t>
      </w:r>
      <w:bookmarkEnd w:id="41"/>
      <w:bookmarkEnd w:id="42"/>
      <w:bookmarkEnd w:id="44"/>
      <w:r>
        <w:rPr>
          <w:b/>
          <w:bCs/>
          <w:sz w:val="24"/>
          <w:szCs w:val="24"/>
        </w:rPr>
        <w:t>выполнения работ</w:t>
      </w:r>
      <w:bookmarkEnd w:id="43"/>
    </w:p>
    <w:tbl>
      <w:tblPr>
        <w:tblW w:w="977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06"/>
        <w:gridCol w:w="2774"/>
        <w:gridCol w:w="2984"/>
        <w:gridCol w:w="3112"/>
      </w:tblGrid>
      <w:tr w:rsidR="00067D7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067D7A">
        <w:trPr>
          <w:trHeight w:val="24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ff5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ff5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67D7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исходных данных. Разработка, обоснование и согласование ОТР с ТЭО. Выполнение инженерных изысканий.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</w:tc>
      </w:tr>
      <w:tr w:rsidR="00067D7A"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Разработка, согласование проектной, рабочей и сметной документации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30.11.2026</w:t>
            </w:r>
          </w:p>
        </w:tc>
      </w:tr>
    </w:tbl>
    <w:p w:rsidR="00067D7A" w:rsidRDefault="00067D7A"/>
    <w:p w:rsidR="00067D7A" w:rsidRDefault="008F660B">
      <w:pPr>
        <w:tabs>
          <w:tab w:val="left" w:pos="1209"/>
        </w:tabs>
        <w:sectPr w:rsidR="00067D7A">
          <w:headerReference w:type="default" r:id="rId7"/>
          <w:headerReference w:type="first" r:id="rId8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tab/>
      </w:r>
    </w:p>
    <w:p w:rsidR="00067D7A" w:rsidRDefault="008F660B">
      <w:pPr>
        <w:pStyle w:val="31"/>
        <w:numPr>
          <w:ilvl w:val="2"/>
          <w:numId w:val="3"/>
        </w:numPr>
      </w:pPr>
      <w:bookmarkStart w:id="45" w:name="__RefHeading___Toc8294_4098624048"/>
      <w:bookmarkStart w:id="46" w:name="_Toc147320088"/>
      <w:bookmarkStart w:id="47" w:name="_Toc54646410"/>
      <w:bookmarkEnd w:id="45"/>
      <w:r>
        <w:lastRenderedPageBreak/>
        <w:t xml:space="preserve">Требования к </w:t>
      </w:r>
      <w:r>
        <w:rPr>
          <w:lang w:val="ru-RU"/>
        </w:rPr>
        <w:t>качеству работ</w:t>
      </w:r>
      <w:bookmarkEnd w:id="46"/>
    </w:p>
    <w:p w:rsidR="00067D7A" w:rsidRDefault="008F660B">
      <w:pPr>
        <w:pStyle w:val="aff0"/>
        <w:rPr>
          <w:b/>
          <w:bCs/>
        </w:rPr>
      </w:pPr>
      <w:bookmarkStart w:id="48" w:name="__RefHeading___Toc15849_2903166146"/>
      <w:bookmarkStart w:id="49" w:name="_Toc51339698"/>
      <w:bookmarkEnd w:id="48"/>
      <w:r>
        <w:rPr>
          <w:b/>
          <w:bCs/>
          <w:sz w:val="24"/>
          <w:szCs w:val="24"/>
        </w:rPr>
        <w:t xml:space="preserve">Таблица 5. Требования к </w:t>
      </w:r>
      <w:bookmarkEnd w:id="49"/>
      <w:r>
        <w:rPr>
          <w:b/>
          <w:bCs/>
          <w:sz w:val="24"/>
          <w:szCs w:val="24"/>
        </w:rPr>
        <w:t>качеству работ</w:t>
      </w:r>
      <w:bookmarkEnd w:id="47"/>
      <w:r>
        <w:rPr>
          <w:b/>
          <w:bCs/>
          <w:sz w:val="24"/>
          <w:szCs w:val="24"/>
        </w:rPr>
        <w:t xml:space="preserve"> </w:t>
      </w: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2"/>
        <w:gridCol w:w="2066"/>
        <w:gridCol w:w="8380"/>
        <w:gridCol w:w="1794"/>
        <w:gridCol w:w="2044"/>
      </w:tblGrid>
      <w:tr w:rsidR="00067D7A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067D7A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widowControl w:val="0"/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widowControl w:val="0"/>
            </w:pPr>
          </w:p>
        </w:tc>
        <w:tc>
          <w:tcPr>
            <w:tcW w:w="8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widowControl w:val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067D7A" w:rsidRDefault="008F660B">
            <w:pPr>
              <w:widowControl w:val="0"/>
              <w:numPr>
                <w:ilvl w:val="0"/>
                <w:numId w:val="9"/>
              </w:numPr>
              <w:ind w:left="567" w:hanging="567"/>
              <w:jc w:val="both"/>
            </w:pPr>
            <w:r>
              <w:rPr>
                <w:sz w:val="24"/>
                <w:szCs w:val="24"/>
              </w:rPr>
              <w:t>Земельный кодекс Российской Федерации от 25.10.2001 № 136-ФЗ.</w:t>
            </w:r>
          </w:p>
          <w:p w:rsidR="00067D7A" w:rsidRDefault="008F660B">
            <w:pPr>
              <w:widowControl w:val="0"/>
              <w:numPr>
                <w:ilvl w:val="0"/>
                <w:numId w:val="9"/>
              </w:numPr>
              <w:ind w:left="567" w:hanging="567"/>
              <w:jc w:val="both"/>
            </w:pPr>
            <w:r>
              <w:rPr>
                <w:sz w:val="24"/>
                <w:szCs w:val="24"/>
              </w:rPr>
              <w:t>Лесной кодекс Российской Федерации от 04.12.2006 № 200-ФЗ.</w:t>
            </w:r>
          </w:p>
          <w:p w:rsidR="00067D7A" w:rsidRDefault="008F660B">
            <w:pPr>
              <w:widowControl w:val="0"/>
              <w:numPr>
                <w:ilvl w:val="0"/>
                <w:numId w:val="9"/>
              </w:numPr>
              <w:ind w:left="567" w:hanging="567"/>
              <w:jc w:val="both"/>
            </w:pPr>
            <w:r>
              <w:rPr>
                <w:sz w:val="24"/>
                <w:szCs w:val="24"/>
              </w:rPr>
              <w:t>Водный кодекс Российской Федерации от 03.06.2006 № 74-ФЗ.</w:t>
            </w:r>
          </w:p>
          <w:p w:rsidR="00067D7A" w:rsidRDefault="008F660B">
            <w:pPr>
              <w:widowControl w:val="0"/>
              <w:numPr>
                <w:ilvl w:val="0"/>
                <w:numId w:val="9"/>
              </w:numPr>
              <w:ind w:left="567" w:hanging="567"/>
              <w:jc w:val="both"/>
            </w:pPr>
            <w:r>
              <w:rPr>
                <w:sz w:val="24"/>
                <w:szCs w:val="24"/>
              </w:rPr>
              <w:t>Воздушный кодекс Российской Федерации от 19.03.1997 № 60-ФЗ.</w:t>
            </w:r>
          </w:p>
          <w:p w:rsidR="00067D7A" w:rsidRDefault="008F660B">
            <w:pPr>
              <w:widowControl w:val="0"/>
              <w:numPr>
                <w:ilvl w:val="0"/>
                <w:numId w:val="9"/>
              </w:numPr>
              <w:ind w:left="567" w:hanging="567"/>
              <w:jc w:val="both"/>
            </w:pPr>
            <w:r>
              <w:rPr>
                <w:sz w:val="24"/>
                <w:szCs w:val="24"/>
              </w:rPr>
              <w:t>Градостроительный кодекс Российской Федерации от 29.12.2004 № 190-ФЗ.</w:t>
            </w:r>
          </w:p>
          <w:p w:rsidR="00067D7A" w:rsidRDefault="008F660B">
            <w:pPr>
              <w:widowControl w:val="0"/>
              <w:numPr>
                <w:ilvl w:val="0"/>
                <w:numId w:val="9"/>
              </w:numPr>
              <w:ind w:left="567" w:hanging="567"/>
              <w:jc w:val="both"/>
            </w:pPr>
            <w:r>
              <w:rPr>
                <w:sz w:val="24"/>
                <w:szCs w:val="24"/>
              </w:rPr>
              <w:t>Постановление Правительства Российской Федерации от16.02.2008 № 87 «О составе разделов проектной документации и требованиях к их содержанию».</w:t>
            </w:r>
          </w:p>
          <w:p w:rsidR="00067D7A" w:rsidRDefault="008F660B">
            <w:pPr>
              <w:widowControl w:val="0"/>
              <w:numPr>
                <w:ilvl w:val="0"/>
                <w:numId w:val="9"/>
              </w:numPr>
              <w:ind w:left="567" w:hanging="567"/>
              <w:jc w:val="both"/>
            </w:pPr>
            <w:r>
              <w:rPr>
                <w:sz w:val="24"/>
                <w:szCs w:val="24"/>
              </w:rPr>
              <w:t>Правила устройства электроустановок.</w:t>
            </w:r>
          </w:p>
          <w:p w:rsidR="00067D7A" w:rsidRDefault="008F660B">
            <w:pPr>
              <w:widowControl w:val="0"/>
              <w:numPr>
                <w:ilvl w:val="0"/>
                <w:numId w:val="9"/>
              </w:numPr>
              <w:ind w:left="567" w:hanging="567"/>
              <w:jc w:val="both"/>
            </w:pPr>
            <w:r>
              <w:rPr>
                <w:sz w:val="24"/>
                <w:szCs w:val="24"/>
              </w:rPr>
              <w:t xml:space="preserve">Требования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установок «Методические указания по устойчивости энергосистем», утвержденные приказом Министерства энергетики Российской Федерации от 03.08.2018 № 630.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8F660B">
            <w:pPr>
              <w:widowControl w:val="0"/>
              <w:jc w:val="center"/>
              <w:rPr>
                <w:sz w:val="24"/>
              </w:rPr>
            </w:pPr>
            <w:r>
              <w:rPr>
                <w:iCs/>
                <w:sz w:val="24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  <w:bookmarkStart w:id="50" w:name="__RefHeading___Toc15851_2903166146"/>
            <w:bookmarkEnd w:id="50"/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Основные объекты, объемы </w:t>
            </w:r>
            <w:r>
              <w:rPr>
                <w:bCs/>
                <w:sz w:val="24"/>
                <w:szCs w:val="24"/>
              </w:rPr>
              <w:lastRenderedPageBreak/>
              <w:t>и материалы входящие в состав проекта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Подстанцию 35/10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запроектировать </w:t>
            </w:r>
            <w:proofErr w:type="spellStart"/>
            <w:r>
              <w:rPr>
                <w:sz w:val="24"/>
                <w:szCs w:val="24"/>
              </w:rPr>
              <w:t>двухтрансформаторной</w:t>
            </w:r>
            <w:proofErr w:type="spellEnd"/>
            <w:r>
              <w:rPr>
                <w:sz w:val="24"/>
                <w:szCs w:val="24"/>
              </w:rPr>
              <w:t xml:space="preserve">, по схеме № 35-4Н (Два блока линия-трансформатор с выключателями и неавтоматической </w:t>
            </w:r>
            <w:r>
              <w:rPr>
                <w:sz w:val="24"/>
                <w:szCs w:val="24"/>
              </w:rPr>
              <w:lastRenderedPageBreak/>
              <w:t xml:space="preserve">перемычкой) с дополнительным выключателем с отходящей стороны ВЛ 35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Табага-</w:t>
            </w:r>
            <w:proofErr w:type="spellStart"/>
            <w:r>
              <w:rPr>
                <w:sz w:val="24"/>
                <w:szCs w:val="24"/>
              </w:rPr>
              <w:t>Бютейдях</w:t>
            </w:r>
            <w:proofErr w:type="spellEnd"/>
            <w:r>
              <w:rPr>
                <w:sz w:val="24"/>
                <w:szCs w:val="24"/>
              </w:rPr>
              <w:t xml:space="preserve"> с отпайками. Мощность трансформаторов не менее 1600 </w:t>
            </w: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 xml:space="preserve"> каждый.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4"/>
                <w:szCs w:val="24"/>
              </w:rPr>
            </w:pP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</w:pP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315"/>
              </w:tabs>
              <w:ind w:left="28" w:hanging="34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ИСМ РГ-00-032.06-24 «Регламентом допуска подрядных организаций к выполнению работ на объектах ПАО «Якутскэнерго»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  <w:bookmarkStart w:id="51" w:name="__RefHeading___Toc15853_2903166146"/>
            <w:bookmarkEnd w:id="51"/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426"/>
              </w:tabs>
            </w:pPr>
            <w:r>
              <w:rPr>
                <w:sz w:val="24"/>
                <w:szCs w:val="24"/>
              </w:rPr>
              <w:t>Выполнение изыскательских работ должно осуществляться силами:</w:t>
            </w:r>
          </w:p>
          <w:p w:rsidR="00067D7A" w:rsidRDefault="008F660B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283" w:firstLine="0"/>
              <w:jc w:val="both"/>
            </w:pPr>
            <w:r>
              <w:rPr>
                <w:sz w:val="24"/>
                <w:szCs w:val="24"/>
              </w:rPr>
              <w:t>инженера-геодезиста – не менее 1 чел. с группой допуска по электробезопасности не ниже II;</w:t>
            </w:r>
          </w:p>
          <w:p w:rsidR="00067D7A" w:rsidRDefault="008F660B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283" w:firstLine="0"/>
              <w:jc w:val="both"/>
            </w:pPr>
            <w:r>
              <w:rPr>
                <w:sz w:val="24"/>
                <w:szCs w:val="24"/>
              </w:rPr>
              <w:t>руководителя работ (дорожного мастера) – не менее 1 чел. с группой допуска по электробезопасности не ниже II;</w:t>
            </w:r>
          </w:p>
          <w:p w:rsidR="00067D7A" w:rsidRDefault="008F660B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4"/>
                <w:szCs w:val="24"/>
              </w:rPr>
              <w:t>Выполнение проектных работ должно осуществляться силами:</w:t>
            </w:r>
          </w:p>
          <w:p w:rsidR="00067D7A" w:rsidRDefault="008F660B">
            <w:pPr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ind w:left="283" w:firstLine="0"/>
              <w:jc w:val="both"/>
            </w:pPr>
            <w:r>
              <w:rPr>
                <w:sz w:val="24"/>
                <w:szCs w:val="24"/>
              </w:rPr>
              <w:t>специалист-проектировщик – не менее 3 чел. с высшим образованием по специальности или направлению подготовки в области строительства соответствующего профиля;</w:t>
            </w:r>
          </w:p>
          <w:p w:rsidR="00067D7A" w:rsidRDefault="008F660B">
            <w:pPr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ind w:left="283" w:firstLine="0"/>
              <w:jc w:val="both"/>
            </w:pPr>
            <w:r>
              <w:rPr>
                <w:sz w:val="24"/>
                <w:szCs w:val="24"/>
              </w:rPr>
              <w:t>руководителя работ – не менее 2 чел. с высшим образованием по специальности или направлению подготовки в области строительства соответствующего профиля;</w:t>
            </w:r>
          </w:p>
          <w:p w:rsidR="00067D7A" w:rsidRDefault="008F660B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4"/>
                <w:szCs w:val="24"/>
              </w:rPr>
              <w:t>До начала проведения работ в рамках исполнения договора после его заключения подрядчик предоставляет список персонала с указанием сведений  о квалификации персонала, разряде и группе по электробезопасности  с приложением копий  удостоверений на производство специальных видов работ.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4"/>
                <w:szCs w:val="24"/>
              </w:rPr>
            </w:pP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 Подрядчик должен:</w:t>
            </w:r>
          </w:p>
          <w:p w:rsidR="00067D7A" w:rsidRDefault="008F660B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>
              <w:rPr>
                <w:iCs/>
                <w:sz w:val="24"/>
                <w:szCs w:val="24"/>
              </w:rPr>
              <w:t>т.ч</w:t>
            </w:r>
            <w:proofErr w:type="spellEnd"/>
            <w:r>
              <w:rPr>
                <w:iCs/>
                <w:sz w:val="24"/>
                <w:szCs w:val="24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>
              <w:rPr>
                <w:iCs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lastRenderedPageBreak/>
              <w:t>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 w:rsidR="00067D7A" w:rsidRDefault="008F660B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 Подрядчик обязан</w:t>
            </w:r>
          </w:p>
          <w:p w:rsidR="00067D7A" w:rsidRDefault="008F660B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  <w:p w:rsidR="00067D7A" w:rsidRDefault="008F660B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выполнять и соблюдать все применимые требования законодательства, утвержденные практические руководства и существующие нормы и правила в области ОТ, ППБ и Э. Подрядчик принимает все обоснованные меры предосторожности, направленные на охрану окружающей среды в процессе выполнения Работ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4"/>
                <w:szCs w:val="24"/>
              </w:rPr>
            </w:pP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к результату </w:t>
            </w:r>
            <w:proofErr w:type="spellStart"/>
            <w:r>
              <w:rPr>
                <w:iCs/>
                <w:sz w:val="24"/>
                <w:szCs w:val="24"/>
              </w:rPr>
              <w:t>предпроектного</w:t>
            </w:r>
            <w:proofErr w:type="spellEnd"/>
            <w:r>
              <w:rPr>
                <w:iCs/>
                <w:sz w:val="24"/>
                <w:szCs w:val="24"/>
              </w:rPr>
              <w:t xml:space="preserve"> обследования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Совместно с представителями </w:t>
            </w:r>
            <w:proofErr w:type="spellStart"/>
            <w:r>
              <w:rPr>
                <w:sz w:val="24"/>
                <w:szCs w:val="24"/>
              </w:rPr>
              <w:t>Майинского</w:t>
            </w:r>
            <w:proofErr w:type="spellEnd"/>
            <w:r>
              <w:rPr>
                <w:sz w:val="24"/>
                <w:szCs w:val="24"/>
              </w:rPr>
              <w:t xml:space="preserve"> РЭС выполнить обследование:</w:t>
            </w:r>
          </w:p>
          <w:p w:rsidR="00067D7A" w:rsidRDefault="008F660B">
            <w:pPr>
              <w:widowControl w:val="0"/>
              <w:numPr>
                <w:ilvl w:val="0"/>
                <w:numId w:val="10"/>
              </w:numPr>
              <w:ind w:left="0" w:firstLine="0"/>
              <w:jc w:val="both"/>
            </w:pPr>
            <w:r>
              <w:rPr>
                <w:sz w:val="24"/>
                <w:szCs w:val="24"/>
              </w:rPr>
              <w:t xml:space="preserve">ПС 35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Табага;</w:t>
            </w:r>
          </w:p>
          <w:p w:rsidR="00067D7A" w:rsidRDefault="008F660B">
            <w:pPr>
              <w:widowControl w:val="0"/>
              <w:jc w:val="both"/>
            </w:pPr>
            <w:r>
              <w:rPr>
                <w:sz w:val="24"/>
                <w:szCs w:val="24"/>
              </w:rPr>
              <w:t>По результатам осмотра составить акт, в котором описать техническое состояние, объем и состав работ обязательных к выполнению в рамках реконструкции.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  <w:bookmarkStart w:id="52" w:name="__RefHeading___Toc15871_2903166146"/>
            <w:bookmarkEnd w:id="52"/>
          </w:p>
        </w:tc>
      </w:tr>
      <w:tr w:rsidR="00067D7A"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результату инженерных изысканий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both"/>
            </w:pPr>
            <w:r>
              <w:rPr>
                <w:sz w:val="24"/>
                <w:szCs w:val="24"/>
              </w:rPr>
              <w:t>Выполнить:</w:t>
            </w:r>
          </w:p>
          <w:p w:rsidR="00067D7A" w:rsidRDefault="008F660B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sz w:val="24"/>
                <w:szCs w:val="24"/>
              </w:rPr>
              <w:t xml:space="preserve">инженерно-геодезические изыскания (в том числе </w:t>
            </w:r>
            <w:proofErr w:type="spellStart"/>
            <w:r>
              <w:rPr>
                <w:sz w:val="24"/>
                <w:szCs w:val="24"/>
              </w:rPr>
              <w:t>топосъемка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067D7A" w:rsidRDefault="008F660B">
            <w:pPr>
              <w:widowControl w:val="0"/>
              <w:numPr>
                <w:ilvl w:val="0"/>
                <w:numId w:val="11"/>
              </w:numPr>
              <w:jc w:val="both"/>
            </w:pPr>
            <w:r>
              <w:rPr>
                <w:sz w:val="24"/>
                <w:szCs w:val="24"/>
              </w:rPr>
              <w:t>инженерно-геологические изыскания.</w:t>
            </w:r>
          </w:p>
          <w:p w:rsidR="00067D7A" w:rsidRDefault="008F660B">
            <w:pPr>
              <w:widowControl w:val="0"/>
              <w:jc w:val="both"/>
            </w:pPr>
            <w:r>
              <w:rPr>
                <w:sz w:val="24"/>
                <w:szCs w:val="24"/>
              </w:rPr>
              <w:t>Результаты инженерных изысканий предоставить в виде отчетов о проведенных изысканиях.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</w:p>
        </w:tc>
      </w:tr>
      <w:tr w:rsidR="00067D7A"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объеме проектной документации проработать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 xml:space="preserve">Реконструкция </w:t>
            </w:r>
            <w:r>
              <w:rPr>
                <w:sz w:val="24"/>
                <w:szCs w:val="24"/>
              </w:rPr>
              <w:t xml:space="preserve">ПС 35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Табага</w:t>
            </w:r>
            <w:r>
              <w:t xml:space="preserve"> в объеме, предусмотренном п. 2.1.4 Табл. 5 настоящих ТТ. 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 xml:space="preserve">В составе этапов в проекте организации строительства учитывать все </w:t>
            </w:r>
            <w:proofErr w:type="spellStart"/>
            <w:r>
              <w:t>подэтапы</w:t>
            </w:r>
            <w:proofErr w:type="spellEnd"/>
            <w:r>
              <w:t>, детализирующие этап, такие как: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организация строительной площадки;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организация технологических дорог;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- строительно-монтажные работы и т.д. с указанием сроков </w:t>
            </w:r>
            <w:r>
              <w:lastRenderedPageBreak/>
              <w:t>выполнения.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</w:p>
        </w:tc>
      </w:tr>
      <w:tr w:rsidR="00067D7A"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Общие требования к проектной документации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- Предусмотреть строительство ПС 35/10 </w:t>
            </w:r>
            <w:proofErr w:type="spellStart"/>
            <w:r>
              <w:t>кВ</w:t>
            </w:r>
            <w:proofErr w:type="spellEnd"/>
            <w:r>
              <w:t xml:space="preserve"> Табага на новом месте;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- При строительстве предусмотреть следующее оборудование: подстанцию 35/10 </w:t>
            </w:r>
            <w:proofErr w:type="spellStart"/>
            <w:r>
              <w:t>кВ</w:t>
            </w:r>
            <w:proofErr w:type="spellEnd"/>
            <w:r>
              <w:t xml:space="preserve"> запроектировать </w:t>
            </w:r>
            <w:proofErr w:type="spellStart"/>
            <w:r>
              <w:t>двухтрансформаторной</w:t>
            </w:r>
            <w:proofErr w:type="spellEnd"/>
            <w:r>
              <w:t xml:space="preserve">, по схеме № 35-4Н (Два блока линия-трансформатор с выключателями и неавтоматической перемычкой) с дополнительным выключателем с отходящей стороны ВЛ 35 </w:t>
            </w:r>
            <w:proofErr w:type="spellStart"/>
            <w:r>
              <w:t>кВ</w:t>
            </w:r>
            <w:proofErr w:type="spellEnd"/>
            <w:r>
              <w:t xml:space="preserve"> Табага-</w:t>
            </w:r>
            <w:proofErr w:type="spellStart"/>
            <w:r>
              <w:t>Бютейдях</w:t>
            </w:r>
            <w:proofErr w:type="spellEnd"/>
            <w:r>
              <w:t xml:space="preserve"> с отпайками. Мощность трансформаторов не менее 1600 </w:t>
            </w:r>
            <w:proofErr w:type="spellStart"/>
            <w:r>
              <w:t>кВА</w:t>
            </w:r>
            <w:proofErr w:type="spellEnd"/>
            <w:r>
              <w:t xml:space="preserve"> каждый.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Объем и состав работ по реконструкции определить проектом.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Варианты переноса рассмотреть и определить проектом: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>на новой территории;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>расширение территории подстанции.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- Проект земельного участка: в случае необходимости расширения Отдельным томом выполнить и оформить в соответствии с постановлением Правительства Российской Федерации от 16.02.2008 </w:t>
            </w:r>
            <w:proofErr w:type="spellStart"/>
            <w:r>
              <w:t>No</w:t>
            </w:r>
            <w:proofErr w:type="spellEnd"/>
            <w:r>
              <w:t xml:space="preserve"> 87 «О составе разделов проектной документации и требованиях к их содержанию» разделы проектной документации: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>Схему планировочной организации земельного участка;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>В указанный раздел включить следующие материалы;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>Проекты межевания территории (при необходимости);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>Проекты планировки территории (при необходимости);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>Градостроительный план земельного участка (при необходимости);</w:t>
            </w:r>
          </w:p>
          <w:p w:rsidR="00067D7A" w:rsidRDefault="008F660B">
            <w:pPr>
              <w:pStyle w:val="aff2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567"/>
              </w:tabs>
              <w:ind w:left="0" w:firstLine="0"/>
              <w:jc w:val="both"/>
            </w:pPr>
            <w:r>
              <w:t>Кадастровый план территории с нанесением на него границ земельного участка ПС, границ охранной и санитарно-защитной зон;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Предусмотреть реконструкцию заземляющего устройства подстанции.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Принять электротехническое оборудование в исполнении для холодного климата УХЛ1, ХЛ.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- Схему ОРУ 35 </w:t>
            </w:r>
            <w:proofErr w:type="spellStart"/>
            <w:r>
              <w:t>кВ</w:t>
            </w:r>
            <w:proofErr w:type="spellEnd"/>
            <w:r>
              <w:t xml:space="preserve">, КРУН 10 </w:t>
            </w:r>
            <w:proofErr w:type="spellStart"/>
            <w:r>
              <w:t>кВ</w:t>
            </w:r>
            <w:proofErr w:type="spellEnd"/>
            <w:r>
              <w:t xml:space="preserve"> определить проектом. </w:t>
            </w:r>
            <w:r>
              <w:lastRenderedPageBreak/>
              <w:t>Необходимость реконструкции подходов ВЛ к ПС определить проектом.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Обеспечить безопасное расстояние установки оборудования, пересечения, безопасность персонала и электрооборудования при замыканиях.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При проектировании предусмотреть разделение токовых цепей с измерительных трансформаторов тока (раздельные вторичные обмотки) для учета ЭЭ, измерительных приборов, РЗ и контроллера.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Защиту оборудования от перенапряжений выполнить ограничителями перенапряжения нелинейными типа ОПН. Защиту от прямых ударов молнии выполнить в соответствии с ПУЭ.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- В части релейной защиты и автоматики проект выполнить согласно «Норм технологического проектирования ПС переменного тока с высшим напряжением 35-750 </w:t>
            </w:r>
            <w:proofErr w:type="spellStart"/>
            <w:r>
              <w:t>кВ</w:t>
            </w:r>
            <w:proofErr w:type="spellEnd"/>
            <w:r>
              <w:t>». СТО56947007-29.240.10.028-2009.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Выполнить комплекс мероприятий, обеспечивающих ЭМС аппаратуры РЗА, согласно СТО 56947007-29.240.043-2010.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Дополнительно рассмотреть варианты по установке наиболее оптимального оборудования и провести технико-экономические сравнения результатов внедрения рассматриваемых вариантов. Предоставить генплан с размещением вновь устанавливаемого оборудования.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Принять, срок эксплуатации оборудования не менее 30 лет, гарантии производителя не менее 5 лет со дня ввода в работу.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Окончательное согласование и утверждение итогового варианта характеристик оборудования и его расположения на генплане оформляются Протоколом технического совещания или официальным письмом Заказчика.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- Результаты расчетов трудозатрат оформить в виде «Сметы на строительство объектов капитального строительства».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- Выполнить учет электроэнергии в соответствии с Типовой </w:t>
            </w:r>
            <w:r>
              <w:lastRenderedPageBreak/>
              <w:t>инструкцией по учету электроэнергии при ее производстве, передаче и распределении (СО 153-34.09.101-94), требованиями правил организации учета электрической энергии на оптовом и розничных рынках, установленных Федеральным законом от 26.03.2003 г. №35-ФЗ «Об электроэнергетике», Основными положениями функционирования розничных рынков электрической энергии, утвержденными Постановлением Правительства РФ от 04.05.2012 г. №442, контрактом о присоединении к торговой системе оптового рынка, в том числе обеспечить интеграцию с АИИС КУЭ ПАО «Якутскэнерго» с организацией ежедневной передачи результатов измерения, информации о состоянии средств измерения и объектов измерения в соответствии с требованиями правил организации учета электрической энергии на оптовом и розничных рынках.</w:t>
            </w: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</w:p>
        </w:tc>
      </w:tr>
      <w:tr w:rsidR="00067D7A"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Требование к результату согласований проектной документации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Успешное согласование проектной документации с заказчиком ЦЭС (филиал ПАО «Якутскэнерго»)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Передача согласованной документации осуществляется в ЦЭС ПАО «Якутскэнерго» по акту сдачи-приемки выполненных работ. Качество выполняемых проектной организацией работ должно соответствовать условиям и требованиям настоящих технических требований.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Обнаруженные при приемке работ замечания, Проектная организация устраняет за свой счет и в сроки, указанные приемочной комиссией. При направлении откорректированных материалов ПСД проектной организацией должен быть приложен перечень направляемых томов (разделов) с указанием страниц, в которые были внесены изменения.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Рабочую документацию разработать в объеме, необходимом для выполнения строительно-монтажных работ на проектируемом объекте.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По всем разделам выполнить необходимые рабочие чертежи и </w:t>
            </w:r>
            <w:r>
              <w:lastRenderedPageBreak/>
              <w:t>схемы, полный пакет документов, достаточный для выполнения строительно-монтажных работ, а также для осуществления строительного контроля и технического надзора на объекте.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В состав рабочей документации, передаваемой Заказчику, должны быть включены: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1) Рабочие чертежи, предназначенные для производства строительных и монтажных работ, объединённые в основные комплекты рабочих чертежей по маркам;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2) Прилагаемые документы, разработанные в дополнение к рабочим чертежам основного комплекта (в том числе, спецификацию оборудования, изделий и материалов, опросные листы и габаритные чертежи;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3) Общие данные по рабочим чертежам, чертежи и схемы, предусмотренные соответствующими стандартами СПДС;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4) Ведомости объёмов работ и применяемых материалов по каждому из разделов рабочей документации. Состав данных ведомостей должен полностью соответствовать позициям работ и материалов, отражённым в сметных расчётах. Для контроля обеспечения исполнения данного требования нумерацию позиций в сметных расчётах и ведомостях объёмов работ и применяемых материалов необходимо принять одинаковой и многоуровневой.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5) Актуализированный на основании рабочей документации сметный расчёт (при изменении объёмов работ в результате уточнения проектных решений).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</w:p>
        </w:tc>
      </w:tr>
      <w:tr w:rsidR="00067D7A"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результату разработки рабочей документации (РД)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Рабочую документацию разработать в объеме, необходимом для выполнения строительно-монтажных работ на проектируемом объекте.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По всем разделам выполнить необходимые рабочие чертежи и схемы, полный пакет документов, достаточный для выполнения строительно-монтажных работ, а также для осуществления строительного контроля и технического надзора на объекте.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lastRenderedPageBreak/>
              <w:t>В состав рабочей документации, передаваемой Заказчику, должны быть включены: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1) Рабочие чертежи, предназначенные для производства строительных и монтажных работ, объединённые в основные комплекты рабочих чертежей по маркам;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2) Прилагаемые документы, разработанные в дополнение к рабочим чертежам основного комплекта (в том числе, спецификацию оборудования, изделий и материалов, опросные листы и габаритные чертежи;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3) Общие данные по рабочим чертежам, чертежи и схемы, предусмотренные соответствующими стандартами СПДС;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4) Ведомости объёмов работ и применяемых материалов по каждому из разделов рабочей документации. Состав данных ведомостей должен полностью соответствовать позициям работ и материалов, отражённым в сметных расчётах. Для контроля обеспечения исполнения данного требования нумерацию позиций в сметных расчётах и ведомостях объёмов работ и применяемых материалов необходимо принять одинаковой и многоуровневой.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5) Актуализированный на основании рабочей документации сметный расчёт (при изменении объёмов работ в результате уточнения проектных решений).</w:t>
            </w:r>
          </w:p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 xml:space="preserve">6) При выборе материалов и оборудования при проектировании, предпочтение отдавать номенклатуре содержащихся в классификаторе строительных ресурсов (КСР) ФСНБ.   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</w:p>
        </w:tc>
      </w:tr>
      <w:tr w:rsidR="00067D7A"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spacing w:before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составлению сметной документации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2"/>
              <w:widowControl w:val="0"/>
              <w:tabs>
                <w:tab w:val="left" w:pos="567"/>
              </w:tabs>
              <w:ind w:left="0"/>
              <w:jc w:val="both"/>
            </w:pPr>
            <w:r>
              <w:t>Сметную документацию составить в соответствии с требованиями указанными в приложении №1 к настоящим техническим требованиям</w:t>
            </w: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8F660B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Документы, передаваемые </w:t>
            </w:r>
            <w:r>
              <w:rPr>
                <w:iCs/>
                <w:sz w:val="24"/>
                <w:szCs w:val="24"/>
              </w:rPr>
              <w:lastRenderedPageBreak/>
              <w:t>заказчику по результатам выполненных работ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После утверждения проектной или рабочей документации автор проекта формирует и направляет в ЦЭС ПАО «Якутскэнерго» четыре экземпляра </w:t>
            </w:r>
            <w:r>
              <w:rPr>
                <w:iCs/>
                <w:sz w:val="24"/>
                <w:szCs w:val="24"/>
              </w:rPr>
              <w:lastRenderedPageBreak/>
              <w:t>документации в бумажном виде и один экземпляр в электронном виде в редактируемых форматах (DOC, DOCX, XLS, XLSX, DWG, DXF, XML, GSFX и других), а также скомплектованные разделы в формате PDF. Текстовые документы, представляемые в формате PDF, должны иметь текстовый слой (т.е. должна быть обеспечена возможность поиска по тексту документов).</w:t>
            </w:r>
          </w:p>
          <w:p w:rsidR="00067D7A" w:rsidRDefault="008F660B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Электронная версия документации должна соответствовать ведомости основного комплекта проектной документации и комплектоваться отдельно по каждому тому. Наименования файлов томов, сшивов чертежей должны соответствовать названию документации, представленной на бумажных носителях.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  <w:bookmarkStart w:id="53" w:name="__RefHeading___Toc15873_2903166146"/>
            <w:bookmarkEnd w:id="53"/>
          </w:p>
        </w:tc>
      </w:tr>
      <w:tr w:rsidR="00067D7A"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10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keepNext/>
              <w:widowControl w:val="0"/>
              <w:spacing w:before="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pStyle w:val="aff0"/>
              <w:widowControl w:val="0"/>
              <w:jc w:val="center"/>
            </w:pPr>
            <w:r>
              <w:t>-//-</w:t>
            </w:r>
          </w:p>
        </w:tc>
      </w:tr>
      <w:tr w:rsidR="00067D7A"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7A" w:rsidRDefault="00067D7A">
            <w:pPr>
              <w:pStyle w:val="aff2"/>
              <w:widowControl w:val="0"/>
              <w:numPr>
                <w:ilvl w:val="2"/>
                <w:numId w:val="6"/>
              </w:numPr>
              <w:spacing w:before="60" w:after="60"/>
              <w:ind w:hanging="1199"/>
              <w:contextualSpacing/>
              <w:jc w:val="center"/>
              <w:rPr>
                <w:b/>
                <w:lang w:eastAsia="x-none"/>
              </w:rPr>
            </w:pPr>
          </w:p>
        </w:tc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8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8F660B">
            <w:pPr>
              <w:widowControl w:val="0"/>
              <w:tabs>
                <w:tab w:val="left" w:pos="315"/>
              </w:tabs>
              <w:ind w:left="-5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7D7A" w:rsidRDefault="00067D7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D7A" w:rsidRDefault="00067D7A">
            <w:pPr>
              <w:pStyle w:val="aff0"/>
              <w:widowControl w:val="0"/>
              <w:rPr>
                <w:sz w:val="20"/>
                <w:szCs w:val="20"/>
              </w:rPr>
            </w:pPr>
            <w:bookmarkStart w:id="54" w:name="__RefHeading___Toc15879_2903166146"/>
            <w:bookmarkEnd w:id="54"/>
          </w:p>
        </w:tc>
      </w:tr>
    </w:tbl>
    <w:p w:rsidR="00067D7A" w:rsidRDefault="00067D7A">
      <w:pPr>
        <w:sectPr w:rsidR="00067D7A">
          <w:headerReference w:type="default" r:id="rId9"/>
          <w:headerReference w:type="first" r:id="rId10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067D7A" w:rsidRDefault="008F660B" w:rsidP="008F660B">
      <w:pPr>
        <w:pStyle w:val="22"/>
        <w:numPr>
          <w:ilvl w:val="1"/>
          <w:numId w:val="3"/>
        </w:numPr>
        <w:ind w:left="0" w:firstLine="1134"/>
        <w:rPr>
          <w:iCs/>
          <w:lang w:val="ru-RU"/>
        </w:rPr>
      </w:pPr>
      <w:bookmarkStart w:id="55" w:name="__RefHeading___Toc8296_4098624048"/>
      <w:bookmarkStart w:id="56" w:name="_Toc147320089"/>
      <w:bookmarkEnd w:id="55"/>
      <w:r>
        <w:rPr>
          <w:iCs/>
          <w:lang w:val="ru-RU"/>
        </w:rPr>
        <w:lastRenderedPageBreak/>
        <w:t>Требования к документации по ценообразованию на этапе закупки</w:t>
      </w:r>
      <w:bookmarkEnd w:id="56"/>
    </w:p>
    <w:p w:rsidR="00067D7A" w:rsidRDefault="008F660B">
      <w:pPr>
        <w:pStyle w:val="aff0"/>
        <w:numPr>
          <w:ilvl w:val="2"/>
          <w:numId w:val="3"/>
        </w:numPr>
        <w:ind w:left="0" w:firstLine="1077"/>
        <w:jc w:val="both"/>
        <w:rPr>
          <w:sz w:val="24"/>
          <w:szCs w:val="24"/>
        </w:rPr>
      </w:pPr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 w:rsidR="00067D7A" w:rsidRDefault="008F660B">
      <w:pPr>
        <w:pStyle w:val="aff0"/>
        <w:numPr>
          <w:ilvl w:val="2"/>
          <w:numId w:val="3"/>
        </w:numPr>
        <w:ind w:left="0" w:firstLine="107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</w:t>
      </w:r>
    </w:p>
    <w:p w:rsidR="00067D7A" w:rsidRDefault="008F660B">
      <w:pPr>
        <w:pStyle w:val="aff0"/>
        <w:numPr>
          <w:ilvl w:val="2"/>
          <w:numId w:val="3"/>
        </w:numPr>
        <w:ind w:left="0" w:firstLine="10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Стоимость предложений участников определяется по формуле:</w:t>
      </w:r>
    </w:p>
    <w:p w:rsidR="00067D7A" w:rsidRDefault="008F660B">
      <w:pPr>
        <w:pStyle w:val="aff0"/>
        <w:jc w:val="center"/>
        <w:rPr>
          <w:sz w:val="24"/>
          <w:szCs w:val="24"/>
        </w:rPr>
      </w:pPr>
      <w:r>
        <w:rPr>
          <w:sz w:val="24"/>
          <w:szCs w:val="24"/>
        </w:rPr>
        <w:t>P=N*k,</w:t>
      </w:r>
    </w:p>
    <w:p w:rsidR="00067D7A" w:rsidRDefault="008F660B">
      <w:pPr>
        <w:pStyle w:val="aff0"/>
        <w:jc w:val="both"/>
        <w:rPr>
          <w:sz w:val="24"/>
          <w:szCs w:val="24"/>
        </w:rPr>
      </w:pPr>
      <w:r>
        <w:rPr>
          <w:sz w:val="24"/>
          <w:szCs w:val="24"/>
        </w:rPr>
        <w:t>где P – стоимость предложения участника;</w:t>
      </w:r>
    </w:p>
    <w:p w:rsidR="00067D7A" w:rsidRDefault="008F660B">
      <w:pPr>
        <w:pStyle w:val="aff0"/>
        <w:jc w:val="both"/>
        <w:rPr>
          <w:sz w:val="24"/>
          <w:szCs w:val="24"/>
        </w:rPr>
      </w:pPr>
      <w:r>
        <w:rPr>
          <w:sz w:val="24"/>
          <w:szCs w:val="24"/>
        </w:rPr>
        <w:t>N – начальная (максимальная) цена договора, (цена лота), определенная в соответствии со сметной документацией Заказчика, представленным в составе закупочной документации;</w:t>
      </w:r>
    </w:p>
    <w:p w:rsidR="00067D7A" w:rsidRDefault="008F660B">
      <w:pPr>
        <w:pStyle w:val="aff0"/>
        <w:jc w:val="both"/>
        <w:rPr>
          <w:sz w:val="24"/>
          <w:szCs w:val="24"/>
        </w:rPr>
      </w:pPr>
      <w:r>
        <w:rPr>
          <w:sz w:val="24"/>
          <w:szCs w:val="24"/>
        </w:rPr>
        <w:t>k – понижающий коэффициент, заявленный участником в расчете цены заявки, величину данного коэффициента рекомендуется учитывать с округлением до 7 знаков после запятой.</w:t>
      </w:r>
    </w:p>
    <w:p w:rsidR="00067D7A" w:rsidRDefault="008F660B">
      <w:pPr>
        <w:pStyle w:val="aff0"/>
        <w:numPr>
          <w:ilvl w:val="2"/>
          <w:numId w:val="3"/>
        </w:numPr>
        <w:ind w:left="0" w:firstLine="10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Понижающий коэффициент указывается участником в форме «Коммерческое предложение», приведенной в Документации о закупке.</w:t>
      </w:r>
    </w:p>
    <w:p w:rsidR="00067D7A" w:rsidRDefault="008F660B">
      <w:pPr>
        <w:pStyle w:val="aff0"/>
        <w:numPr>
          <w:ilvl w:val="2"/>
          <w:numId w:val="3"/>
        </w:numPr>
        <w:ind w:left="0" w:firstLine="10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Участник формирует стоимость своей заявки с учетом понижающего коэффициента, указанного в п. 3.3. настоящих требований.</w:t>
      </w:r>
    </w:p>
    <w:p w:rsidR="00067D7A" w:rsidRDefault="008F660B">
      <w:pPr>
        <w:pStyle w:val="aff0"/>
        <w:numPr>
          <w:ilvl w:val="2"/>
          <w:numId w:val="3"/>
        </w:numPr>
        <w:ind w:left="0" w:firstLine="10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Внесение изменений в сметную документацию Заказчика, кроме применения понижающего коэффициента, не допускается.</w:t>
      </w:r>
    </w:p>
    <w:p w:rsidR="00067D7A" w:rsidRPr="008F660B" w:rsidRDefault="00067D7A">
      <w:pPr>
        <w:rPr>
          <w:b/>
          <w:sz w:val="24"/>
          <w:szCs w:val="24"/>
        </w:rPr>
      </w:pPr>
      <w:bookmarkStart w:id="57" w:name="__RefHeading___Toc15946_2903166146"/>
      <w:bookmarkEnd w:id="57"/>
    </w:p>
    <w:p w:rsidR="00067D7A" w:rsidRPr="008F660B" w:rsidRDefault="008F660B" w:rsidP="008F660B">
      <w:pPr>
        <w:pStyle w:val="22"/>
        <w:tabs>
          <w:tab w:val="clear" w:pos="1440"/>
        </w:tabs>
        <w:ind w:firstLine="1134"/>
        <w:jc w:val="left"/>
      </w:pPr>
      <w:bookmarkStart w:id="58" w:name="__RefHeading___Toc8298_4098624048"/>
      <w:bookmarkStart w:id="59" w:name="_Toc147320090"/>
      <w:bookmarkEnd w:id="58"/>
      <w:r w:rsidRPr="008F660B">
        <w:rPr>
          <w:iCs/>
          <w:lang w:val="ru-RU"/>
        </w:rPr>
        <w:t xml:space="preserve">4. </w:t>
      </w:r>
      <w:r w:rsidRPr="008F660B">
        <w:rPr>
          <w:iCs/>
        </w:rPr>
        <w:t>Приложения</w:t>
      </w:r>
      <w:bookmarkEnd w:id="59"/>
    </w:p>
    <w:p w:rsidR="00067D7A" w:rsidRPr="008F660B" w:rsidRDefault="008F660B" w:rsidP="008F660B">
      <w:pPr>
        <w:pStyle w:val="aff2"/>
        <w:numPr>
          <w:ilvl w:val="0"/>
          <w:numId w:val="7"/>
        </w:numPr>
        <w:spacing w:line="276" w:lineRule="auto"/>
        <w:ind w:firstLine="414"/>
        <w:jc w:val="both"/>
        <w:rPr>
          <w:sz w:val="24"/>
          <w:szCs w:val="24"/>
        </w:rPr>
      </w:pPr>
      <w:r w:rsidRPr="008F660B">
        <w:rPr>
          <w:bCs/>
          <w:sz w:val="24"/>
          <w:szCs w:val="24"/>
        </w:rPr>
        <w:t>Требования к оформлению и с</w:t>
      </w:r>
      <w:r>
        <w:rPr>
          <w:bCs/>
          <w:sz w:val="24"/>
          <w:szCs w:val="24"/>
        </w:rPr>
        <w:t>оставлению сметной документации</w:t>
      </w:r>
    </w:p>
    <w:p w:rsidR="00067D7A" w:rsidRPr="008F660B" w:rsidRDefault="00067D7A">
      <w:pPr>
        <w:pStyle w:val="aff2"/>
        <w:spacing w:line="276" w:lineRule="auto"/>
        <w:ind w:left="720"/>
        <w:jc w:val="both"/>
        <w:rPr>
          <w:sz w:val="24"/>
          <w:szCs w:val="24"/>
        </w:rPr>
      </w:pPr>
    </w:p>
    <w:sectPr w:rsidR="00067D7A" w:rsidRPr="008F660B">
      <w:headerReference w:type="default" r:id="rId11"/>
      <w:headerReference w:type="first" r:id="rId12"/>
      <w:pgSz w:w="11906" w:h="16838"/>
      <w:pgMar w:top="737" w:right="851" w:bottom="992" w:left="851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E5B" w:rsidRDefault="00660E5B">
      <w:r>
        <w:separator/>
      </w:r>
    </w:p>
  </w:endnote>
  <w:endnote w:type="continuationSeparator" w:id="0">
    <w:p w:rsidR="00660E5B" w:rsidRDefault="006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E5B" w:rsidRDefault="00660E5B">
      <w:r>
        <w:separator/>
      </w:r>
    </w:p>
  </w:footnote>
  <w:footnote w:type="continuationSeparator" w:id="0">
    <w:p w:rsidR="00660E5B" w:rsidRDefault="0066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aff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aff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B872DA"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aff7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aff7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EE3"/>
    <w:multiLevelType w:val="multilevel"/>
    <w:tmpl w:val="74F6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9089B"/>
    <w:multiLevelType w:val="multilevel"/>
    <w:tmpl w:val="C940530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CAC51A8"/>
    <w:multiLevelType w:val="multilevel"/>
    <w:tmpl w:val="DAA0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35F4B50"/>
    <w:multiLevelType w:val="multilevel"/>
    <w:tmpl w:val="E58E0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593053"/>
    <w:multiLevelType w:val="multilevel"/>
    <w:tmpl w:val="5B740EA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502" w:hanging="360"/>
      </w:pPr>
    </w:lvl>
    <w:lvl w:ilvl="2">
      <w:start w:val="1"/>
      <w:numFmt w:val="decimal"/>
      <w:pStyle w:val="a"/>
      <w:lvlText w:val="%1.%2.%3."/>
      <w:lvlJc w:val="left"/>
      <w:pPr>
        <w:tabs>
          <w:tab w:val="num" w:pos="0"/>
        </w:tabs>
        <w:ind w:left="108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24D077A3"/>
    <w:multiLevelType w:val="multilevel"/>
    <w:tmpl w:val="15EA2AA2"/>
    <w:lvl w:ilvl="0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1"/>
        </w:tabs>
        <w:ind w:left="128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1"/>
        </w:tabs>
        <w:ind w:left="164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1"/>
        </w:tabs>
        <w:ind w:left="236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1"/>
        </w:tabs>
        <w:ind w:left="272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1"/>
        </w:tabs>
        <w:ind w:left="344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1"/>
        </w:tabs>
        <w:ind w:left="3801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FD36CEC"/>
    <w:multiLevelType w:val="multilevel"/>
    <w:tmpl w:val="B1CEC02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>
        <w:sz w:val="24"/>
        <w:szCs w:val="24"/>
      </w:rPr>
    </w:lvl>
  </w:abstractNum>
  <w:abstractNum w:abstractNumId="7" w15:restartNumberingAfterBreak="0">
    <w:nsid w:val="302A7872"/>
    <w:multiLevelType w:val="multilevel"/>
    <w:tmpl w:val="F9921524"/>
    <w:lvl w:ilvl="0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12"/>
        </w:tabs>
        <w:ind w:left="181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72"/>
        </w:tabs>
        <w:ind w:left="21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92"/>
        </w:tabs>
        <w:ind w:left="28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52"/>
        </w:tabs>
        <w:ind w:left="32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72"/>
        </w:tabs>
        <w:ind w:left="39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32"/>
        </w:tabs>
        <w:ind w:left="4332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EEC1305"/>
    <w:multiLevelType w:val="multilevel"/>
    <w:tmpl w:val="DB4ECA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40930004"/>
    <w:multiLevelType w:val="multilevel"/>
    <w:tmpl w:val="7070042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46C94906"/>
    <w:multiLevelType w:val="multilevel"/>
    <w:tmpl w:val="6DC8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1"/>
      <w:lvlText w:val="%2.%3"/>
      <w:lvlJc w:val="left"/>
      <w:pPr>
        <w:tabs>
          <w:tab w:val="num" w:pos="1440"/>
        </w:tabs>
        <w:ind w:left="1440" w:hanging="360"/>
      </w:pPr>
      <w:rPr>
        <w:b/>
        <w:sz w:val="24"/>
      </w:r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11" w15:restartNumberingAfterBreak="0">
    <w:nsid w:val="4F9976A9"/>
    <w:multiLevelType w:val="multilevel"/>
    <w:tmpl w:val="FC1C836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2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3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2" w15:restartNumberingAfterBreak="0">
    <w:nsid w:val="5F563890"/>
    <w:multiLevelType w:val="multilevel"/>
    <w:tmpl w:val="512EB8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474023C"/>
    <w:multiLevelType w:val="multilevel"/>
    <w:tmpl w:val="CCF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9BF224D"/>
    <w:multiLevelType w:val="multilevel"/>
    <w:tmpl w:val="2E5CE5C6"/>
    <w:lvl w:ilvl="0">
      <w:start w:val="1"/>
      <w:numFmt w:val="bullet"/>
      <w:pStyle w:val="4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D678E5"/>
    <w:multiLevelType w:val="multilevel"/>
    <w:tmpl w:val="8478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9592D4B"/>
    <w:multiLevelType w:val="multilevel"/>
    <w:tmpl w:val="B1A6A3FA"/>
    <w:lvl w:ilvl="0">
      <w:numFmt w:val="decimal"/>
      <w:lvlText w:val="2.1.2.%1."/>
      <w:lvlJc w:val="left"/>
      <w:pPr>
        <w:tabs>
          <w:tab w:val="num" w:pos="284"/>
        </w:tabs>
        <w:ind w:left="0" w:firstLine="0"/>
      </w:pPr>
    </w:lvl>
    <w:lvl w:ilvl="1">
      <w:start w:val="1"/>
      <w:numFmt w:val="decimal"/>
      <w:pStyle w:val="a4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13"/>
  </w:num>
  <w:num w:numId="12">
    <w:abstractNumId w:val="15"/>
  </w:num>
  <w:num w:numId="13">
    <w:abstractNumId w:val="7"/>
  </w:num>
  <w:num w:numId="14">
    <w:abstractNumId w:val="5"/>
  </w:num>
  <w:num w:numId="15">
    <w:abstractNumId w:val="16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7A"/>
    <w:rsid w:val="00067D7A"/>
    <w:rsid w:val="00660E5B"/>
    <w:rsid w:val="008F660B"/>
    <w:rsid w:val="00B872DA"/>
    <w:rsid w:val="00F2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6B92"/>
  <w15:docId w15:val="{EC06D0FC-A38D-4566-ADAB-C2C18545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sz w:val="28"/>
      <w:szCs w:val="28"/>
    </w:rPr>
  </w:style>
  <w:style w:type="paragraph" w:styleId="1">
    <w:name w:val="heading 1"/>
    <w:basedOn w:val="31"/>
    <w:next w:val="a5"/>
    <w:link w:val="10"/>
    <w:qFormat/>
    <w:pPr>
      <w:numPr>
        <w:ilvl w:val="2"/>
        <w:numId w:val="3"/>
      </w:numPr>
      <w:ind w:left="0" w:firstLine="1077"/>
      <w:outlineLvl w:val="0"/>
    </w:pPr>
    <w:rPr>
      <w:szCs w:val="28"/>
    </w:rPr>
  </w:style>
  <w:style w:type="paragraph" w:styleId="22">
    <w:name w:val="heading 2"/>
    <w:basedOn w:val="40"/>
    <w:next w:val="a5"/>
    <w:link w:val="23"/>
    <w:qFormat/>
    <w:pPr>
      <w:ind w:left="0" w:firstLine="1077"/>
      <w:jc w:val="both"/>
      <w:outlineLvl w:val="1"/>
    </w:pPr>
  </w:style>
  <w:style w:type="paragraph" w:styleId="31">
    <w:name w:val="heading 3"/>
    <w:basedOn w:val="a5"/>
    <w:next w:val="a5"/>
    <w:link w:val="32"/>
    <w:autoRedefine/>
    <w:qFormat/>
    <w:pPr>
      <w:keepNext/>
      <w:tabs>
        <w:tab w:val="left" w:pos="1440"/>
      </w:tabs>
      <w:spacing w:before="120" w:after="60"/>
      <w:ind w:left="1440" w:hanging="3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1"/>
    <w:next w:val="a5"/>
    <w:link w:val="41"/>
    <w:qFormat/>
    <w:pPr>
      <w:outlineLvl w:val="3"/>
    </w:pPr>
    <w:rPr>
      <w:bCs/>
    </w:rPr>
  </w:style>
  <w:style w:type="paragraph" w:styleId="5">
    <w:name w:val="heading 5"/>
    <w:basedOn w:val="a5"/>
    <w:next w:val="a5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5"/>
    <w:next w:val="a5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5"/>
    <w:next w:val="a5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5"/>
    <w:next w:val="a5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5"/>
    <w:next w:val="a5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b">
    <w:name w:val="page number"/>
    <w:basedOn w:val="a6"/>
    <w:qFormat/>
  </w:style>
  <w:style w:type="character" w:styleId="ac">
    <w:name w:val="Hyperlink"/>
    <w:basedOn w:val="a6"/>
    <w:uiPriority w:val="99"/>
    <w:unhideWhenUsed/>
    <w:rsid w:val="00A42B4B"/>
    <w:rPr>
      <w:color w:val="0563C1" w:themeColor="hyperlink"/>
      <w:u w:val="single"/>
    </w:rPr>
  </w:style>
  <w:style w:type="character" w:styleId="ad">
    <w:name w:val="annotation reference"/>
    <w:qFormat/>
    <w:rPr>
      <w:sz w:val="16"/>
      <w:szCs w:val="16"/>
    </w:rPr>
  </w:style>
  <w:style w:type="character" w:styleId="ae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Pr>
      <w:rFonts w:eastAsia="Calibri"/>
      <w:b/>
      <w:sz w:val="24"/>
      <w:szCs w:val="24"/>
      <w:lang w:val="x-none" w:eastAsia="x-none"/>
    </w:rPr>
  </w:style>
  <w:style w:type="character" w:customStyle="1" w:styleId="41">
    <w:name w:val="Заголовок 4 Знак"/>
    <w:link w:val="40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f">
    <w:name w:val="Название Знак"/>
    <w:link w:val="11"/>
    <w:qFormat/>
    <w:rPr>
      <w:sz w:val="28"/>
    </w:rPr>
  </w:style>
  <w:style w:type="character" w:customStyle="1" w:styleId="af0">
    <w:name w:val="Подзаголовок Знак"/>
    <w:link w:val="af1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2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3">
    <w:name w:val="Выделенная цитата Знак"/>
    <w:link w:val="af4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5">
    <w:name w:val="Subtle Emphasis"/>
    <w:qFormat/>
    <w:rPr>
      <w:i/>
      <w:iCs/>
      <w:color w:val="808080"/>
    </w:rPr>
  </w:style>
  <w:style w:type="character" w:styleId="af6">
    <w:name w:val="Intense Emphasis"/>
    <w:qFormat/>
    <w:rPr>
      <w:b/>
      <w:bCs/>
      <w:i/>
      <w:iCs/>
      <w:color w:val="4F81BD"/>
    </w:rPr>
  </w:style>
  <w:style w:type="character" w:styleId="af7">
    <w:name w:val="Subtle Reference"/>
    <w:qFormat/>
    <w:rPr>
      <w:smallCaps/>
      <w:color w:val="C0504D"/>
      <w:u w:val="single"/>
    </w:rPr>
  </w:style>
  <w:style w:type="character" w:styleId="af8">
    <w:name w:val="Intense Reference"/>
    <w:qFormat/>
    <w:rPr>
      <w:b/>
      <w:bCs/>
      <w:smallCaps/>
      <w:color w:val="C0504D"/>
      <w:spacing w:val="5"/>
      <w:u w:val="single"/>
    </w:rPr>
  </w:style>
  <w:style w:type="character" w:styleId="af9">
    <w:name w:val="Book Title"/>
    <w:qFormat/>
    <w:rPr>
      <w:b/>
      <w:bCs/>
      <w:smallCaps/>
      <w:spacing w:val="5"/>
    </w:rPr>
  </w:style>
  <w:style w:type="character" w:customStyle="1" w:styleId="afa">
    <w:name w:val="Электронная подпись Знак"/>
    <w:link w:val="afb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c"/>
    <w:qFormat/>
    <w:rPr>
      <w:sz w:val="28"/>
    </w:rPr>
  </w:style>
  <w:style w:type="character" w:customStyle="1" w:styleId="afd">
    <w:name w:val="Текст сноски Знак"/>
    <w:link w:val="afe"/>
    <w:qFormat/>
  </w:style>
  <w:style w:type="character" w:customStyle="1" w:styleId="aff">
    <w:name w:val="Основной текст Знак"/>
    <w:link w:val="aff0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1">
    <w:name w:val="Абзац списка Знак"/>
    <w:link w:val="aff2"/>
    <w:qFormat/>
    <w:rPr>
      <w:rFonts w:eastAsia="Calibri"/>
      <w:sz w:val="24"/>
      <w:szCs w:val="24"/>
    </w:rPr>
  </w:style>
  <w:style w:type="character" w:customStyle="1" w:styleId="aff3">
    <w:name w:val="комментарий"/>
    <w:qFormat/>
    <w:rPr>
      <w:b/>
      <w:i/>
      <w:shd w:val="clear" w:color="auto" w:fill="FFFF99"/>
    </w:rPr>
  </w:style>
  <w:style w:type="character" w:customStyle="1" w:styleId="aff4">
    <w:name w:val="Подподпункт Знак"/>
    <w:link w:val="aff5"/>
    <w:qFormat/>
    <w:rPr>
      <w:sz w:val="26"/>
      <w:szCs w:val="26"/>
    </w:rPr>
  </w:style>
  <w:style w:type="character" w:customStyle="1" w:styleId="33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6">
    <w:name w:val="Верхний колонтитул Знак"/>
    <w:link w:val="aff7"/>
    <w:qFormat/>
    <w:rPr>
      <w:sz w:val="24"/>
      <w:szCs w:val="24"/>
    </w:rPr>
  </w:style>
  <w:style w:type="character" w:customStyle="1" w:styleId="aff8">
    <w:name w:val="Текст примечания Знак"/>
    <w:link w:val="aff9"/>
    <w:qFormat/>
  </w:style>
  <w:style w:type="character" w:customStyle="1" w:styleId="affa">
    <w:name w:val="Текст концевой сноски Знак"/>
    <w:basedOn w:val="a6"/>
    <w:link w:val="affb"/>
    <w:qFormat/>
  </w:style>
  <w:style w:type="character" w:customStyle="1" w:styleId="affc">
    <w:name w:val="Символ концевой сноски"/>
    <w:qFormat/>
    <w:rPr>
      <w:vertAlign w:val="superscript"/>
    </w:rPr>
  </w:style>
  <w:style w:type="character" w:styleId="affd">
    <w:name w:val="endnote reference"/>
    <w:rPr>
      <w:vertAlign w:val="superscript"/>
    </w:rPr>
  </w:style>
  <w:style w:type="character" w:customStyle="1" w:styleId="EndnoteCharacters">
    <w:name w:val="Endnote Characters"/>
    <w:basedOn w:val="a6"/>
    <w:qFormat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6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ConsPlusNormal">
    <w:name w:val="ConsPlusNormal Знак"/>
    <w:link w:val="ConsPlusNormal0"/>
    <w:qFormat/>
    <w:rPr>
      <w:rFonts w:ascii="Arial" w:hAnsi="Arial" w:cs="Arial"/>
    </w:rPr>
  </w:style>
  <w:style w:type="character" w:customStyle="1" w:styleId="affe">
    <w:name w:val="Ссылка указателя"/>
    <w:qFormat/>
  </w:style>
  <w:style w:type="character" w:customStyle="1" w:styleId="afff">
    <w:name w:val="Символ нумерации"/>
    <w:qFormat/>
    <w:rPr>
      <w:sz w:val="24"/>
      <w:szCs w:val="24"/>
    </w:rPr>
  </w:style>
  <w:style w:type="character" w:customStyle="1" w:styleId="afff0">
    <w:name w:val="Маркеры"/>
    <w:qFormat/>
    <w:rPr>
      <w:rFonts w:ascii="OpenSymbol" w:eastAsia="OpenSymbol" w:hAnsi="OpenSymbol" w:cs="OpenSymbol"/>
    </w:rPr>
  </w:style>
  <w:style w:type="character" w:customStyle="1" w:styleId="CharStyle8">
    <w:name w:val="Char Style 8"/>
    <w:basedOn w:val="a6"/>
    <w:link w:val="Style7"/>
    <w:qFormat/>
    <w:rsid w:val="0017632E"/>
    <w:rPr>
      <w:sz w:val="23"/>
      <w:szCs w:val="23"/>
      <w:shd w:val="clear" w:color="auto" w:fill="FFFFFF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sz w:val="24"/>
      <w:szCs w:val="24"/>
    </w:rPr>
  </w:style>
  <w:style w:type="character" w:customStyle="1" w:styleId="WW8Num12z1">
    <w:name w:val="WW8Num12z1"/>
    <w:qFormat/>
    <w:rPr>
      <w:b w:val="0"/>
    </w:rPr>
  </w:style>
  <w:style w:type="character" w:customStyle="1" w:styleId="WW8Num12z2">
    <w:name w:val="WW8Num12z2"/>
    <w:qFormat/>
  </w:style>
  <w:style w:type="paragraph" w:styleId="afff1">
    <w:name w:val="Title"/>
    <w:basedOn w:val="a5"/>
    <w:next w:val="aff0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f0">
    <w:name w:val="Body Text"/>
    <w:basedOn w:val="a5"/>
    <w:link w:val="aff"/>
    <w:pPr>
      <w:spacing w:after="120"/>
    </w:pPr>
  </w:style>
  <w:style w:type="paragraph" w:styleId="afff2">
    <w:name w:val="List"/>
    <w:basedOn w:val="aff0"/>
    <w:rPr>
      <w:rFonts w:cs="Lucida Sans"/>
    </w:rPr>
  </w:style>
  <w:style w:type="paragraph" w:styleId="afff3">
    <w:name w:val="caption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5"/>
    <w:next w:val="a5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f1"/>
    <w:qFormat/>
  </w:style>
  <w:style w:type="paragraph" w:customStyle="1" w:styleId="afff5">
    <w:name w:val="Название раздела инструкции"/>
    <w:basedOn w:val="a5"/>
    <w:autoRedefine/>
    <w:qFormat/>
    <w:pPr>
      <w:jc w:val="center"/>
    </w:pPr>
    <w:rPr>
      <w:b/>
      <w:sz w:val="24"/>
      <w:szCs w:val="24"/>
    </w:rPr>
  </w:style>
  <w:style w:type="paragraph" w:customStyle="1" w:styleId="a0">
    <w:name w:val="Раздел положения"/>
    <w:basedOn w:val="a5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1">
    <w:name w:val="Подраздел раздела положения"/>
    <w:basedOn w:val="a5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e">
    <w:name w:val="footnote text"/>
    <w:basedOn w:val="a5"/>
    <w:link w:val="afd"/>
    <w:rPr>
      <w:sz w:val="20"/>
      <w:szCs w:val="20"/>
    </w:rPr>
  </w:style>
  <w:style w:type="paragraph" w:customStyle="1" w:styleId="16">
    <w:name w:val="Шапка 1"/>
    <w:basedOn w:val="a5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5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5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5"/>
    <w:link w:val="af"/>
    <w:qFormat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5"/>
    <w:qFormat/>
  </w:style>
  <w:style w:type="paragraph" w:styleId="aff7">
    <w:name w:val="header"/>
    <w:basedOn w:val="a5"/>
    <w:link w:val="aff6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5"/>
    <w:pPr>
      <w:ind w:left="360"/>
    </w:pPr>
    <w:rPr>
      <w:sz w:val="24"/>
      <w:szCs w:val="24"/>
    </w:rPr>
  </w:style>
  <w:style w:type="paragraph" w:styleId="afff8">
    <w:name w:val="footer"/>
    <w:basedOn w:val="a5"/>
    <w:pPr>
      <w:tabs>
        <w:tab w:val="center" w:pos="4677"/>
        <w:tab w:val="right" w:pos="9355"/>
      </w:tabs>
    </w:pPr>
  </w:style>
  <w:style w:type="paragraph" w:styleId="29">
    <w:name w:val="Body Text Indent 2"/>
    <w:basedOn w:val="a5"/>
    <w:qFormat/>
    <w:pPr>
      <w:spacing w:after="120" w:line="480" w:lineRule="auto"/>
      <w:ind w:left="283"/>
    </w:pPr>
  </w:style>
  <w:style w:type="paragraph" w:styleId="37">
    <w:name w:val="Body Text 3"/>
    <w:basedOn w:val="a5"/>
    <w:qFormat/>
    <w:pPr>
      <w:spacing w:after="120"/>
    </w:pPr>
    <w:rPr>
      <w:sz w:val="16"/>
      <w:szCs w:val="16"/>
    </w:rPr>
  </w:style>
  <w:style w:type="paragraph" w:styleId="35">
    <w:name w:val="Body Text Indent 3"/>
    <w:basedOn w:val="a5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5"/>
    <w:qFormat/>
    <w:pPr>
      <w:spacing w:after="120" w:line="480" w:lineRule="auto"/>
    </w:pPr>
  </w:style>
  <w:style w:type="paragraph" w:styleId="afff9">
    <w:name w:val="Block Text"/>
    <w:basedOn w:val="a5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c">
    <w:name w:val="Подпункт"/>
    <w:basedOn w:val="a5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5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5"/>
    <w:next w:val="a5"/>
    <w:autoRedefine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5"/>
    <w:next w:val="a5"/>
    <w:autoRedefine/>
    <w:uiPriority w:val="39"/>
    <w:pPr>
      <w:tabs>
        <w:tab w:val="left" w:pos="1120"/>
        <w:tab w:val="right" w:leader="dot" w:pos="9911"/>
      </w:tabs>
      <w:ind w:left="567"/>
    </w:pPr>
    <w:rPr>
      <w:rFonts w:cs="Calibri"/>
      <w:sz w:val="20"/>
      <w:szCs w:val="20"/>
    </w:rPr>
  </w:style>
  <w:style w:type="paragraph" w:customStyle="1" w:styleId="afffa">
    <w:name w:val="Раздел регламента"/>
    <w:basedOn w:val="a5"/>
    <w:qFormat/>
  </w:style>
  <w:style w:type="paragraph" w:customStyle="1" w:styleId="afffb">
    <w:name w:val="Приложение к регламенту"/>
    <w:basedOn w:val="a5"/>
    <w:qFormat/>
    <w:pPr>
      <w:jc w:val="right"/>
    </w:pPr>
  </w:style>
  <w:style w:type="paragraph" w:styleId="2b">
    <w:name w:val="toc 2"/>
    <w:basedOn w:val="a5"/>
    <w:next w:val="a5"/>
    <w:autoRedefine/>
    <w:uiPriority w:val="39"/>
    <w:pPr>
      <w:spacing w:before="240"/>
    </w:pPr>
    <w:rPr>
      <w:rFonts w:cs="Calibri"/>
      <w:b/>
      <w:bCs/>
      <w:sz w:val="20"/>
      <w:szCs w:val="20"/>
    </w:rPr>
  </w:style>
  <w:style w:type="paragraph" w:styleId="afffc">
    <w:name w:val="Balloon Text"/>
    <w:basedOn w:val="a5"/>
    <w:qFormat/>
    <w:rPr>
      <w:rFonts w:ascii="Tahoma" w:hAnsi="Tahoma" w:cs="Tahoma"/>
      <w:sz w:val="16"/>
      <w:szCs w:val="16"/>
    </w:rPr>
  </w:style>
  <w:style w:type="paragraph" w:styleId="aff9">
    <w:name w:val="annotation text"/>
    <w:basedOn w:val="a5"/>
    <w:link w:val="aff8"/>
    <w:qFormat/>
    <w:rPr>
      <w:sz w:val="20"/>
      <w:szCs w:val="20"/>
    </w:rPr>
  </w:style>
  <w:style w:type="paragraph" w:styleId="afffd">
    <w:name w:val="annotation subject"/>
    <w:basedOn w:val="aff9"/>
    <w:next w:val="aff9"/>
    <w:qFormat/>
    <w:rPr>
      <w:b/>
      <w:bCs/>
    </w:rPr>
  </w:style>
  <w:style w:type="paragraph" w:customStyle="1" w:styleId="18">
    <w:name w:val="Обычный (веб)1"/>
    <w:basedOn w:val="a5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5"/>
    <w:next w:val="a5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5"/>
    <w:next w:val="a5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5"/>
    <w:next w:val="a5"/>
    <w:autoRedefine/>
    <w:uiPriority w:val="39"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5"/>
    <w:qFormat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5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5"/>
    <w:qFormat/>
    <w:pPr>
      <w:spacing w:line="360" w:lineRule="auto"/>
    </w:pPr>
    <w:rPr>
      <w:rFonts w:eastAsia="Calibri"/>
      <w:sz w:val="24"/>
      <w:szCs w:val="24"/>
    </w:rPr>
  </w:style>
  <w:style w:type="paragraph" w:styleId="af1">
    <w:name w:val="Subtitle"/>
    <w:basedOn w:val="a5"/>
    <w:next w:val="a5"/>
    <w:link w:val="af0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2">
    <w:name w:val="List Paragraph"/>
    <w:basedOn w:val="a5"/>
    <w:link w:val="aff1"/>
    <w:qFormat/>
    <w:pPr>
      <w:ind w:left="708"/>
    </w:pPr>
  </w:style>
  <w:style w:type="paragraph" w:styleId="25">
    <w:name w:val="Quote"/>
    <w:basedOn w:val="a5"/>
    <w:next w:val="a5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4">
    <w:name w:val="Intense Quote"/>
    <w:basedOn w:val="a5"/>
    <w:next w:val="a5"/>
    <w:link w:val="af3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5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b">
    <w:name w:val="E-mail Signature"/>
    <w:basedOn w:val="a5"/>
    <w:link w:val="afa"/>
    <w:qFormat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5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5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">
    <w:name w:val="List Bullet 4"/>
    <w:basedOn w:val="a5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5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qFormat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5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5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5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5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5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5">
    <w:name w:val="Подподпункт"/>
    <w:basedOn w:val="afc"/>
    <w:link w:val="aff4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2">
    <w:name w:val="УРОВЕНЬ_(а)"/>
    <w:basedOn w:val="aff2"/>
    <w:qFormat/>
    <w:pPr>
      <w:numPr>
        <w:ilvl w:val="3"/>
        <w:numId w:val="4"/>
      </w:numPr>
      <w:spacing w:before="120" w:line="360" w:lineRule="exact"/>
      <w:jc w:val="both"/>
      <w:outlineLvl w:val="3"/>
    </w:pPr>
    <w:rPr>
      <w:sz w:val="26"/>
      <w:lang w:eastAsia="en-US"/>
    </w:rPr>
  </w:style>
  <w:style w:type="paragraph" w:customStyle="1" w:styleId="-">
    <w:name w:val="УРОВЕНЬ_-"/>
    <w:basedOn w:val="aff2"/>
    <w:qFormat/>
    <w:pPr>
      <w:numPr>
        <w:ilvl w:val="4"/>
        <w:numId w:val="4"/>
      </w:numPr>
      <w:spacing w:before="120" w:line="360" w:lineRule="exact"/>
      <w:jc w:val="both"/>
      <w:outlineLvl w:val="4"/>
    </w:pPr>
    <w:rPr>
      <w:sz w:val="26"/>
      <w:lang w:eastAsia="en-US"/>
    </w:rPr>
  </w:style>
  <w:style w:type="paragraph" w:customStyle="1" w:styleId="20">
    <w:name w:val="УРОВЕНЬ_Абзац_тип2"/>
    <w:basedOn w:val="aff2"/>
    <w:qFormat/>
    <w:pPr>
      <w:numPr>
        <w:ilvl w:val="6"/>
        <w:numId w:val="4"/>
      </w:numPr>
      <w:spacing w:before="120" w:line="360" w:lineRule="exact"/>
      <w:jc w:val="both"/>
    </w:pPr>
    <w:rPr>
      <w:sz w:val="26"/>
      <w:lang w:eastAsia="en-US"/>
    </w:rPr>
  </w:style>
  <w:style w:type="paragraph" w:customStyle="1" w:styleId="3">
    <w:name w:val="УРОВЕНЬ_Абзац_тип3"/>
    <w:basedOn w:val="aff2"/>
    <w:link w:val="33"/>
    <w:qFormat/>
    <w:pPr>
      <w:numPr>
        <w:ilvl w:val="7"/>
        <w:numId w:val="4"/>
      </w:numPr>
      <w:spacing w:before="120" w:line="360" w:lineRule="exact"/>
      <w:jc w:val="both"/>
    </w:pPr>
    <w:rPr>
      <w:sz w:val="26"/>
      <w:lang w:eastAsia="en-US"/>
    </w:rPr>
  </w:style>
  <w:style w:type="paragraph" w:customStyle="1" w:styleId="a3">
    <w:name w:val="УРОВЕНЬ_Подпись"/>
    <w:basedOn w:val="aff2"/>
    <w:qFormat/>
    <w:pPr>
      <w:keepNext/>
      <w:numPr>
        <w:ilvl w:val="5"/>
        <w:numId w:val="4"/>
      </w:numPr>
      <w:spacing w:before="120" w:after="120" w:line="360" w:lineRule="exact"/>
      <w:jc w:val="right"/>
      <w:outlineLvl w:val="3"/>
    </w:pPr>
    <w:rPr>
      <w:sz w:val="26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left" w:pos="567"/>
        <w:tab w:val="left" w:pos="1440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b">
    <w:name w:val="endnote text"/>
    <w:basedOn w:val="a5"/>
    <w:link w:val="affa"/>
    <w:rPr>
      <w:sz w:val="20"/>
      <w:szCs w:val="20"/>
    </w:rPr>
  </w:style>
  <w:style w:type="paragraph" w:customStyle="1" w:styleId="2">
    <w:name w:val="Заголовок 2 КВВ"/>
    <w:basedOn w:val="a5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5"/>
    <w:qFormat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5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2"/>
    <w:link w:val="13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lang w:eastAsia="en-US"/>
    </w:rPr>
  </w:style>
  <w:style w:type="paragraph" w:styleId="61">
    <w:name w:val="toc 6"/>
    <w:basedOn w:val="a5"/>
    <w:next w:val="a5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5"/>
    <w:next w:val="a5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5"/>
    <w:next w:val="a5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8">
    <w:name w:val="Содержимое врезки"/>
    <w:basedOn w:val="a5"/>
    <w:qFormat/>
  </w:style>
  <w:style w:type="paragraph" w:customStyle="1" w:styleId="affff9">
    <w:name w:val="Содержимое таблицы"/>
    <w:basedOn w:val="a5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Style7">
    <w:name w:val="Style 7"/>
    <w:basedOn w:val="a5"/>
    <w:link w:val="CharStyle8"/>
    <w:qFormat/>
    <w:rsid w:val="0017632E"/>
    <w:pPr>
      <w:widowControl w:val="0"/>
      <w:shd w:val="clear" w:color="auto" w:fill="FFFFFF"/>
      <w:spacing w:line="418" w:lineRule="exact"/>
      <w:ind w:hanging="740"/>
      <w:jc w:val="center"/>
    </w:pPr>
    <w:rPr>
      <w:sz w:val="23"/>
      <w:szCs w:val="23"/>
    </w:rPr>
  </w:style>
  <w:style w:type="paragraph" w:customStyle="1" w:styleId="a4">
    <w:name w:val="Текст ТЗ"/>
    <w:basedOn w:val="a5"/>
    <w:qFormat/>
    <w:rsid w:val="00061B9C"/>
    <w:pPr>
      <w:numPr>
        <w:ilvl w:val="1"/>
        <w:numId w:val="15"/>
      </w:numPr>
    </w:pPr>
  </w:style>
  <w:style w:type="paragraph" w:customStyle="1" w:styleId="a">
    <w:name w:val="Заголовок для сожерж"/>
    <w:basedOn w:val="1"/>
    <w:qFormat/>
    <w:pPr>
      <w:numPr>
        <w:numId w:val="16"/>
      </w:numPr>
      <w:outlineLvl w:val="9"/>
    </w:pPr>
    <w:rPr>
      <w:szCs w:val="24"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  <w:style w:type="numbering" w:customStyle="1" w:styleId="WW8Num19">
    <w:name w:val="WW8Num19"/>
    <w:qFormat/>
  </w:style>
  <w:style w:type="numbering" w:customStyle="1" w:styleId="WW8Num22">
    <w:name w:val="WW8Num22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16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Котова Анна Сергеевна</cp:lastModifiedBy>
  <cp:revision>72</cp:revision>
  <dcterms:created xsi:type="dcterms:W3CDTF">2023-08-09T07:02:00Z</dcterms:created>
  <dcterms:modified xsi:type="dcterms:W3CDTF">2025-12-03T05:39:00Z</dcterms:modified>
  <dc:language>ru-RU</dc:language>
</cp:coreProperties>
</file>