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31" w:rsidRDefault="00DC639C">
      <w:pPr>
        <w:jc w:val="center"/>
        <w:rPr>
          <w:b/>
          <w:bCs/>
          <w:color w:val="000000"/>
          <w:spacing w:val="-4"/>
        </w:rPr>
      </w:pPr>
      <w:bookmarkStart w:id="0" w:name="_GoBack"/>
      <w:bookmarkEnd w:id="0"/>
      <w:r>
        <w:rPr>
          <w:b/>
          <w:bCs/>
          <w:color w:val="000000"/>
          <w:spacing w:val="-4"/>
        </w:rPr>
        <w:t xml:space="preserve">Раздел </w:t>
      </w:r>
      <w:r>
        <w:rPr>
          <w:b/>
          <w:bCs/>
          <w:color w:val="000000"/>
          <w:spacing w:val="-4"/>
          <w:lang w:val="en-US"/>
        </w:rPr>
        <w:t>III</w:t>
      </w:r>
      <w:r>
        <w:rPr>
          <w:b/>
          <w:bCs/>
          <w:color w:val="000000"/>
          <w:spacing w:val="-4"/>
        </w:rPr>
        <w:t>. ОБОСНОВАНИЕ НАЧАЛЬНОЙ МАКСИМАЛЬНОЙ ЦЕНЫ ЕДИНИЦЫ</w:t>
      </w:r>
    </w:p>
    <w:p w:rsidR="007B5F31" w:rsidRDefault="00572153">
      <w:pPr>
        <w:shd w:val="clear" w:color="auto" w:fill="FFFFFF"/>
        <w:ind w:firstLine="567"/>
        <w:textAlignment w:val="baseline"/>
        <w:outlineLvl w:val="1"/>
        <w:rPr>
          <w:spacing w:val="2"/>
          <w:shd w:val="clear" w:color="auto" w:fill="FFFFFF"/>
        </w:rPr>
      </w:pPr>
      <w:hyperlink r:id="rId5" w:history="1">
        <w:r w:rsidR="00DC639C">
          <w:rPr>
            <w:spacing w:val="2"/>
            <w:shd w:val="clear" w:color="auto" w:fill="FFFFFF"/>
          </w:rPr>
          <w:t>Федеральный закон от 18.07.2011 г. N 223-ФЗ</w:t>
        </w:r>
      </w:hyperlink>
      <w:r w:rsidR="00DC639C">
        <w:rPr>
          <w:spacing w:val="2"/>
          <w:shd w:val="clear" w:color="auto" w:fill="FFFFFF"/>
        </w:rPr>
        <w:t> устанавливает только общие принципы закупки товаров, работ, услуг и основные требования к закупке товаров, работ, услуг видами и категориями юридических лиц, указанных в </w:t>
      </w:r>
      <w:hyperlink r:id="rId6" w:history="1">
        <w:r w:rsidR="00DC639C">
          <w:rPr>
            <w:spacing w:val="2"/>
            <w:shd w:val="clear" w:color="auto" w:fill="FFFFFF"/>
          </w:rPr>
          <w:t>ч. 2 ст. 1 Федерального закона от 18.07.2011 г. N 223-ФЗ</w:t>
        </w:r>
      </w:hyperlink>
      <w:r w:rsidR="00DC639C">
        <w:rPr>
          <w:spacing w:val="2"/>
          <w:shd w:val="clear" w:color="auto" w:fill="FFFFFF"/>
        </w:rPr>
        <w:t>.</w:t>
      </w:r>
    </w:p>
    <w:p w:rsidR="007B5F31" w:rsidRDefault="00DC639C">
      <w:pPr>
        <w:shd w:val="clear" w:color="auto" w:fill="FFFFFF"/>
        <w:ind w:firstLine="567"/>
        <w:textAlignment w:val="baseline"/>
        <w:outlineLvl w:val="1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Документация о закупке должна содержать сведения о начальной (максимальной) цене Договора (цене лота) (</w:t>
      </w:r>
      <w:hyperlink r:id="rId7" w:history="1">
        <w:r>
          <w:rPr>
            <w:spacing w:val="2"/>
            <w:shd w:val="clear" w:color="auto" w:fill="FFFFFF"/>
          </w:rPr>
          <w:t>п. 5 ч. 10 ст. 4 Федерального закона от 18.07.2011 г. N 223-ФЗ</w:t>
        </w:r>
      </w:hyperlink>
      <w:r>
        <w:rPr>
          <w:spacing w:val="2"/>
          <w:shd w:val="clear" w:color="auto" w:fill="FFFFFF"/>
        </w:rPr>
        <w:t>).</w:t>
      </w:r>
    </w:p>
    <w:p w:rsidR="007B5F31" w:rsidRDefault="00DC639C">
      <w:pPr>
        <w:shd w:val="clear" w:color="auto" w:fill="FFFFFF"/>
        <w:ind w:firstLine="567"/>
        <w:textAlignment w:val="baseline"/>
        <w:outlineLvl w:val="1"/>
      </w:pPr>
      <w:r>
        <w:rPr>
          <w:spacing w:val="2"/>
          <w:shd w:val="clear" w:color="auto" w:fill="FFFFFF"/>
        </w:rPr>
        <w:t>Из вышеприведенных норм, безусловно, следует, что заказчик обязан установить НМЦЕ, заключаемого по результатам закупки. Вместе с тем требования об обосновании НМЦЕ нормы </w:t>
      </w:r>
      <w:hyperlink r:id="rId8" w:history="1">
        <w:r>
          <w:rPr>
            <w:spacing w:val="2"/>
            <w:shd w:val="clear" w:color="auto" w:fill="FFFFFF"/>
          </w:rPr>
          <w:t>Федерального закона от 18.07.2011 г. N 223-ФЗ</w:t>
        </w:r>
      </w:hyperlink>
      <w:r>
        <w:rPr>
          <w:spacing w:val="2"/>
          <w:shd w:val="clear" w:color="auto" w:fill="FFFFFF"/>
        </w:rPr>
        <w:t> не содержат. Как видно из </w:t>
      </w:r>
      <w:hyperlink r:id="rId9" w:history="1">
        <w:r>
          <w:rPr>
            <w:spacing w:val="2"/>
            <w:shd w:val="clear" w:color="auto" w:fill="FFFFFF"/>
          </w:rPr>
          <w:t>п. 7 ч. 10 ст. 4 Федерального закона от 18.07.2011 г. N 223-ФЗ</w:t>
        </w:r>
      </w:hyperlink>
      <w:r>
        <w:rPr>
          <w:spacing w:val="2"/>
          <w:shd w:val="clear" w:color="auto" w:fill="FFFFFF"/>
        </w:rPr>
        <w:t xml:space="preserve"> документация о закупке должна также включать порядок формирования цены Договора (цены лота) (с учетом или без учета расходов на перевозку (транспортировку), страхование, уплату таможенных пошлин, налогов и других обязательных платежей) в </w:t>
      </w:r>
      <w:r>
        <w:rPr>
          <w:i/>
        </w:rPr>
        <w:t>Информационной карте аукциона</w:t>
      </w:r>
      <w:r>
        <w:rPr>
          <w:i/>
          <w:spacing w:val="2"/>
          <w:shd w:val="clear" w:color="auto" w:fill="FFFFFF"/>
        </w:rPr>
        <w:t>.</w:t>
      </w:r>
    </w:p>
    <w:p w:rsidR="007B5F31" w:rsidRDefault="00DC639C">
      <w:pPr>
        <w:shd w:val="clear" w:color="auto" w:fill="FFFFFF"/>
        <w:ind w:firstLine="567"/>
        <w:textAlignment w:val="baseline"/>
        <w:outlineLvl w:val="1"/>
      </w:pPr>
      <w:r>
        <w:t>Методы расчета начальной (максимальной) цены Договора (Договора):</w:t>
      </w:r>
    </w:p>
    <w:p w:rsidR="007B5F31" w:rsidRDefault="00DC639C">
      <w:pPr>
        <w:tabs>
          <w:tab w:val="left" w:pos="0"/>
        </w:tabs>
        <w:ind w:firstLine="567"/>
      </w:pPr>
      <w:r>
        <w:t>1.Метод сопоставимых рыночных цен (анализа рынка): в целях определения НМЦ сформирована таблица цен на основе информации, полученной в результате проведения анализа рынка и определена однородность совокупности значений выявленных цен (коэффициент вариации).</w:t>
      </w:r>
    </w:p>
    <w:p w:rsidR="007B5F31" w:rsidRDefault="00DC639C">
      <w:pPr>
        <w:tabs>
          <w:tab w:val="left" w:pos="0"/>
        </w:tabs>
        <w:autoSpaceDE w:val="0"/>
        <w:autoSpaceDN w:val="0"/>
        <w:adjustRightInd w:val="0"/>
        <w:ind w:firstLine="567"/>
        <w:outlineLvl w:val="0"/>
      </w:pPr>
      <w:r>
        <w:t>В целях определения однородности совокупности значений выявленных цен, используемых в расчете НМЦ, определен коэффициент вариации по 3 коммерческим предложениям по формуле: Коэффициент вариации цены определяется по следующей формуле:</w:t>
      </w:r>
    </w:p>
    <w:p w:rsidR="007B5F31" w:rsidRDefault="00DC639C">
      <w:pPr>
        <w:tabs>
          <w:tab w:val="left" w:pos="0"/>
        </w:tabs>
        <w:autoSpaceDE w:val="0"/>
        <w:autoSpaceDN w:val="0"/>
        <w:adjustRightInd w:val="0"/>
        <w:ind w:firstLine="567"/>
        <w:outlineLvl w:val="0"/>
      </w:pPr>
      <w:bookmarkStart w:id="1" w:name="_Toc83028001"/>
      <w:bookmarkStart w:id="2" w:name="_Toc83026862"/>
      <w:bookmarkStart w:id="3" w:name="_Toc83025832"/>
      <w:bookmarkStart w:id="4" w:name="_Toc83024393"/>
      <w:bookmarkStart w:id="5" w:name="_Toc83025440"/>
      <w:bookmarkStart w:id="6" w:name="_Toc83028256"/>
      <w:bookmarkStart w:id="7" w:name="_Toc83030732"/>
      <w:bookmarkStart w:id="8" w:name="_Toc83028489"/>
      <w:bookmarkStart w:id="9" w:name="_Toc83025298"/>
      <w:bookmarkStart w:id="10" w:name="_Toc83025157"/>
      <w:bookmarkStart w:id="11" w:name="_Toc83025576"/>
      <w:r>
        <w:rPr>
          <w:noProof/>
        </w:rPr>
        <w:drawing>
          <wp:inline distT="0" distB="0" distL="0" distR="0">
            <wp:extent cx="1196975" cy="419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010" cy="41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bookmarkStart w:id="12" w:name="_Toc83025833"/>
      <w:bookmarkStart w:id="13" w:name="_Toc83028490"/>
      <w:bookmarkStart w:id="14" w:name="_Toc83030733"/>
      <w:bookmarkStart w:id="15" w:name="_Toc83025158"/>
      <w:bookmarkStart w:id="16" w:name="_Toc83026863"/>
      <w:bookmarkStart w:id="17" w:name="_Toc83025299"/>
      <w:bookmarkStart w:id="18" w:name="_Toc83028002"/>
      <w:bookmarkStart w:id="19" w:name="_Toc83028257"/>
      <w:bookmarkStart w:id="20" w:name="_Toc83024394"/>
      <w:bookmarkStart w:id="21" w:name="_Toc83025441"/>
      <w:bookmarkStart w:id="22" w:name="_Toc8302557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где:</w:t>
      </w:r>
      <w:bookmarkStart w:id="23" w:name="_Toc83028258"/>
      <w:bookmarkStart w:id="24" w:name="_Toc83025300"/>
      <w:bookmarkStart w:id="25" w:name="_Toc83026864"/>
      <w:bookmarkStart w:id="26" w:name="_Toc83030734"/>
      <w:bookmarkStart w:id="27" w:name="_Toc83025834"/>
      <w:bookmarkStart w:id="28" w:name="_Toc83025442"/>
      <w:bookmarkStart w:id="29" w:name="_Toc83024395"/>
      <w:bookmarkStart w:id="30" w:name="_Toc83028491"/>
      <w:bookmarkStart w:id="31" w:name="_Toc83025159"/>
      <w:bookmarkStart w:id="32" w:name="_Toc83028003"/>
      <w:bookmarkStart w:id="33" w:name="_Toc83025578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V - коэффициент вариации;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noProof/>
        </w:rPr>
        <w:drawing>
          <wp:inline distT="0" distB="0" distL="0" distR="0">
            <wp:extent cx="164084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6449" cy="56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4" w:name="_Toc83025160"/>
      <w:bookmarkStart w:id="35" w:name="_Toc83028004"/>
      <w:bookmarkStart w:id="36" w:name="_Toc83026865"/>
      <w:bookmarkStart w:id="37" w:name="_Toc83028492"/>
      <w:bookmarkStart w:id="38" w:name="_Toc83030735"/>
      <w:bookmarkStart w:id="39" w:name="_Toc83025579"/>
      <w:bookmarkStart w:id="40" w:name="_Toc83028259"/>
      <w:bookmarkStart w:id="41" w:name="_Toc83025835"/>
      <w:bookmarkStart w:id="42" w:name="_Toc83025443"/>
      <w:bookmarkStart w:id="43" w:name="_Toc83024396"/>
      <w:bookmarkStart w:id="44" w:name="_Toc83025301"/>
      <w:r>
        <w:t xml:space="preserve"> - среднее квадратичное отклонение;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7B5F31" w:rsidRDefault="00DC639C">
      <w:pPr>
        <w:autoSpaceDE w:val="0"/>
        <w:autoSpaceDN w:val="0"/>
        <w:adjustRightInd w:val="0"/>
        <w:ind w:firstLine="567"/>
        <w:outlineLvl w:val="0"/>
      </w:pPr>
      <w:bookmarkStart w:id="45" w:name="_Toc83028005"/>
      <w:bookmarkStart w:id="46" w:name="_Toc83026866"/>
      <w:bookmarkStart w:id="47" w:name="_Toc83025161"/>
      <w:bookmarkStart w:id="48" w:name="_Toc83025302"/>
      <w:bookmarkStart w:id="49" w:name="_Toc83028493"/>
      <w:bookmarkStart w:id="50" w:name="_Toc83028260"/>
      <w:bookmarkStart w:id="51" w:name="_Toc83024397"/>
      <w:bookmarkStart w:id="52" w:name="_Toc83025444"/>
      <w:bookmarkStart w:id="53" w:name="_Toc83025836"/>
      <w:bookmarkStart w:id="54" w:name="_Toc83030736"/>
      <w:bookmarkStart w:id="55" w:name="_Toc83025580"/>
      <w:r>
        <w:rPr>
          <w:noProof/>
          <w:sz w:val="20"/>
          <w:szCs w:val="20"/>
        </w:rPr>
        <w:drawing>
          <wp:inline distT="0" distB="0" distL="0" distR="0">
            <wp:extent cx="171450" cy="257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- цена единицы товара, работы, услуги, указанная в источнике с номером i;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7B5F31" w:rsidRDefault="00DC639C">
      <w:pPr>
        <w:autoSpaceDE w:val="0"/>
        <w:autoSpaceDN w:val="0"/>
        <w:adjustRightInd w:val="0"/>
        <w:ind w:firstLine="567"/>
        <w:outlineLvl w:val="0"/>
      </w:pPr>
      <w:bookmarkStart w:id="56" w:name="_Toc83025445"/>
      <w:bookmarkStart w:id="57" w:name="_Toc83024398"/>
      <w:bookmarkStart w:id="58" w:name="_Toc83028261"/>
      <w:bookmarkStart w:id="59" w:name="_Toc83028006"/>
      <w:bookmarkStart w:id="60" w:name="_Toc83030737"/>
      <w:bookmarkStart w:id="61" w:name="_Toc83025303"/>
      <w:bookmarkStart w:id="62" w:name="_Toc83025837"/>
      <w:bookmarkStart w:id="63" w:name="_Toc83026867"/>
      <w:bookmarkStart w:id="64" w:name="_Toc83028494"/>
      <w:bookmarkStart w:id="65" w:name="_Toc83025581"/>
      <w:bookmarkStart w:id="66" w:name="_Toc83025162"/>
      <w:r>
        <w:t>&lt;ц&gt; - средняя арифметическая величина цены единицы товара, работы, услуги;</w:t>
      </w:r>
      <w:bookmarkStart w:id="67" w:name="_Toc83025446"/>
      <w:bookmarkStart w:id="68" w:name="_Toc83026868"/>
      <w:bookmarkStart w:id="69" w:name="_Toc83028495"/>
      <w:bookmarkStart w:id="70" w:name="_Toc83030738"/>
      <w:bookmarkStart w:id="71" w:name="_Toc83024399"/>
      <w:bookmarkStart w:id="72" w:name="_Toc83025304"/>
      <w:bookmarkStart w:id="73" w:name="_Toc83028262"/>
      <w:bookmarkStart w:id="74" w:name="_Toc83025582"/>
      <w:bookmarkStart w:id="75" w:name="_Toc83028007"/>
      <w:bookmarkStart w:id="76" w:name="_Toc83025838"/>
      <w:bookmarkStart w:id="77" w:name="_Toc83025163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7B5F31" w:rsidRDefault="00DC639C">
      <w:pPr>
        <w:autoSpaceDE w:val="0"/>
        <w:autoSpaceDN w:val="0"/>
        <w:adjustRightInd w:val="0"/>
        <w:ind w:firstLine="567"/>
        <w:outlineLvl w:val="0"/>
      </w:pPr>
      <w:r>
        <w:t>n - количество значений, используемых в расчете.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7B5F31" w:rsidRDefault="00DC639C">
      <w:pPr>
        <w:autoSpaceDE w:val="0"/>
        <w:autoSpaceDN w:val="0"/>
        <w:adjustRightInd w:val="0"/>
        <w:ind w:firstLine="567"/>
      </w:pPr>
      <w:r>
        <w:t>НМЦД (методом сопоставимых рыночных цен (анализа рынка)) определяется по формуле:</w:t>
      </w:r>
    </w:p>
    <w:p w:rsidR="007B5F31" w:rsidRDefault="00DC639C">
      <w:pPr>
        <w:autoSpaceDE w:val="0"/>
        <w:autoSpaceDN w:val="0"/>
        <w:adjustRightInd w:val="0"/>
        <w:ind w:firstLine="567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819275" cy="470535"/>
            <wp:effectExtent l="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03" b="25715"/>
                    <a:stretch>
                      <a:fillRect/>
                    </a:stretch>
                  </pic:blipFill>
                  <pic:spPr>
                    <a:xfrm>
                      <a:off x="0" y="0"/>
                      <a:ext cx="1820702" cy="47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где:</w:t>
      </w:r>
    </w:p>
    <w:p w:rsidR="007B5F31" w:rsidRDefault="00DC639C">
      <w:pPr>
        <w:autoSpaceDE w:val="0"/>
        <w:autoSpaceDN w:val="0"/>
        <w:adjustRightInd w:val="0"/>
        <w:ind w:firstLine="567"/>
      </w:pPr>
      <w:r>
        <w:t>v - количество (объем) закупаемого товара (работы, услуги);</w:t>
      </w:r>
    </w:p>
    <w:p w:rsidR="007B5F31" w:rsidRDefault="00DC639C">
      <w:pPr>
        <w:autoSpaceDE w:val="0"/>
        <w:autoSpaceDN w:val="0"/>
        <w:adjustRightInd w:val="0"/>
        <w:ind w:firstLine="567"/>
      </w:pPr>
      <w:r>
        <w:t>n - количество значений, используемых в расчете;</w:t>
      </w:r>
    </w:p>
    <w:p w:rsidR="007B5F31" w:rsidRDefault="00DC639C">
      <w:pPr>
        <w:autoSpaceDE w:val="0"/>
        <w:autoSpaceDN w:val="0"/>
        <w:adjustRightInd w:val="0"/>
        <w:ind w:firstLine="567"/>
      </w:pPr>
      <w:r>
        <w:t>i - номер источника ценовой информации;</w:t>
      </w:r>
    </w:p>
    <w:p w:rsidR="007B5F31" w:rsidRDefault="00DC639C">
      <w:pPr>
        <w:autoSpaceDE w:val="0"/>
        <w:autoSpaceDN w:val="0"/>
        <w:adjustRightInd w:val="0"/>
        <w:ind w:firstLine="567"/>
      </w:pPr>
      <w:r>
        <w:t>ц</w:t>
      </w:r>
      <w:r>
        <w:rPr>
          <w:vertAlign w:val="subscript"/>
        </w:rPr>
        <w:t>i</w:t>
      </w:r>
      <w:r>
        <w:t xml:space="preserve"> - цена единицы товара, работы, услуги, представленная в источнике с номером i. </w:t>
      </w:r>
    </w:p>
    <w:p w:rsidR="007B5F31" w:rsidRDefault="00DC639C">
      <w:pPr>
        <w:tabs>
          <w:tab w:val="left" w:pos="0"/>
        </w:tabs>
        <w:ind w:firstLine="567"/>
      </w:pPr>
      <w:r>
        <w:t>(расчет производится по столбцам КП Таблицы цен).</w:t>
      </w:r>
    </w:p>
    <w:p w:rsidR="007B5F31" w:rsidRDefault="00DC639C">
      <w:pPr>
        <w:tabs>
          <w:tab w:val="left" w:pos="0"/>
        </w:tabs>
        <w:ind w:firstLine="567"/>
        <w:rPr>
          <w:shd w:val="clear" w:color="auto" w:fill="FFFFFF"/>
        </w:rPr>
      </w:pPr>
      <w:r>
        <w:rPr>
          <w:shd w:val="clear" w:color="auto" w:fill="FFFFFF"/>
        </w:rPr>
        <w:t>Если коэффициент вариации меньше 10%, то изменчивость вариационного рядапринято считать незначительной, однородной, от 10% до 20% относится к средней, больше 20% и меньше 33% к значительной и если коэффициент вариации превышает 33%, то это говорит о неоднородности информации и</w:t>
      </w:r>
      <w:r w:rsidR="005E238F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необходимости исключения самых больших и самых маленьких значений.</w:t>
      </w:r>
    </w:p>
    <w:p w:rsidR="007B5F31" w:rsidRDefault="00DC639C">
      <w:pPr>
        <w:tabs>
          <w:tab w:val="left" w:pos="0"/>
        </w:tabs>
        <w:ind w:firstLine="567"/>
      </w:pPr>
      <w:r>
        <w:lastRenderedPageBreak/>
        <w:t>В расчет НМЦ принимается среднее арифметическое значение из указанных в Таблице цен;</w:t>
      </w:r>
    </w:p>
    <w:p w:rsidR="007B5F31" w:rsidRDefault="00DC639C">
      <w:pPr>
        <w:pStyle w:val="a6"/>
        <w:ind w:firstLine="567"/>
        <w:jc w:val="both"/>
        <w:rPr>
          <w:sz w:val="24"/>
          <w:szCs w:val="24"/>
        </w:rPr>
      </w:pPr>
      <w:bookmarkStart w:id="78" w:name="_Toc83025242"/>
      <w:bookmarkStart w:id="79" w:name="_Toc83025384"/>
      <w:bookmarkStart w:id="80" w:name="_Toc83024337"/>
      <w:bookmarkStart w:id="81" w:name="_Toc83025101"/>
      <w:r>
        <w:rPr>
          <w:sz w:val="24"/>
          <w:szCs w:val="24"/>
        </w:rPr>
        <w:t>2. Тарифный метод;</w:t>
      </w:r>
      <w:bookmarkEnd w:id="78"/>
      <w:bookmarkEnd w:id="79"/>
      <w:bookmarkEnd w:id="80"/>
      <w:bookmarkEnd w:id="81"/>
    </w:p>
    <w:p w:rsidR="007B5F31" w:rsidRDefault="00DC639C">
      <w:pPr>
        <w:pStyle w:val="a6"/>
        <w:ind w:firstLine="567"/>
        <w:jc w:val="both"/>
        <w:rPr>
          <w:sz w:val="24"/>
          <w:szCs w:val="24"/>
        </w:rPr>
      </w:pPr>
      <w:bookmarkStart w:id="82" w:name="_Toc83024338"/>
      <w:bookmarkStart w:id="83" w:name="_Toc83025102"/>
      <w:bookmarkStart w:id="84" w:name="_Toc83025243"/>
      <w:bookmarkStart w:id="85" w:name="_Toc83025385"/>
      <w:r>
        <w:rPr>
          <w:sz w:val="24"/>
          <w:szCs w:val="24"/>
        </w:rPr>
        <w:t>3. Проектно-сметный метод;</w:t>
      </w:r>
      <w:bookmarkEnd w:id="82"/>
      <w:bookmarkEnd w:id="83"/>
      <w:bookmarkEnd w:id="84"/>
      <w:bookmarkEnd w:id="85"/>
    </w:p>
    <w:p w:rsidR="007B5F31" w:rsidRDefault="00DC639C">
      <w:pPr>
        <w:shd w:val="clear" w:color="auto" w:fill="FFFFFF"/>
        <w:ind w:firstLine="567"/>
        <w:textAlignment w:val="baseline"/>
        <w:rPr>
          <w:shd w:val="clear" w:color="auto" w:fill="FFFFFF"/>
        </w:rPr>
      </w:pPr>
      <w:r>
        <w:t>4. Затратный метод</w:t>
      </w:r>
    </w:p>
    <w:p w:rsidR="007B5F31" w:rsidRDefault="007B5F31">
      <w:pPr>
        <w:rPr>
          <w:color w:val="000000"/>
          <w:shd w:val="clear" w:color="auto" w:fill="FFFFFF"/>
        </w:rPr>
      </w:pPr>
    </w:p>
    <w:p w:rsidR="007B5F31" w:rsidRDefault="00DC639C">
      <w:pPr>
        <w:widowControl w:val="0"/>
        <w:tabs>
          <w:tab w:val="left" w:pos="4117"/>
          <w:tab w:val="right" w:pos="10318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Обоснование начальной (максимальной) цены Единицы</w:t>
      </w:r>
    </w:p>
    <w:tbl>
      <w:tblPr>
        <w:tblW w:w="1530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160"/>
        <w:gridCol w:w="1559"/>
        <w:gridCol w:w="709"/>
        <w:gridCol w:w="441"/>
        <w:gridCol w:w="1118"/>
        <w:gridCol w:w="1559"/>
        <w:gridCol w:w="1438"/>
        <w:gridCol w:w="425"/>
        <w:gridCol w:w="1417"/>
        <w:gridCol w:w="1276"/>
        <w:gridCol w:w="1114"/>
        <w:gridCol w:w="1542"/>
        <w:gridCol w:w="10"/>
      </w:tblGrid>
      <w:tr w:rsidR="007B5F31">
        <w:trPr>
          <w:trHeight w:val="546"/>
        </w:trPr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ind w:left="13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Используемый метод определения НМЦЕ с обоснованием: 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5F31" w:rsidRDefault="007B5F31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ind w:firstLine="117"/>
              <w:rPr>
                <w:color w:val="000000"/>
                <w:shd w:val="clear" w:color="auto" w:fill="FFFFFF"/>
              </w:rPr>
            </w:pPr>
          </w:p>
        </w:tc>
        <w:tc>
          <w:tcPr>
            <w:tcW w:w="98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ind w:firstLine="117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Метод сопоставимых рыночных цен (анализ рынка)</w:t>
            </w:r>
          </w:p>
        </w:tc>
      </w:tr>
      <w:tr w:rsidR="007B5F31">
        <w:trPr>
          <w:trHeight w:val="407"/>
        </w:trPr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ind w:left="13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Расчет НМЦД</w:t>
            </w:r>
          </w:p>
        </w:tc>
        <w:tc>
          <w:tcPr>
            <w:tcW w:w="1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5F31" w:rsidRDefault="007B5F31">
            <w:pPr>
              <w:ind w:firstLine="117"/>
              <w:rPr>
                <w:b/>
                <w:color w:val="000000"/>
              </w:rPr>
            </w:pPr>
          </w:p>
        </w:tc>
        <w:tc>
          <w:tcPr>
            <w:tcW w:w="98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F31" w:rsidRDefault="00D02499">
            <w:pPr>
              <w:ind w:firstLine="117"/>
              <w:rPr>
                <w:b/>
                <w:color w:val="000000"/>
              </w:rPr>
            </w:pPr>
            <w:r w:rsidRPr="00D02499">
              <w:rPr>
                <w:b/>
                <w:color w:val="000000"/>
              </w:rPr>
              <w:t>45</w:t>
            </w:r>
            <w:r w:rsidR="00DC639C" w:rsidRPr="00D02499">
              <w:rPr>
                <w:b/>
                <w:color w:val="000000"/>
              </w:rPr>
              <w:t xml:space="preserve">0 000 (Четыреста </w:t>
            </w:r>
            <w:r w:rsidRPr="00D02499">
              <w:rPr>
                <w:b/>
                <w:color w:val="000000"/>
              </w:rPr>
              <w:t>пятьдесят</w:t>
            </w:r>
            <w:r w:rsidR="00DC639C" w:rsidRPr="00D02499">
              <w:rPr>
                <w:b/>
                <w:color w:val="000000"/>
              </w:rPr>
              <w:t xml:space="preserve"> тысяч) рублей 00 копеек</w:t>
            </w:r>
          </w:p>
        </w:tc>
      </w:tr>
      <w:tr w:rsidR="007B5F31" w:rsidTr="005E238F">
        <w:trPr>
          <w:gridAfter w:val="1"/>
          <w:wAfter w:w="10" w:type="dxa"/>
          <w:trHeight w:val="6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Наименование ТРУ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ОКПД2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Единица измерения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Отпускные цены за 1 единицу ТРУ на день проведения анализа рынка</w:t>
            </w:r>
            <w:r w:rsidR="00BA011A">
              <w:rPr>
                <w:color w:val="000000"/>
                <w:shd w:val="clear" w:color="auto" w:fill="FFFFFF"/>
              </w:rPr>
              <w:t xml:space="preserve"> (10.02.2026г)</w:t>
            </w:r>
            <w:r>
              <w:rPr>
                <w:color w:val="000000"/>
                <w:shd w:val="clear" w:color="auto" w:fill="FFFFFF"/>
              </w:rPr>
              <w:t>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Среднерыночная цена за единицу ТРУ,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Коэффициент вариации, %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Кол-во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 w:rsidP="00D0249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НМЦЕ по </w:t>
            </w:r>
            <w:r w:rsidR="00D02499">
              <w:rPr>
                <w:color w:val="000000"/>
                <w:shd w:val="clear" w:color="auto" w:fill="FFFFFF"/>
              </w:rPr>
              <w:t xml:space="preserve">средней арифметической </w:t>
            </w:r>
            <w:r>
              <w:rPr>
                <w:color w:val="000000"/>
                <w:shd w:val="clear" w:color="auto" w:fill="FFFFFF"/>
              </w:rPr>
              <w:t xml:space="preserve"> стоимости, руб.</w:t>
            </w:r>
          </w:p>
        </w:tc>
      </w:tr>
      <w:tr w:rsidR="007B5F31" w:rsidTr="005E238F">
        <w:trPr>
          <w:gridAfter w:val="1"/>
          <w:wAfter w:w="10" w:type="dxa"/>
          <w:trHeight w:val="10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Коммерческое предложение№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Коммерческое предложение № 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DC639C">
            <w:pPr>
              <w:widowControl w:val="0"/>
              <w:tabs>
                <w:tab w:val="left" w:pos="4117"/>
                <w:tab w:val="right" w:pos="10318"/>
              </w:tabs>
              <w:autoSpaceDE w:val="0"/>
              <w:autoSpaceDN w:val="0"/>
              <w:adjustRightInd w:val="0"/>
              <w:ind w:left="12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Коммерческое предложение № 3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</w:tc>
      </w:tr>
      <w:tr w:rsidR="007B5F31" w:rsidTr="005E238F">
        <w:trPr>
          <w:gridAfter w:val="1"/>
          <w:wAfter w:w="10" w:type="dxa"/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1" w:rsidRDefault="005E238F">
            <w:pPr>
              <w:rPr>
                <w:bCs/>
                <w:color w:val="000000"/>
                <w:highlight w:val="yellow"/>
              </w:rPr>
            </w:pPr>
            <w:r>
              <w:t>Бензин АИ-92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5E238F">
            <w:pPr>
              <w:rPr>
                <w:color w:val="000000"/>
              </w:rPr>
            </w:pPr>
            <w:r>
              <w:rPr>
                <w:color w:val="000000"/>
              </w:rPr>
              <w:t>19.20.21.120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5E238F">
            <w:pPr>
              <w:rPr>
                <w:color w:val="000000"/>
              </w:rPr>
            </w:pPr>
            <w:r>
              <w:rPr>
                <w:color w:val="000000"/>
              </w:rPr>
              <w:t>литр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BA011A">
            <w:pPr>
              <w:rPr>
                <w:color w:val="000000"/>
              </w:rPr>
            </w:pPr>
            <w:r>
              <w:rPr>
                <w:color w:val="000000"/>
              </w:rPr>
              <w:t>60,08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BA011A">
            <w:pPr>
              <w:rPr>
                <w:color w:val="000000"/>
              </w:rPr>
            </w:pPr>
            <w:r>
              <w:rPr>
                <w:color w:val="000000"/>
              </w:rPr>
              <w:t>62,77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BA011A">
            <w:pPr>
              <w:rPr>
                <w:color w:val="000000"/>
              </w:rPr>
            </w:pPr>
            <w:r>
              <w:rPr>
                <w:color w:val="000000"/>
              </w:rPr>
              <w:t>59,90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7B5F3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60,92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2,64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60,92</w:t>
            </w:r>
          </w:p>
        </w:tc>
      </w:tr>
      <w:tr w:rsidR="007B5F31" w:rsidTr="00FD5999">
        <w:trPr>
          <w:gridAfter w:val="1"/>
          <w:wAfter w:w="10" w:type="dxa"/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F31" w:rsidRDefault="005E238F">
            <w:r>
              <w:t>Дизельное топливо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5E238F">
            <w:pPr>
              <w:rPr>
                <w:color w:val="000000"/>
              </w:rPr>
            </w:pPr>
            <w:r>
              <w:rPr>
                <w:color w:val="000000"/>
              </w:rPr>
              <w:t>19.20.21.300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5E238F">
            <w:pPr>
              <w:rPr>
                <w:color w:val="000000"/>
              </w:rPr>
            </w:pPr>
            <w:r>
              <w:rPr>
                <w:color w:val="000000"/>
              </w:rPr>
              <w:t>литр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BA011A">
            <w:pPr>
              <w:rPr>
                <w:color w:val="000000"/>
              </w:rPr>
            </w:pPr>
            <w:r>
              <w:rPr>
                <w:color w:val="000000"/>
              </w:rPr>
              <w:t>74,83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BA011A">
            <w:pPr>
              <w:rPr>
                <w:color w:val="000000"/>
              </w:rPr>
            </w:pPr>
            <w:r>
              <w:rPr>
                <w:color w:val="000000"/>
              </w:rPr>
              <w:t>76,48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73,50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7B5F31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74,94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1,99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DC639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F31" w:rsidRDefault="00FD5999">
            <w:pPr>
              <w:rPr>
                <w:color w:val="000000"/>
              </w:rPr>
            </w:pPr>
            <w:r>
              <w:rPr>
                <w:color w:val="000000"/>
              </w:rPr>
              <w:t>74,94</w:t>
            </w:r>
          </w:p>
        </w:tc>
      </w:tr>
    </w:tbl>
    <w:p w:rsidR="007B5F31" w:rsidRDefault="007B5F31">
      <w:pPr>
        <w:rPr>
          <w:color w:val="000000"/>
          <w:shd w:val="clear" w:color="auto" w:fill="FFFFFF"/>
        </w:rPr>
      </w:pPr>
    </w:p>
    <w:p w:rsidR="007B5F31" w:rsidRDefault="00DC639C">
      <w:pPr>
        <w:rPr>
          <w:color w:val="000000"/>
        </w:rPr>
      </w:pPr>
      <w:r>
        <w:rPr>
          <w:b/>
          <w:bCs/>
          <w:color w:val="000000"/>
        </w:rPr>
        <w:t>ИТОГО,</w:t>
      </w:r>
      <w:r>
        <w:rPr>
          <w:color w:val="000000"/>
        </w:rPr>
        <w:t xml:space="preserve"> на основании представленных коммерческих предложений, начальная (</w:t>
      </w:r>
      <w:r w:rsidR="00D02499">
        <w:rPr>
          <w:color w:val="000000"/>
        </w:rPr>
        <w:t>максимальная</w:t>
      </w:r>
      <w:r>
        <w:rPr>
          <w:color w:val="000000"/>
        </w:rPr>
        <w:t>) цена единицы</w:t>
      </w:r>
      <w:r w:rsidR="00D02499">
        <w:rPr>
          <w:color w:val="000000"/>
        </w:rPr>
        <w:t xml:space="preserve"> (НМЦЕ)</w:t>
      </w:r>
      <w:r>
        <w:rPr>
          <w:color w:val="000000"/>
        </w:rPr>
        <w:t xml:space="preserve"> по </w:t>
      </w:r>
      <w:r w:rsidR="00FD5999">
        <w:rPr>
          <w:color w:val="000000"/>
        </w:rPr>
        <w:t>средне арифметической</w:t>
      </w:r>
      <w:r>
        <w:rPr>
          <w:color w:val="000000"/>
        </w:rPr>
        <w:t xml:space="preserve"> цене составила: </w:t>
      </w:r>
      <w:r w:rsidR="00FD5999">
        <w:rPr>
          <w:color w:val="000000"/>
        </w:rPr>
        <w:t xml:space="preserve">135 </w:t>
      </w:r>
      <w:r>
        <w:rPr>
          <w:color w:val="000000"/>
        </w:rPr>
        <w:t>(</w:t>
      </w:r>
      <w:r w:rsidR="00FD5999">
        <w:rPr>
          <w:color w:val="000000"/>
        </w:rPr>
        <w:t>сто тридцать пять) руб., 86</w:t>
      </w:r>
      <w:r>
        <w:rPr>
          <w:color w:val="000000"/>
        </w:rPr>
        <w:t xml:space="preserve"> коп.</w:t>
      </w:r>
    </w:p>
    <w:p w:rsidR="007B5F31" w:rsidRDefault="007B5F31">
      <w:pPr>
        <w:rPr>
          <w:color w:val="000000"/>
          <w:shd w:val="clear" w:color="auto" w:fill="FFFFFF"/>
        </w:rPr>
      </w:pPr>
    </w:p>
    <w:tbl>
      <w:tblPr>
        <w:tblStyle w:val="a5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6662"/>
      </w:tblGrid>
      <w:tr w:rsidR="007B5F31">
        <w:tc>
          <w:tcPr>
            <w:tcW w:w="8642" w:type="dxa"/>
          </w:tcPr>
          <w:p w:rsidR="007B5F31" w:rsidRDefault="00DC639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Ответственный за обоснование НМЦЕ:</w:t>
            </w:r>
          </w:p>
          <w:p w:rsidR="007B5F31" w:rsidRDefault="007B5F31">
            <w:pPr>
              <w:rPr>
                <w:color w:val="000000"/>
                <w:shd w:val="clear" w:color="auto" w:fill="FFFFFF"/>
              </w:rPr>
            </w:pPr>
          </w:p>
          <w:p w:rsidR="007B5F31" w:rsidRDefault="00DC639C">
            <w:r>
              <w:t>Специалист по закупкам</w:t>
            </w:r>
          </w:p>
          <w:p w:rsidR="007B5F31" w:rsidRDefault="007B5F31"/>
          <w:p w:rsidR="007B5F31" w:rsidRDefault="007B5F31">
            <w:pPr>
              <w:rPr>
                <w:color w:val="000000"/>
                <w:highlight w:val="magenta"/>
                <w:shd w:val="clear" w:color="auto" w:fill="FFFFFF"/>
              </w:rPr>
            </w:pPr>
          </w:p>
        </w:tc>
        <w:tc>
          <w:tcPr>
            <w:tcW w:w="6662" w:type="dxa"/>
          </w:tcPr>
          <w:p w:rsidR="007B5F31" w:rsidRDefault="007B5F31">
            <w:pPr>
              <w:rPr>
                <w:color w:val="000000"/>
                <w:highlight w:val="magenta"/>
              </w:rPr>
            </w:pPr>
          </w:p>
          <w:p w:rsidR="007B5F31" w:rsidRDefault="007B5F31">
            <w:pPr>
              <w:rPr>
                <w:color w:val="000000"/>
                <w:highlight w:val="magenta"/>
              </w:rPr>
            </w:pPr>
          </w:p>
          <w:p w:rsidR="007B5F31" w:rsidRDefault="00DC63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 Н.Б.Фаттахова</w:t>
            </w:r>
          </w:p>
          <w:p w:rsidR="007B5F31" w:rsidRDefault="007B5F31">
            <w:pPr>
              <w:jc w:val="right"/>
              <w:rPr>
                <w:color w:val="000000"/>
                <w:highlight w:val="magenta"/>
                <w:shd w:val="clear" w:color="auto" w:fill="FFFFFF"/>
              </w:rPr>
            </w:pPr>
          </w:p>
          <w:p w:rsidR="007B5F31" w:rsidRDefault="007B5F31">
            <w:pPr>
              <w:jc w:val="right"/>
              <w:rPr>
                <w:color w:val="000000"/>
                <w:highlight w:val="magenta"/>
                <w:shd w:val="clear" w:color="auto" w:fill="FFFFFF"/>
              </w:rPr>
            </w:pPr>
          </w:p>
        </w:tc>
      </w:tr>
    </w:tbl>
    <w:p w:rsidR="007B5F31" w:rsidRDefault="007B5F31">
      <w:pPr>
        <w:rPr>
          <w:color w:val="000000"/>
          <w:shd w:val="clear" w:color="auto" w:fill="FFFFFF"/>
        </w:rPr>
      </w:pPr>
    </w:p>
    <w:p w:rsidR="007B5F31" w:rsidRDefault="007B5F31">
      <w:pPr>
        <w:rPr>
          <w:color w:val="000000"/>
          <w:shd w:val="clear" w:color="auto" w:fill="FFFFFF"/>
        </w:rPr>
      </w:pPr>
    </w:p>
    <w:p w:rsidR="007B5F31" w:rsidRDefault="007B5F31">
      <w:pPr>
        <w:shd w:val="clear" w:color="auto" w:fill="FFFFFF"/>
        <w:ind w:firstLine="567"/>
        <w:jc w:val="both"/>
        <w:textAlignment w:val="baseline"/>
        <w:outlineLvl w:val="1"/>
      </w:pPr>
    </w:p>
    <w:sectPr w:rsidR="007B5F31">
      <w:pgSz w:w="16838" w:h="11906" w:orient="landscape"/>
      <w:pgMar w:top="1134" w:right="567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3E"/>
    <w:rsid w:val="000446C0"/>
    <w:rsid w:val="00063918"/>
    <w:rsid w:val="000915CC"/>
    <w:rsid w:val="00150177"/>
    <w:rsid w:val="00167940"/>
    <w:rsid w:val="001C79DA"/>
    <w:rsid w:val="001F7DC2"/>
    <w:rsid w:val="002543FC"/>
    <w:rsid w:val="003B77F8"/>
    <w:rsid w:val="00572153"/>
    <w:rsid w:val="005A769D"/>
    <w:rsid w:val="005E238F"/>
    <w:rsid w:val="007B5F31"/>
    <w:rsid w:val="008F3C80"/>
    <w:rsid w:val="00997B6A"/>
    <w:rsid w:val="00AA7992"/>
    <w:rsid w:val="00AC663E"/>
    <w:rsid w:val="00B03227"/>
    <w:rsid w:val="00BA011A"/>
    <w:rsid w:val="00D02499"/>
    <w:rsid w:val="00D02E70"/>
    <w:rsid w:val="00D37BAC"/>
    <w:rsid w:val="00D72888"/>
    <w:rsid w:val="00DC639C"/>
    <w:rsid w:val="00E11DBA"/>
    <w:rsid w:val="00FD5999"/>
    <w:rsid w:val="4F9D5E17"/>
    <w:rsid w:val="64A37042"/>
    <w:rsid w:val="741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uiPriority w:val="1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uiPriority w:val="1"/>
    <w:qFormat/>
    <w:locked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89896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289896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289896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docs.cntd.ru/document/90228989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898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2026-02-11T14:02:00Z</dcterms:created>
  <dcterms:modified xsi:type="dcterms:W3CDTF">2026-02-11T14:02:00Z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2BE584CC4E04461FBEEE83F7134288D7_12</vt:lpwstr>
  </property>
</Properties>
</file>