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27.xml" ContentType="application/vnd.openxmlformats-officedocument.wordprocessingml.header+xml"/>
  <Override PartName="/word/header26.xml" ContentType="application/vnd.openxmlformats-officedocument.wordprocessingml.header+xml"/>
  <Override PartName="/word/header24.xml" ContentType="application/vnd.openxmlformats-officedocument.wordprocessingml.header+xml"/>
  <Override PartName="/word/header23.xml" ContentType="application/vnd.openxmlformats-officedocument.wordprocessingml.header+xml"/>
  <Override PartName="/word/footer29.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0.xml" ContentType="application/vnd.openxmlformats-officedocument.wordprocessingml.footer+xml"/>
  <Override PartName="/word/footer26.xml" ContentType="application/vnd.openxmlformats-officedocument.wordprocessingml.footer+xml"/>
  <Override PartName="/word/footnotes.xml" ContentType="application/vnd.openxmlformats-officedocument.wordprocessingml.footnotes+xml"/>
  <Override PartName="/word/footer32.xml" ContentType="application/vnd.openxmlformats-officedocument.wordprocessingml.footer+xml"/>
  <Override PartName="/word/header19.xml" ContentType="application/vnd.openxmlformats-officedocument.wordprocessingml.header+xml"/>
  <Override PartName="/word/header2.xml" ContentType="application/vnd.openxmlformats-officedocument.wordprocessingml.header+xml"/>
  <Override PartName="/word/footer33.xml" ContentType="application/vnd.openxmlformats-officedocument.wordprocessingml.footer+xml"/>
  <Override PartName="/word/settings.xml" ContentType="application/vnd.openxmlformats-officedocument.wordprocessingml.settings+xml"/>
  <Override PartName="/word/header30.xml" ContentType="application/vnd.openxmlformats-officedocument.wordprocessingml.header+xml"/>
  <Override PartName="/word/header6.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header15.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footer16.xml" ContentType="application/vnd.openxmlformats-officedocument.wordprocessingml.footer+xml"/>
  <Override PartName="/word/header29.xml" ContentType="application/vnd.openxmlformats-officedocument.wordprocessingml.header+xml"/>
  <Override PartName="/word/header28.xml" ContentType="application/vnd.openxmlformats-officedocument.wordprocessingml.header+xml"/>
  <Override PartName="/word/footer15.xml" ContentType="application/vnd.openxmlformats-officedocument.wordprocessingml.footer+xml"/>
  <Override PartName="/word/footer6.xml" ContentType="application/vnd.openxmlformats-officedocument.wordprocessingml.footer+xml"/>
  <Override PartName="/word/footer31.xml" ContentType="application/vnd.openxmlformats-officedocument.wordprocessingml.footer+xml"/>
  <Override PartName="/word/footer21.xml" ContentType="application/vnd.openxmlformats-officedocument.wordprocessingml.footer+xml"/>
  <Override PartName="/word/footer27.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30.xml" ContentType="application/vnd.openxmlformats-officedocument.wordprocessingml.footer+xml"/>
  <Override PartName="/word/document.xml" ContentType="application/vnd.openxmlformats-officedocument.wordprocessingml.document.main+xml"/>
  <Override PartName="/word/footer25.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styles.xml" ContentType="application/vnd.openxmlformats-officedocument.wordprocessingml.styles+xml"/>
  <Override PartName="/word/header18.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header25.xml" ContentType="application/vnd.openxmlformats-officedocument.wordprocessingml.header+xml"/>
  <Override PartName="/word/header21.xml" ContentType="application/vnd.openxmlformats-officedocument.wordprocessingml.header+xml"/>
  <Override PartName="/word/theme/theme1.xml" ContentType="application/vnd.openxmlformats-officedocument.theme+xml"/>
  <Override PartName="/word/header4.xml" ContentType="application/vnd.openxmlformats-officedocument.wordprocessingml.header+xml"/>
  <Override PartName="/word/footer28.xml" ContentType="application/vnd.openxmlformats-officedocument.wordprocessingml.footer+xml"/>
  <Override PartName="/word/header9.xml" ContentType="application/vnd.openxmlformats-officedocument.wordprocessingml.header+xml"/>
  <Override PartName="/word/media/image1.jpeg" ContentType="image/jpeg"/>
  <Override PartName="/word/footer24.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header22.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0"/>
        <w:tabs>
          <w:tab w:val="clear" w:pos="708"/>
          <w:tab w:val="left" w:pos="7088" w:leader="none"/>
        </w:tabs>
        <w:spacing w:before="76" w:after="0"/>
        <w:ind w:start="0"/>
        <w:jc w:val="end"/>
        <w:rPr>
          <w:spacing w:val="-2"/>
        </w:rPr>
      </w:pPr>
      <w:r>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rPr>
      </w:pPr>
      <w:r>
        <w:rPr>
          <w:rFonts w:ascii="Times New Roman" w:hAnsi="Times New Roman"/>
          <w:szCs w:val="24"/>
        </w:rPr>
        <w:t>ТЕХНИЧЕСКОЕ ЗАДАНИЕ</w:t>
      </w:r>
    </w:p>
    <w:p>
      <w:pPr>
        <w:pStyle w:val="Style55"/>
        <w:tabs>
          <w:tab w:val="clear" w:pos="708"/>
          <w:tab w:val="right" w:pos="0" w:leader="none"/>
        </w:tabs>
        <w:spacing w:lineRule="auto" w:line="276"/>
        <w:rPr>
          <w:rFonts w:ascii="Times New Roman" w:hAnsi="Times New Roman"/>
          <w:szCs w:val="24"/>
        </w:rPr>
      </w:pPr>
      <w:r>
        <w:rPr>
          <w:rFonts w:ascii="Times New Roman" w:hAnsi="Times New Roman"/>
          <w:szCs w:val="24"/>
        </w:rPr>
        <w:t>на оказание услуг по сопровождению Системы автоматического сбора данных в целях управления энергосбережением на объектах Московской области, в том числе интеграционного сегмента для подключения автоматизированных систем ресурсоснабжающих организаций</w:t>
      </w:r>
    </w:p>
    <w:p>
      <w:pPr>
        <w:pStyle w:val="Style55"/>
        <w:spacing w:lineRule="auto" w:line="276"/>
        <w:rPr>
          <w:rFonts w:ascii="Times New Roman" w:hAnsi="Times New Roman"/>
          <w:szCs w:val="24"/>
        </w:rPr>
      </w:pPr>
      <w:r>
        <w:rPr>
          <w:rFonts w:ascii="Times New Roman" w:hAnsi="Times New Roman"/>
          <w:szCs w:val="24"/>
        </w:rPr>
      </w:r>
    </w:p>
    <w:p>
      <w:pPr>
        <w:pStyle w:val="Style55"/>
        <w:spacing w:lineRule="auto" w:line="276"/>
        <w:rPr>
          <w:rFonts w:ascii="Times New Roman" w:hAnsi="Times New Roman"/>
          <w:szCs w:val="24"/>
        </w:rPr>
      </w:pPr>
      <w:r>
        <w:rPr>
          <w:rFonts w:ascii="Times New Roman" w:hAnsi="Times New Roman"/>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Style55"/>
        <w:spacing w:lineRule="auto" w:line="276"/>
        <w:rPr>
          <w:rFonts w:ascii="Times New Roman" w:hAnsi="Times New Roman"/>
          <w:b w:val="false"/>
          <w:szCs w:val="24"/>
        </w:rPr>
      </w:pPr>
      <w:r>
        <w:rPr>
          <w:rFonts w:ascii="Times New Roman" w:hAnsi="Times New Roman"/>
          <w:b w:val="false"/>
          <w:szCs w:val="24"/>
        </w:rPr>
      </w:r>
    </w:p>
    <w:p>
      <w:pPr>
        <w:pStyle w:val="Normal"/>
        <w:jc w:val="center"/>
        <w:rPr>
          <w:szCs w:val="28"/>
          <w:lang w:eastAsia="ru-RU"/>
        </w:rPr>
      </w:pPr>
      <w:r>
        <w:rPr>
          <w:szCs w:val="28"/>
          <w:lang w:eastAsia="ru-RU"/>
        </w:rPr>
      </w:r>
    </w:p>
    <w:p>
      <w:pPr>
        <w:pStyle w:val="Normal"/>
        <w:jc w:val="center"/>
        <w:rPr>
          <w:szCs w:val="28"/>
          <w:lang w:eastAsia="ru-RU"/>
        </w:rPr>
      </w:pPr>
      <w:r>
        <w:rPr>
          <w:szCs w:val="28"/>
          <w:lang w:eastAsia="ru-RU"/>
        </w:rPr>
      </w:r>
    </w:p>
    <w:p>
      <w:pPr>
        <w:pStyle w:val="Normal"/>
        <w:jc w:val="center"/>
        <w:rPr>
          <w:szCs w:val="28"/>
          <w:lang w:eastAsia="ru-RU"/>
        </w:rPr>
      </w:pPr>
      <w:r>
        <w:rPr>
          <w:szCs w:val="28"/>
          <w:lang w:eastAsia="ru-RU"/>
        </w:rPr>
      </w:r>
    </w:p>
    <w:p>
      <w:pPr>
        <w:sectPr>
          <w:footerReference w:type="even" r:id="rId2"/>
          <w:footerReference w:type="default" r:id="rId3"/>
          <w:footerReference w:type="first" r:id="rId4"/>
          <w:type w:val="nextPage"/>
          <w:pgSz w:w="11906" w:h="16838"/>
          <w:pgMar w:left="1134" w:right="851" w:gutter="0" w:header="0" w:top="1134" w:footer="709" w:bottom="1134"/>
          <w:pgNumType w:fmt="decimal"/>
          <w:formProt w:val="false"/>
          <w:titlePg/>
          <w:textDirection w:val="lrTb"/>
          <w:docGrid w:type="default" w:linePitch="299" w:charSpace="0"/>
        </w:sectPr>
        <w:pStyle w:val="Style64"/>
        <w:tabs>
          <w:tab w:val="clear" w:pos="1134"/>
        </w:tabs>
        <w:spacing w:before="120" w:after="0"/>
        <w:ind w:hanging="0"/>
        <w:jc w:val="center"/>
        <w:rPr>
          <w:szCs w:val="24"/>
        </w:rPr>
      </w:pPr>
      <w:r>
        <w:rPr>
          <w:szCs w:val="24"/>
        </w:rPr>
        <w:t>2026 г.</w:t>
      </w:r>
    </w:p>
    <w:p>
      <w:pPr>
        <w:pStyle w:val="15"/>
        <w:numPr>
          <w:ilvl w:val="0"/>
          <w:numId w:val="0"/>
        </w:numPr>
        <w:spacing w:lineRule="auto" w:line="240" w:before="0" w:after="0"/>
        <w:ind w:hanging="0" w:start="0"/>
        <w:jc w:val="center"/>
        <w:rPr>
          <w:rFonts w:ascii="Times New Roman" w:hAnsi="Times New Roman"/>
        </w:rPr>
      </w:pPr>
      <w:bookmarkStart w:id="0" w:name="__RefHeading___Toc33474_3559854210"/>
      <w:bookmarkStart w:id="1" w:name="_Toc215755853"/>
      <w:bookmarkEnd w:id="0"/>
      <w:r>
        <w:rPr>
          <w:rFonts w:ascii="Times New Roman" w:hAnsi="Times New Roman"/>
        </w:rPr>
        <w:t>Содержание</w:t>
      </w:r>
      <w:bookmarkEnd w:id="1"/>
    </w:p>
    <w:sdt>
      <w:sdtPr>
        <w:docPartObj>
          <w:docPartGallery w:val="Table of Contents"/>
          <w:docPartUnique w:val="true"/>
        </w:docPartObj>
        <w:id w:val="1945580246"/>
      </w:sdtPr>
      <w:sdtContent>
        <w:p>
          <w:pPr>
            <w:pStyle w:val="TOCHeading"/>
            <w:rPr>
              <w:rFonts w:ascii="Times New Roman" w:hAnsi="Times New Roman"/>
              <w:color w:val="auto"/>
              <w:szCs w:val="24"/>
            </w:rPr>
          </w:pPr>
          <w:r>
            <w:rPr>
              <w:rFonts w:ascii="Times New Roman" w:hAnsi="Times New Roman"/>
              <w:color w:val="auto"/>
              <w:szCs w:val="24"/>
            </w:rPr>
          </w:r>
        </w:p>
        <w:p>
          <w:pPr>
            <w:pStyle w:val="TOC1"/>
            <w:tabs>
              <w:tab w:val="clear" w:pos="426"/>
              <w:tab w:val="clear" w:pos="10053"/>
              <w:tab w:val="right" w:pos="9920" w:leader="dot"/>
            </w:tabs>
            <w:rPr/>
          </w:pPr>
          <w:r>
            <w:fldChar w:fldCharType="begin"/>
          </w:r>
          <w:r>
            <w:rPr>
              <w:rStyle w:val="Style40"/>
            </w:rPr>
            <w:instrText xml:space="preserve"> TOC \z \u \t "Заголовок 5 уровня,5,Заголовок 4 уровня,4,Заголовок 3 уровня,3,Заголовок 2 уровня,2,Заголовок 1 уровня,1,Заголовок 1 уровня,1,Заголовок 2 уровня,2,Заголовок 3 уровня,3" \h</w:instrText>
          </w:r>
          <w:r>
            <w:rPr>
              <w:rStyle w:val="Style40"/>
            </w:rPr>
            <w:fldChar w:fldCharType="separate"/>
          </w:r>
          <w:r>
            <w:rPr>
              <w:rStyle w:val="Style40"/>
            </w:rPr>
            <w:t>Содержание</w:t>
          </w:r>
          <w:r>
            <w:rPr/>
            <w:tab/>
            <w:t>2</w:t>
          </w:r>
        </w:p>
        <w:p>
          <w:pPr>
            <w:pStyle w:val="TOC1"/>
            <w:tabs>
              <w:tab w:val="clear" w:pos="426"/>
              <w:tab w:val="clear" w:pos="10053"/>
              <w:tab w:val="right" w:pos="9920" w:leader="dot"/>
            </w:tabs>
            <w:rPr/>
          </w:pPr>
          <w:r>
            <w:rPr/>
            <w:t>1. Общие сведения</w:t>
            <w:tab/>
            <w:t>4</w:t>
          </w:r>
        </w:p>
        <w:p>
          <w:pPr>
            <w:pStyle w:val="TOC2"/>
            <w:tabs>
              <w:tab w:val="clear" w:pos="567"/>
              <w:tab w:val="clear" w:pos="10053"/>
              <w:tab w:val="right" w:pos="9920" w:leader="dot"/>
            </w:tabs>
            <w:rPr/>
          </w:pPr>
          <w:r>
            <w:rPr/>
            <w:t>1.1. Наименование услуг</w:t>
            <w:tab/>
            <w:t>4</w:t>
          </w:r>
        </w:p>
        <w:p>
          <w:pPr>
            <w:pStyle w:val="TOC2"/>
            <w:tabs>
              <w:tab w:val="clear" w:pos="567"/>
              <w:tab w:val="clear" w:pos="10053"/>
              <w:tab w:val="right" w:pos="9920" w:leader="dot"/>
            </w:tabs>
            <w:rPr/>
          </w:pPr>
          <w:r>
            <w:rPr/>
            <w:t>1.2. Наименование и условное обозначение системы</w:t>
            <w:tab/>
            <w:t>4</w:t>
          </w:r>
        </w:p>
        <w:p>
          <w:pPr>
            <w:pStyle w:val="TOC2"/>
            <w:tabs>
              <w:tab w:val="clear" w:pos="567"/>
              <w:tab w:val="clear" w:pos="10053"/>
              <w:tab w:val="right" w:pos="9920" w:leader="dot"/>
            </w:tabs>
            <w:rPr/>
          </w:pPr>
          <w:r>
            <w:rPr/>
            <w:t>1.3. Сведения о Заказчике</w:t>
            <w:tab/>
            <w:t>4</w:t>
          </w:r>
        </w:p>
        <w:p>
          <w:pPr>
            <w:pStyle w:val="TOC2"/>
            <w:tabs>
              <w:tab w:val="clear" w:pos="567"/>
              <w:tab w:val="clear" w:pos="10053"/>
              <w:tab w:val="right" w:pos="9920" w:leader="dot"/>
            </w:tabs>
            <w:rPr/>
          </w:pPr>
          <w:r>
            <w:rPr/>
            <w:t>1.4. Сроки оказания услуг</w:t>
            <w:tab/>
            <w:t>4</w:t>
          </w:r>
        </w:p>
        <w:p>
          <w:pPr>
            <w:pStyle w:val="TOC2"/>
            <w:tabs>
              <w:tab w:val="clear" w:pos="567"/>
              <w:tab w:val="clear" w:pos="10053"/>
              <w:tab w:val="right" w:pos="9920" w:leader="dot"/>
            </w:tabs>
            <w:rPr/>
          </w:pPr>
          <w:r>
            <w:rPr/>
            <w:t>1.5. Место оказания услуг</w:t>
            <w:tab/>
            <w:t>4</w:t>
          </w:r>
        </w:p>
        <w:p>
          <w:pPr>
            <w:pStyle w:val="TOC2"/>
            <w:tabs>
              <w:tab w:val="clear" w:pos="567"/>
              <w:tab w:val="clear" w:pos="10053"/>
              <w:tab w:val="right" w:pos="9920" w:leader="dot"/>
            </w:tabs>
            <w:rPr/>
          </w:pPr>
          <w:r>
            <w:rPr/>
            <w:t>1.6. Основания для оказания услуг</w:t>
            <w:tab/>
            <w:t>4</w:t>
          </w:r>
        </w:p>
        <w:p>
          <w:pPr>
            <w:pStyle w:val="TOC2"/>
            <w:tabs>
              <w:tab w:val="clear" w:pos="567"/>
              <w:tab w:val="clear" w:pos="10053"/>
              <w:tab w:val="right" w:pos="9920" w:leader="dot"/>
            </w:tabs>
            <w:rPr/>
          </w:pPr>
          <w:r>
            <w:rPr/>
            <w:t>1.7. Перечень используемых терминов и сокращений</w:t>
            <w:tab/>
            <w:t>5</w:t>
          </w:r>
        </w:p>
        <w:p>
          <w:pPr>
            <w:pStyle w:val="TOC1"/>
            <w:tabs>
              <w:tab w:val="clear" w:pos="426"/>
              <w:tab w:val="clear" w:pos="10053"/>
              <w:tab w:val="right" w:pos="9920" w:leader="dot"/>
            </w:tabs>
            <w:rPr/>
          </w:pPr>
          <w:r>
            <w:rPr/>
            <w:t>2. Назначение Системы, цели и задачи оказания услуг</w:t>
            <w:tab/>
            <w:t>10</w:t>
          </w:r>
        </w:p>
        <w:p>
          <w:pPr>
            <w:pStyle w:val="TOC2"/>
            <w:tabs>
              <w:tab w:val="clear" w:pos="567"/>
              <w:tab w:val="clear" w:pos="10053"/>
              <w:tab w:val="right" w:pos="9920" w:leader="dot"/>
            </w:tabs>
            <w:rPr/>
          </w:pPr>
          <w:r>
            <w:rPr/>
            <w:t>2.1 Назначение Системы</w:t>
            <w:tab/>
            <w:t>10</w:t>
          </w:r>
        </w:p>
        <w:p>
          <w:pPr>
            <w:pStyle w:val="TOC2"/>
            <w:tabs>
              <w:tab w:val="clear" w:pos="567"/>
              <w:tab w:val="clear" w:pos="10053"/>
              <w:tab w:val="right" w:pos="9920" w:leader="dot"/>
            </w:tabs>
            <w:rPr/>
          </w:pPr>
          <w:r>
            <w:rPr/>
            <w:t>2.2 Цели и задачи оказания услуг</w:t>
            <w:tab/>
            <w:t>10</w:t>
          </w:r>
        </w:p>
        <w:p>
          <w:pPr>
            <w:pStyle w:val="TOC1"/>
            <w:tabs>
              <w:tab w:val="clear" w:pos="426"/>
              <w:tab w:val="clear" w:pos="10053"/>
              <w:tab w:val="right" w:pos="9920" w:leader="dot"/>
            </w:tabs>
            <w:rPr/>
          </w:pPr>
          <w:r>
            <w:rPr/>
            <w:t>3. Сведения о состоянии Системы</w:t>
            <w:tab/>
            <w:t>12</w:t>
          </w:r>
        </w:p>
        <w:p>
          <w:pPr>
            <w:pStyle w:val="TOC2"/>
            <w:tabs>
              <w:tab w:val="clear" w:pos="567"/>
              <w:tab w:val="clear" w:pos="10053"/>
              <w:tab w:val="right" w:pos="9920" w:leader="dot"/>
            </w:tabs>
            <w:rPr/>
          </w:pPr>
          <w:r>
            <w:rPr/>
            <w:t>3.1. Общее описание состояния Системы</w:t>
            <w:tab/>
            <w:t>12</w:t>
          </w:r>
        </w:p>
        <w:p>
          <w:pPr>
            <w:pStyle w:val="TOC3"/>
            <w:tabs>
              <w:tab w:val="clear" w:pos="709"/>
              <w:tab w:val="clear" w:pos="1560"/>
              <w:tab w:val="clear" w:pos="10053"/>
              <w:tab w:val="right" w:pos="9920" w:leader="dot"/>
            </w:tabs>
            <w:rPr/>
          </w:pPr>
          <w:r>
            <w:rPr/>
            <w:t>3.1.1. Сведения о ранее заключенных государственных Договорах на создание, развитие и сопровождение Системы</w:t>
            <w:tab/>
            <w:t>12</w:t>
          </w:r>
        </w:p>
        <w:p>
          <w:pPr>
            <w:pStyle w:val="TOC3"/>
            <w:tabs>
              <w:tab w:val="clear" w:pos="709"/>
              <w:tab w:val="clear" w:pos="1560"/>
              <w:tab w:val="clear" w:pos="10053"/>
              <w:tab w:val="right" w:pos="9920" w:leader="dot"/>
            </w:tabs>
            <w:rPr/>
          </w:pPr>
          <w:r>
            <w:rPr/>
            <w:t>3.1.2. Пользователи системы</w:t>
            <w:tab/>
            <w:t>14</w:t>
          </w:r>
        </w:p>
        <w:p>
          <w:pPr>
            <w:pStyle w:val="TOC3"/>
            <w:tabs>
              <w:tab w:val="clear" w:pos="709"/>
              <w:tab w:val="clear" w:pos="1560"/>
              <w:tab w:val="clear" w:pos="10053"/>
              <w:tab w:val="right" w:pos="9920" w:leader="dot"/>
            </w:tabs>
            <w:rPr/>
          </w:pPr>
          <w:r>
            <w:rPr/>
            <w:t>3.1.3. Функциональная схема деления Системы</w:t>
            <w:tab/>
            <w:t>14</w:t>
          </w:r>
        </w:p>
        <w:p>
          <w:pPr>
            <w:pStyle w:val="TOC3"/>
            <w:tabs>
              <w:tab w:val="clear" w:pos="709"/>
              <w:tab w:val="clear" w:pos="1560"/>
              <w:tab w:val="clear" w:pos="10053"/>
              <w:tab w:val="right" w:pos="9920" w:leader="dot"/>
            </w:tabs>
            <w:rPr/>
          </w:pPr>
          <w:r>
            <w:rPr/>
            <w:t>3.1.4. Состав функциональных частей Системы (подсистем, модулей и др.)</w:t>
            <w:tab/>
            <w:t>15</w:t>
          </w:r>
        </w:p>
        <w:p>
          <w:pPr>
            <w:pStyle w:val="TOC3"/>
            <w:tabs>
              <w:tab w:val="clear" w:pos="709"/>
              <w:tab w:val="clear" w:pos="1560"/>
              <w:tab w:val="clear" w:pos="10053"/>
              <w:tab w:val="right" w:pos="9920" w:leader="dot"/>
            </w:tabs>
            <w:rPr/>
          </w:pPr>
          <w:r>
            <w:rPr/>
            <w:t>3.1.5. Взаимосвязи между подсистемами Системы, а также между подсистемами Системы и внешними информационными системами</w:t>
            <w:tab/>
            <w:t>17</w:t>
          </w:r>
        </w:p>
        <w:p>
          <w:pPr>
            <w:pStyle w:val="TOC2"/>
            <w:tabs>
              <w:tab w:val="clear" w:pos="567"/>
              <w:tab w:val="clear" w:pos="10053"/>
              <w:tab w:val="right" w:pos="9920" w:leader="dot"/>
            </w:tabs>
            <w:rPr/>
          </w:pPr>
          <w:r>
            <w:rPr/>
            <w:t>3.2. Ранее разработанная документация</w:t>
            <w:tab/>
            <w:t>18</w:t>
          </w:r>
        </w:p>
        <w:p>
          <w:pPr>
            <w:pStyle w:val="TOC2"/>
            <w:tabs>
              <w:tab w:val="clear" w:pos="567"/>
              <w:tab w:val="clear" w:pos="10053"/>
              <w:tab w:val="right" w:pos="9920" w:leader="dot"/>
            </w:tabs>
            <w:rPr/>
          </w:pPr>
          <w:r>
            <w:rPr/>
            <w:t>3.3. Технические средства</w:t>
            <w:tab/>
            <w:t>18</w:t>
          </w:r>
        </w:p>
        <w:p>
          <w:pPr>
            <w:pStyle w:val="TOC2"/>
            <w:tabs>
              <w:tab w:val="clear" w:pos="567"/>
              <w:tab w:val="clear" w:pos="10053"/>
              <w:tab w:val="right" w:pos="9920" w:leader="dot"/>
            </w:tabs>
            <w:rPr/>
          </w:pPr>
          <w:r>
            <w:rPr/>
            <w:t>3.4. Программные средства</w:t>
            <w:tab/>
            <w:t>19</w:t>
          </w:r>
        </w:p>
        <w:p>
          <w:pPr>
            <w:pStyle w:val="TOC2"/>
            <w:tabs>
              <w:tab w:val="clear" w:pos="567"/>
              <w:tab w:val="clear" w:pos="10053"/>
              <w:tab w:val="right" w:pos="9920" w:leader="dot"/>
            </w:tabs>
            <w:rPr/>
          </w:pPr>
          <w:r>
            <w:rPr/>
            <w:t>3.5. Сведения о регистрации Системы в Реестре информационных систем Московской области</w:t>
            <w:tab/>
            <w:t>20</w:t>
          </w:r>
        </w:p>
        <w:p>
          <w:pPr>
            <w:pStyle w:val="TOC1"/>
            <w:tabs>
              <w:tab w:val="clear" w:pos="426"/>
              <w:tab w:val="clear" w:pos="10053"/>
              <w:tab w:val="right" w:pos="9920" w:leader="dot"/>
            </w:tabs>
            <w:rPr/>
          </w:pPr>
          <w:r>
            <w:rPr/>
            <w:t>4. Требования к составу Услуг, результатам, срокам и этапам их выполнения</w:t>
            <w:tab/>
            <w:t>21</w:t>
          </w:r>
        </w:p>
        <w:p>
          <w:pPr>
            <w:pStyle w:val="TOC1"/>
            <w:tabs>
              <w:tab w:val="clear" w:pos="426"/>
              <w:tab w:val="clear" w:pos="10053"/>
              <w:tab w:val="right" w:pos="9920" w:leader="dot"/>
            </w:tabs>
            <w:rPr/>
          </w:pPr>
          <w:r>
            <w:rPr/>
            <w:t>5. Требования к оказанию Услуг</w:t>
            <w:tab/>
            <w:t>22</w:t>
          </w:r>
        </w:p>
        <w:p>
          <w:pPr>
            <w:pStyle w:val="TOC2"/>
            <w:tabs>
              <w:tab w:val="clear" w:pos="567"/>
              <w:tab w:val="clear" w:pos="10053"/>
              <w:tab w:val="right" w:pos="9920" w:leader="dot"/>
            </w:tabs>
            <w:rPr/>
          </w:pPr>
          <w:r>
            <w:rPr/>
            <w:t>5.1. Общие требования к оказанию услуг</w:t>
            <w:tab/>
            <w:t>22</w:t>
          </w:r>
        </w:p>
        <w:p>
          <w:pPr>
            <w:pStyle w:val="TOC2"/>
            <w:tabs>
              <w:tab w:val="clear" w:pos="567"/>
              <w:tab w:val="clear" w:pos="10053"/>
              <w:tab w:val="right" w:pos="9920" w:leader="dot"/>
            </w:tabs>
            <w:rPr/>
          </w:pPr>
          <w:r>
            <w:rPr/>
            <w:t>5.2. Требования к составу услуг и режиму их оказания</w:t>
            <w:tab/>
            <w:t>22</w:t>
          </w:r>
        </w:p>
        <w:p>
          <w:pPr>
            <w:pStyle w:val="TOC3"/>
            <w:tabs>
              <w:tab w:val="clear" w:pos="709"/>
              <w:tab w:val="clear" w:pos="1560"/>
              <w:tab w:val="clear" w:pos="10053"/>
              <w:tab w:val="right" w:pos="9920" w:leader="dot"/>
            </w:tabs>
            <w:rPr/>
          </w:pPr>
          <w:r>
            <w:rPr/>
            <w:t>5.2.1. Параметры производительности СПО</w:t>
            <w:tab/>
            <w:t>29</w:t>
          </w:r>
        </w:p>
        <w:p>
          <w:pPr>
            <w:pStyle w:val="TOC3"/>
            <w:tabs>
              <w:tab w:val="clear" w:pos="709"/>
              <w:tab w:val="clear" w:pos="1560"/>
              <w:tab w:val="clear" w:pos="10053"/>
              <w:tab w:val="right" w:pos="9920" w:leader="dot"/>
            </w:tabs>
            <w:rPr/>
          </w:pPr>
          <w:r>
            <w:rPr/>
            <w:t>5.2.2. Участники процесса оказания услуг</w:t>
            <w:tab/>
            <w:t>29</w:t>
          </w:r>
        </w:p>
        <w:p>
          <w:pPr>
            <w:pStyle w:val="TOC3"/>
            <w:tabs>
              <w:tab w:val="clear" w:pos="709"/>
              <w:tab w:val="clear" w:pos="1560"/>
              <w:tab w:val="clear" w:pos="10053"/>
              <w:tab w:val="right" w:pos="9920" w:leader="dot"/>
            </w:tabs>
            <w:rPr/>
          </w:pPr>
          <w:r>
            <w:rPr/>
            <w:t>5.2.3. Способы поступления обращений</w:t>
            <w:tab/>
            <w:t>29</w:t>
          </w:r>
        </w:p>
        <w:p>
          <w:pPr>
            <w:pStyle w:val="TOC3"/>
            <w:tabs>
              <w:tab w:val="clear" w:pos="709"/>
              <w:tab w:val="clear" w:pos="1560"/>
              <w:tab w:val="clear" w:pos="10053"/>
              <w:tab w:val="right" w:pos="9920" w:leader="dot"/>
            </w:tabs>
            <w:rPr/>
          </w:pPr>
          <w:r>
            <w:rPr/>
            <w:t>5.2.4. Способы и порядок взаимодействия между участниками процесса оказания услуг</w:t>
            <w:tab/>
            <w:t>30</w:t>
          </w:r>
        </w:p>
        <w:p>
          <w:pPr>
            <w:pStyle w:val="TOC2"/>
            <w:tabs>
              <w:tab w:val="clear" w:pos="567"/>
              <w:tab w:val="clear" w:pos="10053"/>
              <w:tab w:val="right" w:pos="9920" w:leader="dot"/>
            </w:tabs>
            <w:rPr/>
          </w:pPr>
          <w:r>
            <w:rPr/>
            <w:t>5.3. Требования к организации СТП Исполнителя</w:t>
            <w:tab/>
            <w:t>31</w:t>
          </w:r>
        </w:p>
        <w:p>
          <w:pPr>
            <w:pStyle w:val="TOC3"/>
            <w:tabs>
              <w:tab w:val="clear" w:pos="709"/>
              <w:tab w:val="clear" w:pos="1560"/>
              <w:tab w:val="clear" w:pos="10053"/>
              <w:tab w:val="right" w:pos="9920" w:leader="dot"/>
            </w:tabs>
            <w:rPr/>
          </w:pPr>
          <w:r>
            <w:rPr/>
            <w:t>5.3.1. Режимы работы службы технической поддержки пользователей Исполнителя</w:t>
            <w:tab/>
            <w:t>31</w:t>
          </w:r>
        </w:p>
        <w:p>
          <w:pPr>
            <w:pStyle w:val="TOC3"/>
            <w:tabs>
              <w:tab w:val="clear" w:pos="709"/>
              <w:tab w:val="clear" w:pos="1560"/>
              <w:tab w:val="clear" w:pos="10053"/>
              <w:tab w:val="right" w:pos="9920" w:leader="dot"/>
            </w:tabs>
            <w:rPr/>
          </w:pPr>
          <w:r>
            <w:rPr/>
            <w:t>5.3.2. Порядок регистрации и обработки обращений (заявок)</w:t>
            <w:tab/>
            <w:t>32</w:t>
          </w:r>
        </w:p>
        <w:p>
          <w:pPr>
            <w:pStyle w:val="TOC3"/>
            <w:tabs>
              <w:tab w:val="clear" w:pos="709"/>
              <w:tab w:val="clear" w:pos="1560"/>
              <w:tab w:val="clear" w:pos="10053"/>
              <w:tab w:val="right" w:pos="9920" w:leader="dot"/>
            </w:tabs>
            <w:rPr/>
          </w:pPr>
          <w:r>
            <w:rPr/>
            <w:t>5.3.3. Порядок классификации и первичной обработки обращений</w:t>
            <w:tab/>
            <w:t>37</w:t>
          </w:r>
        </w:p>
        <w:p>
          <w:pPr>
            <w:pStyle w:val="TOC3"/>
            <w:tabs>
              <w:tab w:val="clear" w:pos="709"/>
              <w:tab w:val="clear" w:pos="1560"/>
              <w:tab w:val="clear" w:pos="10053"/>
              <w:tab w:val="right" w:pos="9920" w:leader="dot"/>
            </w:tabs>
            <w:rPr/>
          </w:pPr>
          <w:r>
            <w:rPr/>
            <w:t>5.3.4. Приоритеты обработки обращений с типом «Инцидент»</w:t>
            <w:tab/>
            <w:t>38</w:t>
          </w:r>
        </w:p>
        <w:p>
          <w:pPr>
            <w:pStyle w:val="TOC3"/>
            <w:tabs>
              <w:tab w:val="clear" w:pos="709"/>
              <w:tab w:val="clear" w:pos="1560"/>
              <w:tab w:val="clear" w:pos="10053"/>
              <w:tab w:val="right" w:pos="9920" w:leader="dot"/>
            </w:tabs>
            <w:rPr/>
          </w:pPr>
          <w:r>
            <w:rPr/>
            <w:t>5.3.5. Контрольные сроки решения (выполнения) обращений</w:t>
            <w:tab/>
            <w:t>38</w:t>
          </w:r>
        </w:p>
        <w:p>
          <w:pPr>
            <w:pStyle w:val="TOC3"/>
            <w:tabs>
              <w:tab w:val="clear" w:pos="709"/>
              <w:tab w:val="clear" w:pos="1560"/>
              <w:tab w:val="clear" w:pos="10053"/>
              <w:tab w:val="right" w:pos="9920" w:leader="dot"/>
            </w:tabs>
            <w:rPr/>
          </w:pPr>
          <w:r>
            <w:rPr/>
            <w:t>5.3.6. Форма регистрации обращений</w:t>
            <w:tab/>
            <w:t>41</w:t>
          </w:r>
        </w:p>
        <w:p>
          <w:pPr>
            <w:pStyle w:val="TOC3"/>
            <w:tabs>
              <w:tab w:val="clear" w:pos="709"/>
              <w:tab w:val="clear" w:pos="1560"/>
              <w:tab w:val="clear" w:pos="10053"/>
              <w:tab w:val="right" w:pos="9920" w:leader="dot"/>
            </w:tabs>
            <w:rPr/>
          </w:pPr>
          <w:r>
            <w:rPr/>
            <w:t>5.3.7. Порядок выполнения регулярных работ</w:t>
            <w:tab/>
            <w:t>42</w:t>
          </w:r>
        </w:p>
        <w:p>
          <w:pPr>
            <w:pStyle w:val="TOC2"/>
            <w:tabs>
              <w:tab w:val="clear" w:pos="567"/>
              <w:tab w:val="clear" w:pos="10053"/>
              <w:tab w:val="right" w:pos="9920" w:leader="dot"/>
            </w:tabs>
            <w:rPr/>
          </w:pPr>
          <w:r>
            <w:rPr/>
            <w:t>5.4. Требования к оказанию конкретных услуг</w:t>
            <w:tab/>
            <w:t>44</w:t>
          </w:r>
        </w:p>
        <w:p>
          <w:pPr>
            <w:pStyle w:val="TOC3"/>
            <w:tabs>
              <w:tab w:val="clear" w:pos="709"/>
              <w:tab w:val="clear" w:pos="1560"/>
              <w:tab w:val="clear" w:pos="10053"/>
              <w:tab w:val="right" w:pos="9920" w:leader="dot"/>
            </w:tabs>
            <w:rPr/>
          </w:pPr>
          <w:r>
            <w:rPr/>
            <w:t>5.4.1. Информационно-консультационная поддержка пользователей Системы</w:t>
            <w:tab/>
            <w:t>44</w:t>
          </w:r>
        </w:p>
        <w:p>
          <w:pPr>
            <w:pStyle w:val="TOC3"/>
            <w:tabs>
              <w:tab w:val="clear" w:pos="709"/>
              <w:tab w:val="clear" w:pos="1560"/>
              <w:tab w:val="clear" w:pos="10053"/>
              <w:tab w:val="right" w:pos="9920" w:leader="dot"/>
            </w:tabs>
            <w:rPr/>
          </w:pPr>
          <w:r>
            <w:rPr/>
            <w:t>5.4.2. Обслуживание ОС/ОПО/СПО Системы</w:t>
            <w:tab/>
            <w:t>45</w:t>
          </w:r>
        </w:p>
        <w:p>
          <w:pPr>
            <w:pStyle w:val="TOC3"/>
            <w:tabs>
              <w:tab w:val="clear" w:pos="709"/>
              <w:tab w:val="clear" w:pos="1560"/>
              <w:tab w:val="clear" w:pos="10053"/>
              <w:tab w:val="right" w:pos="9920" w:leader="dot"/>
            </w:tabs>
            <w:rPr/>
          </w:pPr>
          <w:r>
            <w:rPr/>
            <w:t>5.4.3. Резервное копирование</w:t>
            <w:tab/>
            <w:t>46</w:t>
          </w:r>
        </w:p>
        <w:p>
          <w:pPr>
            <w:pStyle w:val="TOC3"/>
            <w:tabs>
              <w:tab w:val="clear" w:pos="709"/>
              <w:tab w:val="clear" w:pos="1560"/>
              <w:tab w:val="clear" w:pos="10053"/>
              <w:tab w:val="right" w:pos="9920" w:leader="dot"/>
            </w:tabs>
            <w:rPr/>
          </w:pPr>
          <w:r>
            <w:rPr/>
            <w:t>5.4.4. Восстановление работоспособности ОС/ОПО и СПО Системы при возникновении инцидентов</w:t>
            <w:tab/>
            <w:t>47</w:t>
          </w:r>
        </w:p>
        <w:p>
          <w:pPr>
            <w:pStyle w:val="TOC2"/>
            <w:tabs>
              <w:tab w:val="clear" w:pos="567"/>
              <w:tab w:val="clear" w:pos="10053"/>
              <w:tab w:val="right" w:pos="9920" w:leader="dot"/>
            </w:tabs>
            <w:rPr/>
          </w:pPr>
          <w:r>
            <w:rPr/>
            <w:t>5.5. Требования к обеспечению конфиденциальности</w:t>
            <w:tab/>
            <w:t>53</w:t>
          </w:r>
        </w:p>
        <w:p>
          <w:pPr>
            <w:pStyle w:val="TOC2"/>
            <w:tabs>
              <w:tab w:val="clear" w:pos="567"/>
              <w:tab w:val="clear" w:pos="10053"/>
              <w:tab w:val="right" w:pos="9920" w:leader="dot"/>
            </w:tabs>
            <w:rPr/>
          </w:pPr>
          <w:r>
            <w:rPr/>
            <w:t>5.6. Требования к патентной чистоте</w:t>
            <w:tab/>
            <w:t>53</w:t>
          </w:r>
        </w:p>
        <w:p>
          <w:pPr>
            <w:pStyle w:val="TOC1"/>
            <w:tabs>
              <w:tab w:val="clear" w:pos="426"/>
              <w:tab w:val="clear" w:pos="10053"/>
              <w:tab w:val="right" w:pos="9920" w:leader="dot"/>
            </w:tabs>
            <w:rPr/>
          </w:pPr>
          <w:r>
            <w:rPr/>
            <w:t>6. Требования к документации</w:t>
            <w:tab/>
            <w:t>54</w:t>
          </w:r>
        </w:p>
        <w:p>
          <w:pPr>
            <w:pStyle w:val="TOC1"/>
            <w:tabs>
              <w:tab w:val="clear" w:pos="426"/>
              <w:tab w:val="clear" w:pos="10053"/>
              <w:tab w:val="right" w:pos="9920" w:leader="dot"/>
            </w:tabs>
            <w:rPr/>
          </w:pPr>
          <w:r>
            <w:rPr/>
            <w:t>7. Порядок контроля и приемки результатов услуг</w:t>
            <w:tab/>
            <w:t>56</w:t>
          </w:r>
        </w:p>
        <w:p>
          <w:pPr>
            <w:pStyle w:val="TOC1"/>
            <w:tabs>
              <w:tab w:val="clear" w:pos="426"/>
              <w:tab w:val="clear" w:pos="10053"/>
              <w:tab w:val="right" w:pos="9920" w:leader="dot"/>
            </w:tabs>
            <w:rPr/>
          </w:pPr>
          <w:r>
            <w:rPr/>
            <w:t>8. Гарантийные обязательства исполнителя</w:t>
            <w:tab/>
            <w:t>57</w:t>
          </w:r>
        </w:p>
        <w:p>
          <w:pPr>
            <w:pStyle w:val="TOC1"/>
            <w:tabs>
              <w:tab w:val="clear" w:pos="426"/>
              <w:tab w:val="clear" w:pos="10053"/>
              <w:tab w:val="right" w:pos="9920" w:leader="dot"/>
            </w:tabs>
            <w:rPr/>
          </w:pPr>
          <w:r>
            <w:rPr/>
            <w:t>9. Источники разработки</w:t>
            <w:tab/>
            <w:t>58</w:t>
          </w:r>
        </w:p>
        <w:p>
          <w:pPr>
            <w:pStyle w:val="TOC1"/>
            <w:tabs>
              <w:tab w:val="clear" w:pos="426"/>
              <w:tab w:val="clear" w:pos="10053"/>
              <w:tab w:val="right" w:pos="9920" w:leader="dot"/>
            </w:tabs>
            <w:rPr/>
          </w:pPr>
          <w:r>
            <w:rPr/>
            <w:t>Приложение 1</w:t>
            <w:tab/>
            <w:t>59</w:t>
          </w:r>
        </w:p>
        <w:p>
          <w:pPr>
            <w:pStyle w:val="TOC1"/>
            <w:tabs>
              <w:tab w:val="clear" w:pos="426"/>
              <w:tab w:val="clear" w:pos="10053"/>
              <w:tab w:val="right" w:pos="9920" w:leader="dot"/>
            </w:tabs>
            <w:rPr/>
          </w:pPr>
          <w:r>
            <w:rPr/>
            <w:t>Приложение A</w:t>
            <w:tab/>
            <w:t>62</w:t>
          </w:r>
        </w:p>
        <w:p>
          <w:pPr>
            <w:pStyle w:val="TOC1"/>
            <w:tabs>
              <w:tab w:val="clear" w:pos="426"/>
              <w:tab w:val="clear" w:pos="10053"/>
              <w:tab w:val="right" w:pos="9920" w:leader="dot"/>
            </w:tabs>
            <w:rPr/>
          </w:pPr>
          <w:r>
            <w:rPr/>
            <w:t>Приложение Б. Отчетные формы</w:t>
            <w:tab/>
            <w:t>66</w:t>
          </w:r>
        </w:p>
        <w:p>
          <w:pPr>
            <w:pStyle w:val="TOC2"/>
            <w:tabs>
              <w:tab w:val="clear" w:pos="567"/>
              <w:tab w:val="clear" w:pos="10053"/>
              <w:tab w:val="right" w:pos="9920" w:leader="dot"/>
            </w:tabs>
            <w:rPr/>
          </w:pPr>
          <w:r>
            <w:rPr/>
            <w:t>1. Форма предоставления информации о СТП Исполнителя</w:t>
            <w:tab/>
            <w:t>69</w:t>
          </w:r>
        </w:p>
        <w:p>
          <w:pPr>
            <w:pStyle w:val="TOC2"/>
            <w:tabs>
              <w:tab w:val="clear" w:pos="567"/>
              <w:tab w:val="clear" w:pos="10053"/>
              <w:tab w:val="right" w:pos="9920" w:leader="dot"/>
            </w:tabs>
            <w:rPr/>
          </w:pPr>
          <w:r>
            <w:rPr/>
            <w:t>2. Форма Журнала обращений</w:t>
            <w:tab/>
            <w:t>70</w:t>
          </w:r>
        </w:p>
        <w:p>
          <w:pPr>
            <w:pStyle w:val="TOC2"/>
            <w:tabs>
              <w:tab w:val="clear" w:pos="567"/>
              <w:tab w:val="clear" w:pos="10053"/>
              <w:tab w:val="right" w:pos="9920" w:leader="dot"/>
            </w:tabs>
            <w:rPr/>
          </w:pPr>
          <w:r>
            <w:rPr/>
            <w:t>3. Форма Журнала резервного копирования и проверки целостности резервных копий</w:t>
            <w:tab/>
            <w:t>71</w:t>
          </w:r>
        </w:p>
        <w:p>
          <w:pPr>
            <w:pStyle w:val="TOC2"/>
            <w:tabs>
              <w:tab w:val="clear" w:pos="567"/>
              <w:tab w:val="clear" w:pos="10053"/>
              <w:tab w:val="right" w:pos="9920" w:leader="dot"/>
            </w:tabs>
            <w:rPr/>
          </w:pPr>
          <w:r>
            <w:rPr/>
            <w:t>4. Форма Журнала обслуживания Системы</w:t>
            <w:tab/>
            <w:t>72</w:t>
          </w:r>
        </w:p>
        <w:p>
          <w:pPr>
            <w:pStyle w:val="TOC2"/>
            <w:tabs>
              <w:tab w:val="clear" w:pos="567"/>
              <w:tab w:val="clear" w:pos="10053"/>
              <w:tab w:val="right" w:pos="9920" w:leader="dot"/>
            </w:tabs>
            <w:rPr/>
          </w:pPr>
          <w:r>
            <w:rPr/>
            <w:t>5. Форма Журнала обслуживания пользователей</w:t>
            <w:tab/>
            <w:t>73</w:t>
          </w:r>
        </w:p>
        <w:p>
          <w:pPr>
            <w:pStyle w:val="TOC2"/>
            <w:tabs>
              <w:tab w:val="clear" w:pos="567"/>
              <w:tab w:val="clear" w:pos="10053"/>
              <w:tab w:val="right" w:pos="9920" w:leader="dot"/>
            </w:tabs>
            <w:rPr/>
          </w:pPr>
          <w:r>
            <w:rPr/>
            <w:t>6. Форма отчета о проведении инструктажей</w:t>
            <w:tab/>
            <w:t>74</w:t>
          </w:r>
        </w:p>
        <w:p>
          <w:pPr>
            <w:pStyle w:val="TOC2"/>
            <w:tabs>
              <w:tab w:val="clear" w:pos="567"/>
              <w:tab w:val="clear" w:pos="10053"/>
              <w:tab w:val="right" w:pos="9920" w:leader="dot"/>
            </w:tabs>
            <w:rPr/>
          </w:pPr>
          <w:r>
            <w:rPr/>
            <w:t>7. Форма Отчета о недоступности Системы</w:t>
            <w:tab/>
            <w:t>75</w:t>
          </w:r>
        </w:p>
        <w:p>
          <w:pPr>
            <w:pStyle w:val="TOC2"/>
            <w:tabs>
              <w:tab w:val="clear" w:pos="567"/>
              <w:tab w:val="clear" w:pos="10053"/>
              <w:tab w:val="right" w:pos="9920" w:leader="dot"/>
            </w:tabs>
            <w:rPr/>
          </w:pPr>
          <w:r>
            <w:rPr/>
            <w:t>8. Форма Отчета о работоспособности Системы</w:t>
            <w:tab/>
            <w:t>76</w:t>
          </w:r>
        </w:p>
        <w:p>
          <w:pPr>
            <w:pStyle w:val="TOC2"/>
            <w:tabs>
              <w:tab w:val="clear" w:pos="567"/>
              <w:tab w:val="clear" w:pos="10053"/>
              <w:tab w:val="right" w:pos="9920" w:leader="dot"/>
            </w:tabs>
            <w:rPr/>
          </w:pPr>
          <w:r>
            <w:rPr/>
            <w:t>9. Форма Акта размещения исходного кода</w:t>
            <w:tab/>
            <w:t>77</w:t>
          </w:r>
        </w:p>
        <w:p>
          <w:pPr>
            <w:pStyle w:val="TOC1"/>
            <w:tabs>
              <w:tab w:val="clear" w:pos="426"/>
              <w:tab w:val="clear" w:pos="10053"/>
              <w:tab w:val="right" w:pos="9920" w:leader="dot"/>
            </w:tabs>
            <w:rPr/>
          </w:pPr>
          <w:r>
            <w:rPr/>
            <w:t>Приложение В</w:t>
            <w:tab/>
            <w:t>78</w:t>
          </w:r>
          <w:r>
            <w:rPr/>
            <w:fldChar w:fldCharType="end"/>
          </w:r>
        </w:p>
      </w:sdtContent>
    </w:sdt>
    <w:p>
      <w:pPr>
        <w:pStyle w:val="Normal"/>
        <w:ind w:hanging="0" w:start="0"/>
        <w:rPr>
          <w:sz w:val="24"/>
          <w:szCs w:val="24"/>
        </w:rPr>
      </w:pPr>
      <w:r>
        <w:rPr>
          <w:sz w:val="24"/>
          <w:szCs w:val="24"/>
        </w:rPr>
      </w:r>
    </w:p>
    <w:p>
      <w:pPr>
        <w:pStyle w:val="Normal"/>
        <w:rPr/>
      </w:pPr>
      <w:r>
        <w:rPr/>
      </w:r>
    </w:p>
    <w:p>
      <w:pPr>
        <w:pStyle w:val="15"/>
        <w:spacing w:lineRule="auto" w:line="276" w:before="0" w:after="0"/>
        <w:ind w:firstLine="709" w:start="0"/>
        <w:rPr/>
      </w:pPr>
      <w:bookmarkStart w:id="2" w:name="__RefHeading___Toc33476_3559854210"/>
      <w:bookmarkStart w:id="3" w:name="_Toc215755854"/>
      <w:bookmarkStart w:id="4" w:name="_Toc177129055"/>
      <w:bookmarkEnd w:id="2"/>
      <w:r>
        <w:rPr/>
        <w:t>Общие сведения</w:t>
      </w:r>
      <w:bookmarkEnd w:id="3"/>
      <w:bookmarkEnd w:id="4"/>
    </w:p>
    <w:p>
      <w:pPr>
        <w:pStyle w:val="26"/>
        <w:spacing w:lineRule="auto" w:line="276" w:before="0" w:after="0"/>
        <w:ind w:firstLine="709" w:start="0"/>
        <w:rPr>
          <w:rFonts w:ascii="Times New Roman" w:hAnsi="Times New Roman"/>
        </w:rPr>
      </w:pPr>
      <w:bookmarkStart w:id="5" w:name="__RefHeading___Toc33478_3559854210"/>
      <w:bookmarkStart w:id="6" w:name="_Toc177129056"/>
      <w:bookmarkStart w:id="7" w:name="_Toc215755855"/>
      <w:bookmarkEnd w:id="5"/>
      <w:r>
        <w:rPr>
          <w:rFonts w:ascii="Times New Roman" w:hAnsi="Times New Roman"/>
        </w:rPr>
        <w:t>Наименование услуг</w:t>
      </w:r>
      <w:bookmarkEnd w:id="6"/>
      <w:bookmarkEnd w:id="7"/>
    </w:p>
    <w:p>
      <w:pPr>
        <w:pStyle w:val="Style44"/>
        <w:tabs>
          <w:tab w:val="clear" w:pos="708"/>
          <w:tab w:val="right" w:pos="9921" w:leader="none"/>
        </w:tabs>
        <w:spacing w:lineRule="auto" w:line="276" w:before="240" w:after="0"/>
        <w:contextualSpacing/>
        <w:rPr/>
      </w:pPr>
      <w:r>
        <w:rPr/>
        <w:t>Оказание услуг по сопровождению государственной информационной системы «Система автоматического сбора данных в целях управления энергосбережением на объектах Московской области, в том числе интеграционного сегмента для подключения автоматизированных систем ресурсоснабжающих организаций» (далее – Услуги).</w:t>
      </w:r>
    </w:p>
    <w:p>
      <w:pPr>
        <w:pStyle w:val="Style44"/>
        <w:spacing w:lineRule="auto" w:line="276"/>
        <w:ind w:hanging="0"/>
        <w:jc w:val="start"/>
        <w:rPr/>
      </w:pPr>
      <w:r>
        <w:rPr/>
      </w:r>
    </w:p>
    <w:p>
      <w:pPr>
        <w:pStyle w:val="26"/>
        <w:spacing w:lineRule="auto" w:line="276" w:before="0" w:after="0"/>
        <w:ind w:firstLine="709" w:start="0"/>
        <w:rPr>
          <w:rFonts w:ascii="Times New Roman" w:hAnsi="Times New Roman"/>
        </w:rPr>
      </w:pPr>
      <w:bookmarkStart w:id="8" w:name="__RefHeading___Toc33480_3559854210"/>
      <w:bookmarkStart w:id="9" w:name="_Toc215755856"/>
      <w:bookmarkStart w:id="10" w:name="_Toc177129057"/>
      <w:bookmarkEnd w:id="8"/>
      <w:r>
        <w:rPr>
          <w:rFonts w:ascii="Times New Roman" w:hAnsi="Times New Roman"/>
        </w:rPr>
        <w:t>Наименование и условное обозначение системы</w:t>
      </w:r>
      <w:bookmarkEnd w:id="9"/>
      <w:bookmarkEnd w:id="10"/>
    </w:p>
    <w:p>
      <w:pPr>
        <w:pStyle w:val="Style44"/>
        <w:spacing w:lineRule="auto" w:line="276" w:before="240" w:after="0"/>
        <w:contextualSpacing/>
        <w:rPr/>
      </w:pPr>
      <w:r>
        <w:rPr/>
        <w:t>Государственная информационная система «</w:t>
      </w:r>
      <w:r>
        <w:rPr>
          <w:szCs w:val="24"/>
        </w:rPr>
        <w:t xml:space="preserve">Система автоматического сбора данных в целях управления энергосбережением на объектах Московской области, в том числе интеграционного сегмента для подключения автоматизированных систем ресурсоснабжающих организаций» </w:t>
      </w:r>
      <w:r>
        <w:rPr/>
        <w:t>(далее – САСДУЭ МО, Система).</w:t>
      </w:r>
    </w:p>
    <w:p>
      <w:pPr>
        <w:pStyle w:val="Style44"/>
        <w:spacing w:lineRule="auto" w:line="276"/>
        <w:ind w:hanging="0"/>
        <w:rPr/>
      </w:pPr>
      <w:r>
        <w:rPr/>
      </w:r>
    </w:p>
    <w:p>
      <w:pPr>
        <w:pStyle w:val="26"/>
        <w:spacing w:lineRule="auto" w:line="276" w:before="0" w:after="0"/>
        <w:ind w:firstLine="709" w:start="0"/>
        <w:rPr>
          <w:rFonts w:ascii="Times New Roman" w:hAnsi="Times New Roman"/>
        </w:rPr>
      </w:pPr>
      <w:bookmarkStart w:id="11" w:name="__RefHeading___Toc33482_3559854210"/>
      <w:bookmarkStart w:id="12" w:name="_Toc177129059"/>
      <w:bookmarkStart w:id="13" w:name="_Toc215755858"/>
      <w:bookmarkStart w:id="14" w:name="_Hlk174968109"/>
      <w:bookmarkEnd w:id="11"/>
      <w:r>
        <w:rPr>
          <w:rFonts w:ascii="Times New Roman" w:hAnsi="Times New Roman"/>
        </w:rPr>
        <w:t>Сведения о Заказчике</w:t>
      </w:r>
      <w:bookmarkEnd w:id="12"/>
      <w:bookmarkEnd w:id="13"/>
      <w:bookmarkEnd w:id="14"/>
    </w:p>
    <w:p>
      <w:pPr>
        <w:pStyle w:val="Style44"/>
        <w:spacing w:lineRule="auto" w:line="276" w:before="171" w:after="171"/>
        <w:ind w:firstLine="708"/>
        <w:contextualSpacing/>
        <w:rPr/>
      </w:pPr>
      <w:r>
        <w:rPr/>
        <w:t>Публичное акционерное общество «Ростелеком» (ПАО «Ростелеком»).</w:t>
      </w:r>
    </w:p>
    <w:p>
      <w:pPr>
        <w:pStyle w:val="Style44"/>
        <w:spacing w:lineRule="auto" w:line="276"/>
        <w:ind w:firstLine="708"/>
        <w:rPr/>
      </w:pPr>
      <w:r>
        <w:rPr/>
        <w:t>Местонахождение: 191167, Россия, г. Санкт–Петербург, вн. тер. г. муниципальный округ Смольнинское, Синопская набережная, д. 14, литера А.</w:t>
      </w:r>
    </w:p>
    <w:p>
      <w:pPr>
        <w:pStyle w:val="Style44"/>
        <w:spacing w:lineRule="auto" w:line="276"/>
        <w:ind w:firstLine="708"/>
        <w:rPr/>
      </w:pPr>
      <w:r>
        <w:rPr/>
        <w:t>Почтовый адрес: 108811, Россия, г. Москва, п. Московский, 22 км Киевского шоссе, д.6, стр.1.</w:t>
      </w:r>
    </w:p>
    <w:p>
      <w:pPr>
        <w:pStyle w:val="Style44"/>
        <w:spacing w:lineRule="auto" w:line="276"/>
        <w:ind w:firstLine="708"/>
        <w:rPr/>
      </w:pPr>
      <w:r>
        <w:rPr/>
      </w:r>
    </w:p>
    <w:p>
      <w:pPr>
        <w:pStyle w:val="Style44"/>
        <w:spacing w:lineRule="auto" w:line="276"/>
        <w:ind w:firstLine="708"/>
        <w:rPr/>
      </w:pPr>
      <w:r>
        <w:rPr/>
        <w:t>Государственный заказчик: Министерство энергетики Московской области (далее – Государственный заказчик).</w:t>
      </w:r>
    </w:p>
    <w:p>
      <w:pPr>
        <w:pStyle w:val="Style44"/>
        <w:spacing w:lineRule="auto" w:line="276"/>
        <w:ind w:firstLine="708"/>
        <w:rPr/>
      </w:pPr>
      <w:r>
        <w:rPr/>
      </w:r>
    </w:p>
    <w:p>
      <w:pPr>
        <w:pStyle w:val="26"/>
        <w:spacing w:lineRule="auto" w:line="276" w:before="0" w:after="0"/>
        <w:ind w:firstLine="709" w:start="0"/>
        <w:rPr>
          <w:rFonts w:ascii="Times New Roman" w:hAnsi="Times New Roman"/>
        </w:rPr>
      </w:pPr>
      <w:bookmarkStart w:id="15" w:name="__RefHeading___Toc33484_3559854210"/>
      <w:bookmarkStart w:id="16" w:name="_Toc177129061"/>
      <w:bookmarkStart w:id="17" w:name="_Toc215755860"/>
      <w:bookmarkEnd w:id="15"/>
      <w:r>
        <w:rPr>
          <w:rFonts w:ascii="Times New Roman" w:hAnsi="Times New Roman"/>
        </w:rPr>
        <w:t>Сроки оказания услуг</w:t>
      </w:r>
      <w:bookmarkEnd w:id="16"/>
      <w:bookmarkEnd w:id="17"/>
    </w:p>
    <w:p>
      <w:pPr>
        <w:pStyle w:val="Style44"/>
        <w:spacing w:lineRule="auto" w:line="276" w:before="240" w:after="0"/>
        <w:contextualSpacing/>
        <w:rPr/>
      </w:pPr>
      <w:r>
        <w:rPr>
          <w:b/>
          <w:bCs/>
        </w:rPr>
        <w:t>Дата начала оказания услуг</w:t>
      </w:r>
      <w:r>
        <w:rPr/>
        <w:t xml:space="preserve"> – 07.12.2026.</w:t>
      </w:r>
    </w:p>
    <w:p>
      <w:pPr>
        <w:pStyle w:val="Style44"/>
        <w:spacing w:lineRule="auto" w:line="276"/>
        <w:rPr/>
      </w:pPr>
      <w:r>
        <w:rPr>
          <w:b/>
          <w:bCs/>
        </w:rPr>
        <w:t>Дата окончание оказания услуг</w:t>
      </w:r>
      <w:r>
        <w:rPr/>
        <w:t xml:space="preserve"> – 70 календарных дней с даты начала оказания услуг.</w:t>
      </w:r>
    </w:p>
    <w:p>
      <w:pPr>
        <w:pStyle w:val="Style44"/>
        <w:spacing w:lineRule="auto" w:line="276"/>
        <w:rPr/>
      </w:pPr>
      <w:r>
        <w:rPr/>
        <w:t>Сроки оказания услуг по этапам и результаты указаны в Календарном плане (Приложение 1 к настоящему документу).</w:t>
      </w:r>
    </w:p>
    <w:p>
      <w:pPr>
        <w:pStyle w:val="Style44"/>
        <w:spacing w:lineRule="auto" w:line="276"/>
        <w:rPr/>
      </w:pPr>
      <w:r>
        <w:rPr/>
      </w:r>
    </w:p>
    <w:p>
      <w:pPr>
        <w:pStyle w:val="26"/>
        <w:spacing w:lineRule="auto" w:line="276" w:before="0" w:after="0"/>
        <w:ind w:firstLine="709" w:start="0"/>
        <w:rPr>
          <w:rFonts w:ascii="Times New Roman" w:hAnsi="Times New Roman"/>
        </w:rPr>
      </w:pPr>
      <w:bookmarkStart w:id="18" w:name="__RefHeading___Toc33486_3559854210"/>
      <w:bookmarkStart w:id="19" w:name="_Toc215755861"/>
      <w:bookmarkStart w:id="20" w:name="_Hlk174972686"/>
      <w:bookmarkEnd w:id="18"/>
      <w:r>
        <w:rPr>
          <w:rFonts w:ascii="Times New Roman" w:hAnsi="Times New Roman"/>
        </w:rPr>
        <w:t>Место оказания услуг</w:t>
      </w:r>
      <w:bookmarkEnd w:id="19"/>
      <w:bookmarkEnd w:id="20"/>
    </w:p>
    <w:p>
      <w:pPr>
        <w:pStyle w:val="Style44"/>
        <w:spacing w:lineRule="auto" w:line="276" w:before="240" w:after="0"/>
        <w:contextualSpacing/>
        <w:rPr/>
      </w:pPr>
      <w:r>
        <w:rPr/>
        <w:t>По месту нахождения Государственного заказчика, Центров обработки данных Государственного заказчика, а также других Ведомств, в соответствии с их местоположением.</w:t>
      </w:r>
    </w:p>
    <w:p>
      <w:pPr>
        <w:pStyle w:val="Style44"/>
        <w:spacing w:lineRule="auto" w:line="276" w:before="240" w:after="0"/>
        <w:contextualSpacing/>
        <w:rPr/>
      </w:pPr>
      <w:r>
        <w:rPr/>
        <w:t>Исполнитель оказывает услуги удаленно.</w:t>
      </w:r>
    </w:p>
    <w:p>
      <w:pPr>
        <w:pStyle w:val="Style44"/>
        <w:spacing w:lineRule="auto" w:line="276" w:before="240" w:after="0"/>
        <w:contextualSpacing/>
        <w:rPr/>
      </w:pPr>
      <w:r>
        <w:rPr/>
        <w:t>Услуги оказываются в соответствии с перечнем услуг и объемом, приведенном в разделе 4 Технического задания.</w:t>
      </w:r>
    </w:p>
    <w:p>
      <w:pPr>
        <w:pStyle w:val="Style44"/>
        <w:spacing w:lineRule="auto" w:line="276" w:before="240" w:after="0"/>
        <w:contextualSpacing/>
        <w:rPr/>
      </w:pPr>
      <w:r>
        <w:rPr/>
      </w:r>
    </w:p>
    <w:p>
      <w:pPr>
        <w:pStyle w:val="26"/>
        <w:spacing w:lineRule="auto" w:line="276" w:before="0" w:after="0"/>
        <w:ind w:firstLine="709" w:start="0"/>
        <w:rPr>
          <w:rFonts w:ascii="Times New Roman" w:hAnsi="Times New Roman"/>
        </w:rPr>
      </w:pPr>
      <w:bookmarkStart w:id="21" w:name="__RefHeading___Toc33488_3559854210"/>
      <w:bookmarkStart w:id="22" w:name="_Toc215755862"/>
      <w:bookmarkStart w:id="23" w:name="_Toc177129062"/>
      <w:bookmarkEnd w:id="21"/>
      <w:r>
        <w:rPr>
          <w:rFonts w:ascii="Times New Roman" w:hAnsi="Times New Roman"/>
        </w:rPr>
        <w:t>Основания для оказания услуг</w:t>
      </w:r>
      <w:bookmarkEnd w:id="22"/>
      <w:bookmarkEnd w:id="23"/>
    </w:p>
    <w:p>
      <w:pPr>
        <w:pStyle w:val="Style44"/>
        <w:spacing w:lineRule="auto" w:line="276" w:before="240" w:after="0"/>
        <w:contextualSpacing/>
        <w:rPr/>
      </w:pPr>
      <w:bookmarkStart w:id="24" w:name="_Hlk174973031"/>
      <w:r>
        <w:rPr/>
        <w:t>Основания для оказания услуг указаны в (</w:t>
      </w:r>
      <w:r>
        <w:rPr/>
        <w:fldChar w:fldCharType="begin"/>
      </w:r>
      <w:r>
        <w:rPr/>
        <w:instrText xml:space="preserve"> REF _Ref192511214 \h </w:instrText>
      </w:r>
      <w:r>
        <w:rPr/>
        <w:fldChar w:fldCharType="separate"/>
      </w:r>
      <w:r>
        <w:rPr/>
        <w:t>Таблица 1</w:t>
      </w:r>
      <w:r>
        <w:rPr/>
        <w:fldChar w:fldCharType="end"/>
      </w:r>
      <w:r>
        <w:rPr/>
        <w:t>).</w:t>
      </w:r>
      <w:bookmarkEnd w:id="24"/>
    </w:p>
    <w:p>
      <w:pPr>
        <w:pStyle w:val="Caption"/>
        <w:rPr>
          <w:i w:val="false"/>
          <w:i w:val="false"/>
          <w:iCs w:val="false"/>
          <w:color w:val="auto"/>
          <w:sz w:val="24"/>
          <w:szCs w:val="24"/>
        </w:rPr>
      </w:pPr>
      <w:bookmarkStart w:id="25" w:name="_Ref192511214"/>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1</w:t>
      </w:r>
      <w:r>
        <w:rPr>
          <w:sz w:val="24"/>
          <w:i w:val="false"/>
          <w:szCs w:val="24"/>
          <w:iCs w:val="false"/>
          <w:color w:val="auto"/>
        </w:rPr>
        <w:fldChar w:fldCharType="end"/>
      </w:r>
      <w:bookmarkEnd w:id="25"/>
      <w:r>
        <w:rPr>
          <w:i w:val="false"/>
          <w:iCs w:val="false"/>
          <w:color w:val="auto"/>
          <w:sz w:val="24"/>
          <w:szCs w:val="24"/>
        </w:rPr>
        <w:t xml:space="preserve"> – Основания для оказания услуг.</w:t>
      </w:r>
    </w:p>
    <w:tbl>
      <w:tblPr>
        <w:tblStyle w:val="affffff4"/>
        <w:tblW w:w="10029"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703"/>
        <w:gridCol w:w="9325"/>
      </w:tblGrid>
      <w:tr>
        <w:trPr>
          <w:tblHeader w:val="true"/>
        </w:trPr>
        <w:tc>
          <w:tcPr>
            <w:tcW w:w="703" w:type="dxa"/>
            <w:tcBorders/>
            <w:vAlign w:val="center"/>
          </w:tcPr>
          <w:p>
            <w:pPr>
              <w:pStyle w:val="Style44"/>
              <w:widowControl/>
              <w:suppressAutoHyphens w:val="true"/>
              <w:spacing w:lineRule="auto" w:line="240" w:before="0" w:after="0"/>
              <w:ind w:hanging="0"/>
              <w:contextualSpacing/>
              <w:jc w:val="center"/>
              <w:rPr>
                <w:b/>
                <w:bCs/>
                <w:sz w:val="20"/>
                <w:szCs w:val="20"/>
              </w:rPr>
            </w:pPr>
            <w:r>
              <w:rPr>
                <w:rFonts w:eastAsia="Times New Roman" w:cs="Times New Roman"/>
                <w:b/>
                <w:bCs/>
                <w:kern w:val="0"/>
                <w:szCs w:val="24"/>
                <w:lang w:val="ru-RU" w:bidi="ar-SA"/>
              </w:rPr>
              <w:t xml:space="preserve">№ </w:t>
            </w:r>
            <w:r>
              <w:rPr>
                <w:rFonts w:eastAsia="Times New Roman" w:cs="Times New Roman"/>
                <w:b/>
                <w:bCs/>
                <w:kern w:val="0"/>
                <w:szCs w:val="24"/>
                <w:lang w:val="ru-RU" w:bidi="ar-SA"/>
              </w:rPr>
              <w:t>п</w:t>
            </w:r>
            <w:r>
              <w:rPr>
                <w:rFonts w:eastAsia="Times New Roman" w:cs="Times New Roman"/>
                <w:b/>
                <w:bCs/>
                <w:kern w:val="0"/>
                <w:szCs w:val="24"/>
                <w:lang w:val="en-US" w:bidi="ar-SA"/>
              </w:rPr>
              <w:t>/</w:t>
            </w:r>
            <w:r>
              <w:rPr>
                <w:rFonts w:eastAsia="Times New Roman" w:cs="Times New Roman"/>
                <w:b/>
                <w:bCs/>
                <w:kern w:val="0"/>
                <w:szCs w:val="24"/>
                <w:lang w:val="ru-RU" w:bidi="ar-SA"/>
              </w:rPr>
              <w:t>п</w:t>
            </w:r>
          </w:p>
        </w:tc>
        <w:tc>
          <w:tcPr>
            <w:tcW w:w="9325" w:type="dxa"/>
            <w:tcBorders/>
            <w:vAlign w:val="center"/>
          </w:tcPr>
          <w:p>
            <w:pPr>
              <w:pStyle w:val="Style44"/>
              <w:widowControl/>
              <w:tabs>
                <w:tab w:val="clear" w:pos="708"/>
                <w:tab w:val="left" w:pos="885" w:leader="none"/>
                <w:tab w:val="center" w:pos="2440" w:leader="none"/>
              </w:tabs>
              <w:suppressAutoHyphens w:val="true"/>
              <w:spacing w:lineRule="auto" w:line="240" w:before="0" w:after="0"/>
              <w:ind w:hanging="0"/>
              <w:contextualSpacing/>
              <w:jc w:val="center"/>
              <w:rPr>
                <w:b/>
                <w:bCs/>
                <w:sz w:val="20"/>
                <w:szCs w:val="20"/>
              </w:rPr>
            </w:pPr>
            <w:r>
              <w:rPr>
                <w:rFonts w:eastAsia="Times New Roman" w:cs="Times New Roman"/>
                <w:b/>
                <w:bCs/>
                <w:kern w:val="0"/>
                <w:szCs w:val="24"/>
                <w:lang w:val="ru-RU" w:bidi="ar-SA"/>
              </w:rPr>
              <w:t>Наименование и реквизиты нормативного правового акта (дата, номер)</w:t>
            </w:r>
          </w:p>
        </w:tc>
      </w:tr>
      <w:tr>
        <w:trPr>
          <w:trHeight w:val="414" w:hRule="atLeast"/>
        </w:trPr>
        <w:tc>
          <w:tcPr>
            <w:tcW w:w="703" w:type="dxa"/>
            <w:tcBorders/>
            <w:vAlign w:val="center"/>
          </w:tcPr>
          <w:p>
            <w:pPr>
              <w:pStyle w:val="Style44"/>
              <w:widowControl/>
              <w:numPr>
                <w:ilvl w:val="0"/>
                <w:numId w:val="27"/>
              </w:numPr>
              <w:suppressAutoHyphens w:val="true"/>
              <w:spacing w:before="0" w:after="0"/>
              <w:ind w:hanging="850" w:start="737"/>
              <w:contextualSpacing/>
              <w:jc w:val="center"/>
              <w:rPr>
                <w:szCs w:val="24"/>
              </w:rPr>
            </w:pPr>
            <w:r>
              <w:rPr>
                <w:rFonts w:eastAsia="Times New Roman" w:cs="Times New Roman"/>
                <w:kern w:val="0"/>
                <w:szCs w:val="24"/>
                <w:lang w:val="ru-RU" w:bidi="ar-SA"/>
              </w:rPr>
              <w:t>.</w:t>
            </w:r>
          </w:p>
        </w:tc>
        <w:tc>
          <w:tcPr>
            <w:tcW w:w="9325" w:type="dxa"/>
            <w:tcBorders/>
            <w:shd w:color="FFFFFF" w:fill="FFFFFF" w:val="clear"/>
            <w:vAlign w:val="center"/>
          </w:tcPr>
          <w:p>
            <w:pPr>
              <w:pStyle w:val="Style44"/>
              <w:widowControl/>
              <w:suppressAutoHyphens w:val="true"/>
              <w:spacing w:lineRule="auto" w:line="240" w:before="0" w:after="0"/>
              <w:ind w:hanging="0"/>
              <w:contextualSpacing/>
              <w:rPr>
                <w:szCs w:val="24"/>
              </w:rPr>
            </w:pPr>
            <w:r>
              <w:rPr>
                <w:rFonts w:eastAsia="Times New Roman" w:cs="Times New Roman"/>
                <w:kern w:val="0"/>
                <w:szCs w:val="24"/>
                <w:lang w:val="ru-RU" w:bidi="ar-SA"/>
              </w:rPr>
              <w:t>Указ Президента РФ от 09.05.2017 № 203 «О Стратегии развития информационного общества в Российской Федерации на 2017-2030 годы».</w:t>
            </w:r>
          </w:p>
        </w:tc>
      </w:tr>
      <w:tr>
        <w:trPr>
          <w:trHeight w:val="414" w:hRule="atLeast"/>
        </w:trPr>
        <w:tc>
          <w:tcPr>
            <w:tcW w:w="703" w:type="dxa"/>
            <w:tcBorders/>
            <w:vAlign w:val="center"/>
          </w:tcPr>
          <w:p>
            <w:pPr>
              <w:pStyle w:val="Style44"/>
              <w:widowControl/>
              <w:numPr>
                <w:ilvl w:val="0"/>
                <w:numId w:val="27"/>
              </w:numPr>
              <w:suppressAutoHyphens w:val="true"/>
              <w:spacing w:before="0" w:after="0"/>
              <w:contextualSpacing/>
              <w:jc w:val="center"/>
              <w:rPr>
                <w:szCs w:val="24"/>
              </w:rPr>
            </w:pPr>
            <w:r>
              <w:rPr>
                <w:szCs w:val="24"/>
              </w:rPr>
            </w:r>
          </w:p>
        </w:tc>
        <w:tc>
          <w:tcPr>
            <w:tcW w:w="9325" w:type="dxa"/>
            <w:tcBorders/>
            <w:shd w:color="FFFFFF" w:fill="FFFFFF" w:val="clear"/>
            <w:vAlign w:val="center"/>
          </w:tcPr>
          <w:p>
            <w:pPr>
              <w:pStyle w:val="Style44"/>
              <w:widowControl/>
              <w:suppressAutoHyphens w:val="true"/>
              <w:spacing w:lineRule="auto" w:line="240" w:before="0" w:after="0"/>
              <w:ind w:hanging="0"/>
              <w:contextualSpacing/>
              <w:rPr>
                <w:szCs w:val="24"/>
              </w:rPr>
            </w:pPr>
            <w:r>
              <w:rPr>
                <w:rFonts w:eastAsia="Times New Roman" w:cs="Times New Roman"/>
                <w:kern w:val="0"/>
                <w:szCs w:val="24"/>
                <w:lang w:val="ru-RU" w:bidi="ar-SA"/>
              </w:rPr>
              <w:t>Закон Московской области от 10.07.2009 № 80/2009-ОЗ «О государственных информационных системах Московской области и обеспечении доступа к содержащейся в них информации».</w:t>
            </w:r>
          </w:p>
        </w:tc>
      </w:tr>
      <w:tr>
        <w:trPr>
          <w:trHeight w:val="414" w:hRule="atLeast"/>
        </w:trPr>
        <w:tc>
          <w:tcPr>
            <w:tcW w:w="703" w:type="dxa"/>
            <w:tcBorders/>
            <w:vAlign w:val="center"/>
          </w:tcPr>
          <w:p>
            <w:pPr>
              <w:pStyle w:val="Style44"/>
              <w:widowControl/>
              <w:numPr>
                <w:ilvl w:val="0"/>
                <w:numId w:val="27"/>
              </w:numPr>
              <w:suppressAutoHyphens w:val="true"/>
              <w:spacing w:before="0" w:after="0"/>
              <w:contextualSpacing/>
              <w:jc w:val="center"/>
              <w:rPr>
                <w:szCs w:val="24"/>
              </w:rPr>
            </w:pPr>
            <w:r>
              <w:rPr>
                <w:szCs w:val="24"/>
              </w:rPr>
            </w:r>
          </w:p>
        </w:tc>
        <w:tc>
          <w:tcPr>
            <w:tcW w:w="9325" w:type="dxa"/>
            <w:tcBorders/>
            <w:shd w:color="FFFFFF" w:fill="FFFFFF" w:val="clear"/>
            <w:vAlign w:val="center"/>
          </w:tcPr>
          <w:p>
            <w:pPr>
              <w:pStyle w:val="Style44"/>
              <w:widowControl/>
              <w:suppressAutoHyphens w:val="true"/>
              <w:spacing w:lineRule="auto" w:line="240" w:before="0" w:after="0"/>
              <w:ind w:hanging="0"/>
              <w:contextualSpacing/>
              <w:rPr>
                <w:szCs w:val="24"/>
              </w:rPr>
            </w:pPr>
            <w:r>
              <w:rPr>
                <w:rFonts w:eastAsia="Times New Roman" w:cs="Times New Roman"/>
                <w:kern w:val="0"/>
                <w:szCs w:val="24"/>
                <w:lang w:val="ru-RU" w:bidi="ar-SA"/>
              </w:rPr>
              <w:t>Постановление Правительства Московской области от 27.12.2013 № 1184/57 «О порядке взаимодействия при осуществлении закупок для государственных нужд Московской области и муниципальных нужд».</w:t>
            </w:r>
          </w:p>
        </w:tc>
      </w:tr>
      <w:tr>
        <w:trPr>
          <w:trHeight w:val="414" w:hRule="atLeast"/>
        </w:trPr>
        <w:tc>
          <w:tcPr>
            <w:tcW w:w="703" w:type="dxa"/>
            <w:tcBorders/>
            <w:vAlign w:val="center"/>
          </w:tcPr>
          <w:p>
            <w:pPr>
              <w:pStyle w:val="Style44"/>
              <w:widowControl/>
              <w:numPr>
                <w:ilvl w:val="0"/>
                <w:numId w:val="27"/>
              </w:numPr>
              <w:suppressAutoHyphens w:val="true"/>
              <w:spacing w:before="0" w:after="0"/>
              <w:contextualSpacing/>
              <w:jc w:val="center"/>
              <w:rPr>
                <w:szCs w:val="24"/>
              </w:rPr>
            </w:pPr>
            <w:r>
              <w:rPr>
                <w:szCs w:val="24"/>
              </w:rPr>
            </w:r>
          </w:p>
        </w:tc>
        <w:tc>
          <w:tcPr>
            <w:tcW w:w="9325" w:type="dxa"/>
            <w:tcBorders/>
            <w:shd w:color="FFFFFF" w:fill="FFFFFF" w:val="clear"/>
            <w:vAlign w:val="center"/>
          </w:tcPr>
          <w:p>
            <w:pPr>
              <w:pStyle w:val="Style44"/>
              <w:widowControl/>
              <w:suppressAutoHyphens w:val="true"/>
              <w:spacing w:lineRule="auto" w:line="240" w:before="0" w:after="0"/>
              <w:ind w:hanging="0"/>
              <w:contextualSpacing/>
              <w:rPr>
                <w:szCs w:val="28"/>
              </w:rPr>
            </w:pPr>
            <w:r>
              <w:rPr>
                <w:rFonts w:eastAsia="Times New Roman" w:cs="Times New Roman"/>
                <w:kern w:val="0"/>
                <w:szCs w:val="28"/>
                <w:lang w:val="ru-RU" w:bidi="ar-SA"/>
              </w:rPr>
              <w:t>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статьи 16 и 17.</w:t>
            </w:r>
          </w:p>
        </w:tc>
      </w:tr>
      <w:tr>
        <w:trPr>
          <w:trHeight w:val="414" w:hRule="atLeast"/>
        </w:trPr>
        <w:tc>
          <w:tcPr>
            <w:tcW w:w="703" w:type="dxa"/>
            <w:tcBorders/>
            <w:vAlign w:val="center"/>
          </w:tcPr>
          <w:p>
            <w:pPr>
              <w:pStyle w:val="Style44"/>
              <w:widowControl/>
              <w:numPr>
                <w:ilvl w:val="0"/>
                <w:numId w:val="27"/>
              </w:numPr>
              <w:suppressAutoHyphens w:val="true"/>
              <w:spacing w:before="0" w:after="0"/>
              <w:contextualSpacing/>
              <w:jc w:val="center"/>
              <w:rPr>
                <w:szCs w:val="24"/>
              </w:rPr>
            </w:pPr>
            <w:r>
              <w:rPr>
                <w:szCs w:val="24"/>
              </w:rPr>
            </w:r>
          </w:p>
        </w:tc>
        <w:tc>
          <w:tcPr>
            <w:tcW w:w="9325" w:type="dxa"/>
            <w:tcBorders/>
            <w:shd w:color="FFFFFF" w:fill="FFFFFF" w:val="clear"/>
            <w:vAlign w:val="center"/>
          </w:tcPr>
          <w:p>
            <w:pPr>
              <w:pStyle w:val="Style44"/>
              <w:widowControl/>
              <w:suppressAutoHyphens w:val="true"/>
              <w:spacing w:lineRule="auto" w:line="240" w:before="0" w:after="0"/>
              <w:ind w:hanging="0"/>
              <w:contextualSpacing/>
              <w:rPr>
                <w:szCs w:val="28"/>
              </w:rPr>
            </w:pPr>
            <w:r>
              <w:rPr>
                <w:rFonts w:eastAsia="Times New Roman" w:cs="Times New Roman"/>
                <w:kern w:val="0"/>
                <w:szCs w:val="28"/>
                <w:lang w:val="ru-RU" w:bidi="ar-SA"/>
              </w:rPr>
              <w:t>Приказ Министерства строительства и жилищно-коммунального хозяйства Российской Федерации от 6 июня 2016 г. № 399/пр «Об утверждении Правил определения класса энергетической эффективности многоквартирных домов»</w:t>
            </w:r>
          </w:p>
        </w:tc>
      </w:tr>
      <w:tr>
        <w:trPr>
          <w:trHeight w:val="414" w:hRule="atLeast"/>
        </w:trPr>
        <w:tc>
          <w:tcPr>
            <w:tcW w:w="703" w:type="dxa"/>
            <w:tcBorders/>
            <w:vAlign w:val="center"/>
          </w:tcPr>
          <w:p>
            <w:pPr>
              <w:pStyle w:val="Style44"/>
              <w:widowControl/>
              <w:numPr>
                <w:ilvl w:val="0"/>
                <w:numId w:val="27"/>
              </w:numPr>
              <w:suppressAutoHyphens w:val="true"/>
              <w:spacing w:lineRule="auto" w:line="240" w:before="0" w:after="0"/>
              <w:contextualSpacing/>
              <w:rPr>
                <w:szCs w:val="24"/>
              </w:rPr>
            </w:pPr>
            <w:r>
              <w:rPr>
                <w:szCs w:val="24"/>
              </w:rPr>
            </w:r>
          </w:p>
        </w:tc>
        <w:tc>
          <w:tcPr>
            <w:tcW w:w="9325" w:type="dxa"/>
            <w:tcBorders/>
            <w:shd w:color="FFFFFF" w:fill="FFFFFF" w:val="clear"/>
          </w:tcPr>
          <w:p>
            <w:pPr>
              <w:pStyle w:val="Style44"/>
              <w:widowControl/>
              <w:suppressAutoHyphens w:val="true"/>
              <w:spacing w:lineRule="auto" w:line="240" w:before="0" w:after="0"/>
              <w:ind w:hanging="0"/>
              <w:contextualSpacing/>
              <w:rPr>
                <w:szCs w:val="28"/>
              </w:rPr>
            </w:pPr>
            <w:r>
              <w:rPr>
                <w:rFonts w:eastAsia="Times New Roman" w:cs="Times New Roman"/>
                <w:kern w:val="0"/>
                <w:szCs w:val="28"/>
                <w:lang w:val="ru-RU" w:bidi="ar-SA"/>
              </w:rPr>
              <w:t>Приказ Минэнерго России от 30.06.2014 г. № 398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 организаций, осуществляющих регулируемые виды деятельности, и отчетности о ходе их реализации»</w:t>
            </w:r>
          </w:p>
        </w:tc>
      </w:tr>
      <w:tr>
        <w:trPr>
          <w:trHeight w:val="1070" w:hRule="atLeast"/>
        </w:trPr>
        <w:tc>
          <w:tcPr>
            <w:tcW w:w="703" w:type="dxa"/>
            <w:tcBorders/>
            <w:vAlign w:val="center"/>
          </w:tcPr>
          <w:p>
            <w:pPr>
              <w:pStyle w:val="Style44"/>
              <w:widowControl/>
              <w:numPr>
                <w:ilvl w:val="0"/>
                <w:numId w:val="27"/>
              </w:numPr>
              <w:suppressAutoHyphens w:val="true"/>
              <w:spacing w:lineRule="auto" w:line="240" w:before="0" w:after="0"/>
              <w:contextualSpacing/>
              <w:rPr>
                <w:szCs w:val="24"/>
              </w:rPr>
            </w:pPr>
            <w:r>
              <w:rPr>
                <w:szCs w:val="24"/>
              </w:rPr>
            </w:r>
          </w:p>
        </w:tc>
        <w:tc>
          <w:tcPr>
            <w:tcW w:w="9325" w:type="dxa"/>
            <w:tcBorders/>
            <w:shd w:color="FFFFFF" w:fill="FFFFFF" w:val="clear"/>
          </w:tcPr>
          <w:p>
            <w:pPr>
              <w:pStyle w:val="Style44"/>
              <w:widowControl/>
              <w:suppressAutoHyphens w:val="true"/>
              <w:spacing w:lineRule="auto" w:line="240" w:before="0" w:after="0"/>
              <w:ind w:hanging="0"/>
              <w:contextualSpacing/>
              <w:rPr>
                <w:szCs w:val="28"/>
              </w:rPr>
            </w:pPr>
            <w:r>
              <w:rPr>
                <w:rFonts w:eastAsia="Times New Roman" w:cs="Times New Roman"/>
                <w:kern w:val="0"/>
                <w:szCs w:val="28"/>
                <w:lang w:val="ru-RU" w:bidi="ar-SA"/>
              </w:rPr>
              <w:t>Приказ Минэкономразвития России от 28 октября 2019 г. № 707 «Об утверждении порядка представления декларации о потреблении энергетических ресурсов и формы декларации о потреблении энергетических ресурсов»</w:t>
            </w:r>
          </w:p>
        </w:tc>
      </w:tr>
      <w:tr>
        <w:trPr>
          <w:trHeight w:val="1070" w:hRule="atLeast"/>
        </w:trPr>
        <w:tc>
          <w:tcPr>
            <w:tcW w:w="703" w:type="dxa"/>
            <w:tcBorders/>
            <w:vAlign w:val="center"/>
          </w:tcPr>
          <w:p>
            <w:pPr>
              <w:pStyle w:val="Style44"/>
              <w:widowControl/>
              <w:numPr>
                <w:ilvl w:val="0"/>
                <w:numId w:val="27"/>
              </w:numPr>
              <w:suppressAutoHyphens w:val="true"/>
              <w:spacing w:lineRule="auto" w:line="240" w:before="0" w:after="0"/>
              <w:contextualSpacing/>
              <w:rPr>
                <w:szCs w:val="24"/>
              </w:rPr>
            </w:pPr>
            <w:r>
              <w:rPr>
                <w:szCs w:val="24"/>
              </w:rPr>
            </w:r>
          </w:p>
        </w:tc>
        <w:tc>
          <w:tcPr>
            <w:tcW w:w="9325" w:type="dxa"/>
            <w:tcBorders/>
            <w:shd w:color="FFFFFF" w:fill="FFFFFF" w:val="clear"/>
          </w:tcPr>
          <w:p>
            <w:pPr>
              <w:pStyle w:val="Style44"/>
              <w:widowControl/>
              <w:suppressAutoHyphens w:val="true"/>
              <w:spacing w:lineRule="auto" w:line="240" w:before="0" w:after="0"/>
              <w:ind w:hanging="0"/>
              <w:contextualSpacing/>
              <w:rPr>
                <w:szCs w:val="28"/>
              </w:rPr>
            </w:pPr>
            <w:r>
              <w:rPr>
                <w:rFonts w:eastAsia="Times New Roman" w:cs="Times New Roman"/>
                <w:kern w:val="0"/>
                <w:szCs w:val="28"/>
                <w:lang w:val="ru-RU" w:bidi="ar-SA"/>
              </w:rPr>
              <w:t>Постановление Правительства РФ от 07.10.2019 № 1289 «О требованиях к снижению государственными (муниципальными) учреждениями в сопоставимых условиях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Пункты 6,7,8</w:t>
            </w:r>
          </w:p>
        </w:tc>
      </w:tr>
    </w:tbl>
    <w:p>
      <w:pPr>
        <w:pStyle w:val="Style44"/>
        <w:spacing w:lineRule="auto" w:line="240"/>
        <w:ind w:hanging="0"/>
        <w:rPr/>
      </w:pPr>
      <w:r>
        <w:rPr/>
      </w:r>
    </w:p>
    <w:p>
      <w:pPr>
        <w:pStyle w:val="26"/>
        <w:spacing w:lineRule="auto" w:line="240" w:before="0" w:after="0"/>
        <w:ind w:firstLine="709" w:start="0"/>
        <w:rPr>
          <w:rFonts w:ascii="Times New Roman" w:hAnsi="Times New Roman"/>
        </w:rPr>
      </w:pPr>
      <w:bookmarkStart w:id="26" w:name="__RefHeading___Toc33490_3559854210"/>
      <w:bookmarkStart w:id="27" w:name="_Toc177129063"/>
      <w:bookmarkStart w:id="28" w:name="_Toc215755863"/>
      <w:bookmarkEnd w:id="26"/>
      <w:r>
        <w:rPr>
          <w:rFonts w:ascii="Times New Roman" w:hAnsi="Times New Roman"/>
        </w:rPr>
        <w:t>Перечень используемых терминов и сокращений</w:t>
      </w:r>
      <w:bookmarkEnd w:id="27"/>
      <w:bookmarkEnd w:id="28"/>
    </w:p>
    <w:p>
      <w:pPr>
        <w:pStyle w:val="Style44"/>
        <w:spacing w:lineRule="auto" w:line="240" w:before="240" w:after="240"/>
        <w:contextualSpacing/>
        <w:rPr/>
      </w:pPr>
      <w:r>
        <w:rPr/>
        <w:t>Перечни используемых определений и сокращений представлены в (</w:t>
      </w:r>
      <w:r>
        <w:rPr/>
        <w:fldChar w:fldCharType="begin"/>
      </w:r>
      <w:r>
        <w:rPr/>
        <w:instrText xml:space="preserve"> REF _Ref192511504 \h </w:instrText>
      </w:r>
      <w:r>
        <w:rPr/>
        <w:fldChar w:fldCharType="separate"/>
      </w:r>
      <w:r>
        <w:rPr/>
        <w:t>Таблица 2</w:t>
      </w:r>
      <w:r>
        <w:rPr/>
        <w:fldChar w:fldCharType="end"/>
      </w:r>
      <w:r>
        <w:rPr/>
        <w:t xml:space="preserve"> и </w:t>
      </w:r>
      <w:r>
        <w:rPr/>
        <w:fldChar w:fldCharType="begin"/>
      </w:r>
      <w:r>
        <w:rPr/>
        <w:instrText xml:space="preserve"> REF _Ref192511516 \h </w:instrText>
      </w:r>
      <w:r>
        <w:rPr/>
        <w:fldChar w:fldCharType="separate"/>
      </w:r>
      <w:r>
        <w:rPr/>
        <w:t>Таблица 3</w:t>
      </w:r>
      <w:r>
        <w:rPr/>
        <w:fldChar w:fldCharType="end"/>
      </w:r>
      <w:r>
        <w:rPr/>
        <w:t>).</w:t>
      </w:r>
    </w:p>
    <w:p>
      <w:pPr>
        <w:pStyle w:val="Style53"/>
        <w:rPr/>
      </w:pPr>
      <w:bookmarkStart w:id="29" w:name="_Ref192511504"/>
      <w:r>
        <w:rPr/>
        <w:t xml:space="preserve">Таблица </w:t>
      </w:r>
      <w:r>
        <w:rPr/>
        <w:fldChar w:fldCharType="begin"/>
      </w:r>
      <w:r>
        <w:rPr/>
        <w:instrText xml:space="preserve"> SEQ Таблица \* ARABIC </w:instrText>
      </w:r>
      <w:r>
        <w:rPr/>
        <w:fldChar w:fldCharType="separate"/>
      </w:r>
      <w:r>
        <w:rPr/>
        <w:t>2</w:t>
      </w:r>
      <w:r>
        <w:rPr/>
        <w:fldChar w:fldCharType="end"/>
      </w:r>
      <w:bookmarkEnd w:id="29"/>
      <w:r>
        <w:rPr/>
        <w:t xml:space="preserve"> – Таблица сокращений.</w:t>
      </w:r>
    </w:p>
    <w:tbl>
      <w:tblPr>
        <w:tblW w:w="5000" w:type="pct"/>
        <w:jc w:val="start"/>
        <w:tblInd w:w="0" w:type="dxa"/>
        <w:tblLayout w:type="fixed"/>
        <w:tblCellMar>
          <w:top w:w="0" w:type="dxa"/>
          <w:start w:w="108" w:type="dxa"/>
          <w:bottom w:w="0" w:type="dxa"/>
          <w:end w:w="108" w:type="dxa"/>
        </w:tblCellMar>
        <w:tblLook w:val="01e0" w:noHBand="0" w:noVBand="0" w:firstColumn="1" w:lastRow="1" w:lastColumn="1" w:firstRow="1"/>
      </w:tblPr>
      <w:tblGrid>
        <w:gridCol w:w="3163"/>
        <w:gridCol w:w="6757"/>
      </w:tblGrid>
      <w:tr>
        <w:trPr>
          <w:tblHeader w:val="true"/>
          <w:trHeight w:val="23"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jc w:val="center"/>
              <w:rPr>
                <w:b/>
                <w:bCs/>
                <w:sz w:val="24"/>
              </w:rPr>
            </w:pPr>
            <w:r>
              <w:rPr>
                <w:b/>
                <w:bCs/>
                <w:sz w:val="24"/>
              </w:rPr>
              <w:t>Сокращение</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jc w:val="center"/>
              <w:rPr>
                <w:b/>
                <w:bCs/>
                <w:sz w:val="24"/>
              </w:rPr>
            </w:pPr>
            <w:r>
              <w:rPr>
                <w:b/>
                <w:bCs/>
                <w:sz w:val="24"/>
              </w:rPr>
              <w:t>Расшифровка</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АРМ</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Автоматизированное рабочее место</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АС</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Автоматизированная система</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БД</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База данных</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ВМ</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Виртуальная машина</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ГОСТ</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Государственный стандарт</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ЕАСУЗ</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Единая автоматизированная система управления закупками Московской области</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ЕИТО</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bookmarkStart w:id="30" w:name="_Hlk177136646"/>
            <w:r>
              <w:rPr>
                <w:sz w:val="24"/>
              </w:rPr>
              <w:t>Единая инфраструктура технологического обеспечения</w:t>
            </w:r>
            <w:bookmarkEnd w:id="30"/>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ЕСИА</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Единая система идентификации и аутентификации</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ИС</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Информационная система</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МО</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Московская область</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ОМСУ МО</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Органы местного самоуправления Московской области</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ОПО</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Общее программное обеспечение</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ОС</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Операционная система</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ПК</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Персональный компьютер</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ПО</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Программное обеспечение</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СПО</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Специальное программное обеспечение</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СТП</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Служба технической поддержки Исполнителя</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СУБД</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Система управления базами данных</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СУТП</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Система управления технической поддержки</w:t>
            </w:r>
          </w:p>
        </w:tc>
      </w:tr>
      <w:tr>
        <w:trPr>
          <w:trHeight w:val="316" w:hRule="atLeast"/>
        </w:trPr>
        <w:tc>
          <w:tcPr>
            <w:tcW w:w="316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ТЗ</w:t>
            </w:r>
          </w:p>
        </w:tc>
        <w:tc>
          <w:tcPr>
            <w:tcW w:w="675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Техническое задание</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ТТ</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Технические требования</w:t>
            </w:r>
          </w:p>
        </w:tc>
      </w:tr>
      <w:tr>
        <w:trPr>
          <w:trHeight w:val="721"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УИН</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rPr>
            </w:pPr>
            <w:r>
              <w:rPr>
                <w:sz w:val="24"/>
              </w:rPr>
              <w:t>Уникальный идентификационный номер обращения, генерируемый автоматически СТП при создании заявки</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auto" w:fill="FFFFFF" w:val="clear"/>
          </w:tcPr>
          <w:p>
            <w:pPr>
              <w:pStyle w:val="texttable"/>
              <w:spacing w:before="40" w:after="40"/>
              <w:rPr>
                <w:sz w:val="24"/>
              </w:rPr>
            </w:pPr>
            <w:r>
              <w:rPr>
                <w:sz w:val="24"/>
              </w:rPr>
              <w:t>ГИС «Энергоэффективность»</w:t>
            </w:r>
          </w:p>
        </w:tc>
        <w:tc>
          <w:tcPr>
            <w:tcW w:w="6757" w:type="dxa"/>
            <w:tcBorders>
              <w:top w:val="single" w:sz="4" w:space="0" w:color="000000"/>
              <w:start w:val="single" w:sz="4" w:space="0" w:color="000000"/>
              <w:bottom w:val="single" w:sz="4" w:space="0" w:color="000000"/>
              <w:end w:val="single" w:sz="4" w:space="0" w:color="000000"/>
            </w:tcBorders>
            <w:shd w:color="auto" w:fill="FFFFFF" w:val="clear"/>
          </w:tcPr>
          <w:p>
            <w:pPr>
              <w:pStyle w:val="texttable"/>
              <w:spacing w:before="40" w:after="40"/>
              <w:rPr>
                <w:sz w:val="24"/>
              </w:rPr>
            </w:pPr>
            <w:r>
              <w:rPr>
                <w:sz w:val="24"/>
              </w:rPr>
              <w:t>Государственная информационная система в области энергосбережения и повышения энергетической эффективности</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ГО</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Городской округ</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ГРБС</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Главный распорядитель бюджетных средств</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ППРФ №20</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Постановление Правительства РФ от 25 января 2011 г. № 20 № «Об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информационную систему в области энергосбережения и повышения энергетической эффективности»</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Государственный доклад</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Представление информации ОМСУ и ОГВ Московской области для подготовки ежегодного государственного доклада о состоянии энергосбережения и повышении энергетической эффективности</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НСИ</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Нормативно-справочная информация</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ОМСУ</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Органы местного самоуправления</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ОГВ</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Органы государственной власти</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ПО</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Программное обеспечение</w:t>
            </w:r>
          </w:p>
        </w:tc>
      </w:tr>
      <w:tr>
        <w:trPr>
          <w:trHeight w:val="23" w:hRule="atLeast"/>
          <w:cantSplit w:val="true"/>
        </w:trPr>
        <w:tc>
          <w:tcPr>
            <w:tcW w:w="3163"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Система, САСДУЭ МО</w:t>
            </w:r>
          </w:p>
        </w:tc>
        <w:tc>
          <w:tcPr>
            <w:tcW w:w="6757" w:type="dxa"/>
            <w:tcBorders>
              <w:top w:val="single" w:sz="4" w:space="0" w:color="000000"/>
              <w:start w:val="single" w:sz="4" w:space="0" w:color="000000"/>
              <w:bottom w:val="single" w:sz="4" w:space="0" w:color="000000"/>
              <w:end w:val="single" w:sz="4" w:space="0" w:color="000000"/>
            </w:tcBorders>
            <w:shd w:color="FFFFFF" w:fill="FFFFFF" w:val="clear"/>
          </w:tcPr>
          <w:p>
            <w:pPr>
              <w:pStyle w:val="texttable"/>
              <w:spacing w:before="40" w:after="40"/>
              <w:rPr>
                <w:sz w:val="24"/>
                <w:szCs w:val="32"/>
              </w:rPr>
            </w:pPr>
            <w:r>
              <w:rPr>
                <w:sz w:val="24"/>
                <w:szCs w:val="32"/>
              </w:rPr>
              <w:t>Системы автоматического сбора данных в целях управления энергосбережением на объектах Московской области, в том числе интеграционного сегмента для подключения автоматизированных систем ресурсоснабжающих организаций</w:t>
            </w:r>
          </w:p>
        </w:tc>
      </w:tr>
    </w:tbl>
    <w:p>
      <w:pPr>
        <w:pStyle w:val="Style44"/>
        <w:spacing w:lineRule="auto" w:line="276"/>
        <w:ind w:hanging="0"/>
        <w:rPr/>
      </w:pPr>
      <w:r>
        <w:rPr/>
      </w:r>
    </w:p>
    <w:p>
      <w:pPr>
        <w:pStyle w:val="Style44"/>
        <w:spacing w:lineRule="auto" w:line="276"/>
        <w:ind w:hanging="0"/>
        <w:rPr/>
      </w:pPr>
      <w:r>
        <w:rPr/>
      </w:r>
    </w:p>
    <w:p>
      <w:pPr>
        <w:pStyle w:val="Style53"/>
        <w:rPr/>
      </w:pPr>
      <w:bookmarkStart w:id="31" w:name="_Ref192511516"/>
      <w:r>
        <w:rPr/>
        <w:t xml:space="preserve">Таблица </w:t>
      </w:r>
      <w:r>
        <w:rPr/>
        <w:fldChar w:fldCharType="begin"/>
      </w:r>
      <w:r>
        <w:rPr/>
        <w:instrText xml:space="preserve"> SEQ Таблица \* ARABIC </w:instrText>
      </w:r>
      <w:r>
        <w:rPr/>
        <w:fldChar w:fldCharType="separate"/>
      </w:r>
      <w:r>
        <w:rPr/>
        <w:t>3</w:t>
      </w:r>
      <w:r>
        <w:rPr/>
        <w:fldChar w:fldCharType="end"/>
      </w:r>
      <w:bookmarkEnd w:id="31"/>
      <w:r>
        <w:rPr/>
        <w:t xml:space="preserve"> – Таблица терминов.</w:t>
      </w:r>
    </w:p>
    <w:tbl>
      <w:tblPr>
        <w:tblW w:w="5000" w:type="pct"/>
        <w:jc w:val="start"/>
        <w:tblInd w:w="0" w:type="dxa"/>
        <w:tblLayout w:type="fixed"/>
        <w:tblCellMar>
          <w:top w:w="0" w:type="dxa"/>
          <w:start w:w="108" w:type="dxa"/>
          <w:bottom w:w="0" w:type="dxa"/>
          <w:end w:w="108" w:type="dxa"/>
        </w:tblCellMar>
        <w:tblLook w:val="01e0" w:noHBand="0" w:noVBand="0" w:firstColumn="1" w:lastRow="1" w:lastColumn="1" w:firstRow="1"/>
      </w:tblPr>
      <w:tblGrid>
        <w:gridCol w:w="2597"/>
        <w:gridCol w:w="7323"/>
      </w:tblGrid>
      <w:tr>
        <w:trPr>
          <w:tblHeader w:val="true"/>
          <w:trHeight w:val="23" w:hRule="atLeast"/>
        </w:trPr>
        <w:tc>
          <w:tcPr>
            <w:tcW w:w="2597" w:type="dxa"/>
            <w:tcBorders>
              <w:top w:val="single" w:sz="4" w:space="0" w:color="000000"/>
              <w:start w:val="single" w:sz="4" w:space="0" w:color="000000"/>
              <w:bottom w:val="single" w:sz="4" w:space="0" w:color="000000"/>
              <w:end w:val="single" w:sz="4" w:space="0" w:color="000000"/>
            </w:tcBorders>
            <w:vAlign w:val="center"/>
          </w:tcPr>
          <w:p>
            <w:pPr>
              <w:pStyle w:val="texttable"/>
              <w:spacing w:before="40" w:after="40"/>
              <w:jc w:val="center"/>
              <w:rPr>
                <w:b/>
                <w:sz w:val="24"/>
              </w:rPr>
            </w:pPr>
            <w:r>
              <w:rPr>
                <w:b/>
                <w:sz w:val="24"/>
              </w:rPr>
              <w:t>Термин</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jc w:val="center"/>
              <w:rPr>
                <w:b/>
                <w:sz w:val="24"/>
              </w:rPr>
            </w:pPr>
            <w:r>
              <w:rPr>
                <w:b/>
                <w:sz w:val="24"/>
              </w:rPr>
              <w:t>Определение</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Аутентификация пользователя</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Процедура проверки подлинности пользователя перед началом сеанса работы с Системой</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Авторизация пользователя</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Процедура предоставления аутентифицированному пользователю прав на выполнение в Системе определенных действий, в соответствии с назначенной пользователю ролью</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База знаний</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Система хранения, поиска и генерации знаний</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Временное решение</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Решение, устраняющее или существенно снижающее воздействие инцидента на деятельность Заказчика.</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Время доступности функции</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Период времени, в течение которого должно обеспечиваться исполнение функции Системы.</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Style68"/>
              <w:rPr>
                <w:szCs w:val="24"/>
              </w:rPr>
            </w:pPr>
            <w:r>
              <w:rPr>
                <w:szCs w:val="24"/>
              </w:rPr>
              <w:t>Время реакции на обращение</w:t>
            </w:r>
          </w:p>
          <w:p>
            <w:pPr>
              <w:pStyle w:val="Style68"/>
              <w:rPr>
                <w:szCs w:val="24"/>
              </w:rPr>
            </w:pPr>
            <w:r>
              <w:rPr>
                <w:szCs w:val="24"/>
              </w:rPr>
              <w:t>(время реакции),</w:t>
            </w:r>
          </w:p>
          <w:p>
            <w:pPr>
              <w:pStyle w:val="texttable"/>
              <w:spacing w:before="40" w:after="40"/>
              <w:rPr>
                <w:sz w:val="24"/>
              </w:rPr>
            </w:pPr>
            <w:r>
              <w:rPr>
                <w:sz w:val="24"/>
              </w:rPr>
              <w:t>Т1</w:t>
            </w:r>
          </w:p>
        </w:tc>
        <w:tc>
          <w:tcPr>
            <w:tcW w:w="7323" w:type="dxa"/>
            <w:tcBorders>
              <w:top w:val="single" w:sz="4" w:space="0" w:color="000000"/>
              <w:start w:val="single" w:sz="4" w:space="0" w:color="000000"/>
              <w:bottom w:val="single" w:sz="4" w:space="0" w:color="000000"/>
              <w:end w:val="single" w:sz="4" w:space="0" w:color="000000"/>
            </w:tcBorders>
          </w:tcPr>
          <w:p>
            <w:pPr>
              <w:pStyle w:val="Style68"/>
              <w:jc w:val="both"/>
              <w:rPr>
                <w:szCs w:val="24"/>
              </w:rPr>
            </w:pPr>
            <w:r>
              <w:rPr>
                <w:szCs w:val="24"/>
              </w:rPr>
              <w:t>Период времени от момента регистрации обращения до назначения специалиста, ответственного за обработку обращения.</w:t>
            </w:r>
          </w:p>
          <w:p>
            <w:pPr>
              <w:pStyle w:val="texttable"/>
              <w:spacing w:before="40" w:after="40"/>
              <w:rPr>
                <w:sz w:val="24"/>
              </w:rPr>
            </w:pPr>
            <w:r>
              <w:rPr>
                <w:sz w:val="24"/>
              </w:rPr>
              <w:t>Время реакции соответствует периоду времени от присвоения заявке статуса «Зарегистрировано» до присвоения статуса «В работе».</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Style68"/>
              <w:rPr>
                <w:szCs w:val="24"/>
              </w:rPr>
            </w:pPr>
            <w:r>
              <w:rPr>
                <w:szCs w:val="24"/>
              </w:rPr>
              <w:t>Время поступления обращения</w:t>
            </w:r>
          </w:p>
          <w:p>
            <w:pPr>
              <w:pStyle w:val="texttable"/>
              <w:spacing w:before="40" w:after="40"/>
              <w:rPr>
                <w:sz w:val="24"/>
              </w:rPr>
            </w:pPr>
            <w:r>
              <w:rPr>
                <w:sz w:val="24"/>
              </w:rPr>
              <w:t>(время регистрации)</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Момент времени, отраженный в обращении как время его поступления в СУТП. Соответствует времени присвоения статуса «Зарегистрировано».</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Style68"/>
              <w:rPr>
                <w:szCs w:val="24"/>
              </w:rPr>
            </w:pPr>
            <w:r>
              <w:rPr>
                <w:szCs w:val="24"/>
              </w:rPr>
              <w:t>Время решения обращения</w:t>
            </w:r>
          </w:p>
          <w:p>
            <w:pPr>
              <w:pStyle w:val="texttable"/>
              <w:spacing w:before="40" w:after="40"/>
              <w:rPr>
                <w:sz w:val="24"/>
              </w:rPr>
            </w:pPr>
            <w:r>
              <w:rPr>
                <w:sz w:val="24"/>
              </w:rPr>
              <w:t>(время решения)</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Момент времени, отраженный в заявке как время его решения в СУТП, соответствует моменту присвоения заявке статуса «Решено».</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Дефект</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Каждое отдельное несоответствие объекта требованиям, установленным в документации</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Длительность решения, Т2</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Время, фактически затраченное СТП на обработку обращения.</w:t>
            </w:r>
          </w:p>
          <w:p>
            <w:pPr>
              <w:pStyle w:val="texttable"/>
              <w:rPr>
                <w:sz w:val="24"/>
                <w:szCs w:val="32"/>
              </w:rPr>
            </w:pPr>
            <w:r>
              <w:rPr>
                <w:sz w:val="24"/>
                <w:szCs w:val="32"/>
              </w:rPr>
              <w:t>Период времени от присвоения заявке статуса «В работе» до присвоения статуса «Решено» в течение времени доступности функций СТП.</w:t>
            </w:r>
          </w:p>
          <w:p>
            <w:pPr>
              <w:pStyle w:val="texttable"/>
              <w:spacing w:before="40" w:after="40"/>
              <w:rPr>
                <w:sz w:val="24"/>
                <w:szCs w:val="32"/>
              </w:rPr>
            </w:pPr>
            <w:r>
              <w:rPr>
                <w:sz w:val="24"/>
                <w:szCs w:val="32"/>
              </w:rPr>
              <w:t>Время, в течение которого заявка находится в статусе «Приостановлено», не входит в длительность решения.</w:t>
            </w:r>
          </w:p>
        </w:tc>
      </w:tr>
      <w:tr>
        <w:trPr>
          <w:trHeight w:val="23" w:hRule="atLeast"/>
          <w:cantSplit w:val="true"/>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Заказчик</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r>
          </w:p>
        </w:tc>
      </w:tr>
      <w:tr>
        <w:trPr>
          <w:trHeight w:val="23" w:hRule="atLeast"/>
          <w:cantSplit w:val="true"/>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Заявка</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Обращение, зарегистрированное в СУТП с присвоением УИН</w:t>
            </w:r>
          </w:p>
        </w:tc>
      </w:tr>
      <w:tr>
        <w:trPr>
          <w:trHeight w:val="23" w:hRule="atLeast"/>
          <w:cantSplit w:val="true"/>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Инициатор обращения</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Пользователь Системы, обратившийся в СТП в рамках оказания услуг по Договору.</w:t>
            </w:r>
          </w:p>
        </w:tc>
      </w:tr>
      <w:tr>
        <w:trPr>
          <w:trHeight w:val="23" w:hRule="atLeast"/>
          <w:cantSplit w:val="true"/>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Инцидент</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Отклонение или неожиданное событие, множество событий, условия или ситуация, возникающая в процессе использования Системы (факт прекращения функционирования Системы или некорректное функционирование Системы или ее компонента, а также несоответствие функции Системы положениям документации), при которой пользователь не может использовать Систему для исполнения своих функций и должностных обязанностей</w:t>
            </w:r>
          </w:p>
        </w:tc>
      </w:tr>
      <w:tr>
        <w:trPr>
          <w:trHeight w:val="23" w:hRule="atLeast"/>
          <w:cantSplit w:val="true"/>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Информационная система</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Совокупность содержащейся в базах данных информации и обеспечивающих ее обработку информационных технологий и технических средств</w:t>
            </w:r>
          </w:p>
        </w:tc>
      </w:tr>
      <w:tr>
        <w:trPr>
          <w:trHeight w:val="23" w:hRule="atLeast"/>
          <w:cantSplit w:val="true"/>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Договор, Государственный Договор</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Государственный Договор на оказание услуг по сопровождению Системы, приложением к которому являютсяТЗ</w:t>
            </w:r>
          </w:p>
        </w:tc>
      </w:tr>
      <w:tr>
        <w:trPr>
          <w:trHeight w:val="23" w:hRule="atLeast"/>
          <w:cantSplit w:val="true"/>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Конфигурация информационной системы</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Конфигурация информационной системы: Взаимосвязанные структурно-функциональные характеристики информационной системы, включающие структуру и состав информационной системы, физические, логические, функциональные и технологические взаимосвязи между компонентами информационной системы, с иными информационными системами и информационно-телекоммуникационными сетями, а также с полномочиями субъектов доступа к объектам доступа информационной системы.</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Несанкционированный доступ</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Доступ к информации, нарушающий правила разграничения доступа с использованием штатных средств, предоставляемых средствами вычислительной техники или автоматизированными системами. Под штатными средствами понимается совокупность программного, микропрограммного и технического обеспечения средств вычислительной техники или автоматизированных систем</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Обращение</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Обращение пользователя Системы в СТП по вопросам, связанным с выполнением работ по техническому сопровождению Системы.</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Оператор Системы</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Ответственные представители Заказчика</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Представители Заказчика, координирующие и контролирующие ход оказания услуг по Договору</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Исполнитель</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Исполнитель по Договору, приложением к которому является настоящее ТЗ</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Продуктивный стенд</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Программно-аппаратный комплекс, на котором размешено ОС, ОПО и СПО, находящиеся в промышленной эксплуатации</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Регламент резервного копирования</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rPr>
            </w:pPr>
            <w:r>
              <w:rPr>
                <w:sz w:val="24"/>
              </w:rPr>
              <w:t>Документ, определяющий порядок резервирования данных Системы для последующего восстановления работоспособности Системы при полной или частичной потере информации, вызванной сбоями или отказами аппаратного или программного обеспечения, ошибками пользователей, чрезвычайными обстоятельствами (пожаром, стихийными бедствиями и т.д.)</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Регистрация обращения</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Процедура, позволяющая зарегистрировать факт обращения пользователя в СТП и присвоить соответствующий статус и УИН.</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Репликация</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Процесс копирования и синхронизации данных на нескольких серверах, который обеспечивает непрерывный доступ к базам данных в ЕИТО.</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Тестовый стенд</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Программно-аппаратный комплекс, на котором размешено ОС, ОПО и СПО, находящиеся в тестовой эксплуатации</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Тип обращения</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Признак, по которому производится классификация обращений в зависимости от типа оказываемых услуг</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Услуги</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Услуги по сопровождению Системы, оказываемые в рамкахТЗ</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ЭП</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Электронная подпись</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CPU</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Центральный процессор</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HDD</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Жёсткий диск</w:t>
            </w:r>
          </w:p>
        </w:tc>
      </w:tr>
      <w:tr>
        <w:trPr>
          <w:trHeight w:val="316" w:hRule="atLeast"/>
        </w:trPr>
        <w:tc>
          <w:tcPr>
            <w:tcW w:w="2597"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http</w:t>
            </w:r>
          </w:p>
        </w:tc>
        <w:tc>
          <w:tcPr>
            <w:tcW w:w="7323" w:type="dxa"/>
            <w:tcBorders>
              <w:top w:val="single" w:sz="4" w:space="0" w:color="000000"/>
              <w:start w:val="single" w:sz="4" w:space="0" w:color="000000"/>
              <w:bottom w:val="single" w:sz="4" w:space="0" w:color="000000"/>
              <w:end w:val="single" w:sz="4" w:space="0" w:color="000000"/>
            </w:tcBorders>
          </w:tcPr>
          <w:p>
            <w:pPr>
              <w:pStyle w:val="texttable"/>
              <w:spacing w:before="40" w:after="40"/>
              <w:rPr>
                <w:sz w:val="24"/>
                <w:szCs w:val="32"/>
              </w:rPr>
            </w:pPr>
            <w:r>
              <w:rPr>
                <w:sz w:val="24"/>
                <w:szCs w:val="32"/>
              </w:rPr>
              <w:t>Протокол передачи гипертекста</w:t>
            </w:r>
          </w:p>
        </w:tc>
      </w:tr>
    </w:tbl>
    <w:p>
      <w:pPr>
        <w:pStyle w:val="Style44"/>
        <w:tabs>
          <w:tab w:val="clear" w:pos="708"/>
          <w:tab w:val="left" w:pos="2575" w:leader="none"/>
        </w:tabs>
        <w:spacing w:lineRule="auto" w:line="276"/>
        <w:ind w:hanging="0"/>
        <w:jc w:val="start"/>
        <w:rPr/>
      </w:pPr>
      <w:r>
        <w:rPr/>
      </w:r>
    </w:p>
    <w:p>
      <w:pPr>
        <w:pStyle w:val="15"/>
        <w:spacing w:lineRule="auto" w:line="240" w:before="0" w:after="0"/>
        <w:ind w:firstLine="709" w:start="0"/>
        <w:rPr>
          <w:rFonts w:ascii="Times New Roman" w:hAnsi="Times New Roman"/>
        </w:rPr>
      </w:pPr>
      <w:bookmarkStart w:id="32" w:name="__RefHeading___Toc33492_3559854210"/>
      <w:bookmarkStart w:id="33" w:name="_Toc177129064"/>
      <w:bookmarkStart w:id="34" w:name="_Toc215755864"/>
      <w:bookmarkEnd w:id="32"/>
      <w:r>
        <w:rPr>
          <w:rFonts w:ascii="Times New Roman" w:hAnsi="Times New Roman"/>
        </w:rPr>
        <w:t>Назначение Системы, цели и задачи оказания услуг</w:t>
      </w:r>
      <w:bookmarkEnd w:id="33"/>
      <w:bookmarkEnd w:id="34"/>
    </w:p>
    <w:p>
      <w:pPr>
        <w:pStyle w:val="26"/>
        <w:numPr>
          <w:ilvl w:val="0"/>
          <w:numId w:val="0"/>
        </w:numPr>
        <w:spacing w:lineRule="auto" w:line="240"/>
        <w:ind w:firstLine="709" w:start="0"/>
        <w:rPr>
          <w:rFonts w:ascii="Times New Roman" w:hAnsi="Times New Roman"/>
        </w:rPr>
      </w:pPr>
      <w:bookmarkStart w:id="35" w:name="__RefHeading___Toc33494_3559854210"/>
      <w:bookmarkStart w:id="36" w:name="_Toc215755865"/>
      <w:bookmarkStart w:id="37" w:name="_Toc177129065"/>
      <w:bookmarkEnd w:id="35"/>
      <w:r>
        <w:rPr>
          <w:rFonts w:ascii="Times New Roman" w:hAnsi="Times New Roman"/>
        </w:rPr>
        <w:t>2.1</w:t>
        <w:tab/>
        <w:t>Назначение Системы</w:t>
      </w:r>
      <w:bookmarkEnd w:id="36"/>
      <w:bookmarkEnd w:id="37"/>
    </w:p>
    <w:p>
      <w:pPr>
        <w:pStyle w:val="main1"/>
        <w:spacing w:before="0" w:after="113"/>
        <w:rPr>
          <w:szCs w:val="24"/>
        </w:rPr>
      </w:pPr>
      <w:r>
        <w:rPr>
          <w:szCs w:val="24"/>
        </w:rPr>
        <w:t>Система предназначена для реализации процессов сбора, обработки и хранения информации для создания условий для повышения энергоэффективности объектов государственных и муниципальных учреждений Московской области, перечень процессов указан в (</w:t>
      </w:r>
      <w:r>
        <w:rPr>
          <w:szCs w:val="24"/>
        </w:rPr>
        <w:fldChar w:fldCharType="begin"/>
      </w:r>
      <w:r>
        <w:rPr>
          <w:szCs w:val="24"/>
        </w:rPr>
        <w:instrText xml:space="preserve"> REF _Ref142561193 \h </w:instrText>
      </w:r>
      <w:r>
        <w:rPr>
          <w:szCs w:val="24"/>
        </w:rPr>
        <w:fldChar w:fldCharType="separate"/>
      </w:r>
      <w:r>
        <w:rPr>
          <w:szCs w:val="24"/>
        </w:rPr>
        <w:t>Таблица 4</w:t>
      </w:r>
      <w:r>
        <w:rPr>
          <w:szCs w:val="24"/>
        </w:rPr>
        <w:fldChar w:fldCharType="end"/>
      </w:r>
      <w:r>
        <w:rPr>
          <w:szCs w:val="24"/>
        </w:rPr>
        <w:t>).</w:t>
      </w:r>
    </w:p>
    <w:p>
      <w:pPr>
        <w:pStyle w:val="Style53"/>
        <w:rPr/>
      </w:pPr>
      <w:bookmarkStart w:id="38" w:name="_Ref142561193"/>
      <w:r>
        <w:rPr/>
        <w:t xml:space="preserve">Таблица </w:t>
      </w:r>
      <w:r>
        <w:rPr/>
        <w:fldChar w:fldCharType="begin"/>
      </w:r>
      <w:r>
        <w:rPr/>
        <w:instrText xml:space="preserve"> SEQ Таблица \* ARABIC </w:instrText>
      </w:r>
      <w:r>
        <w:rPr/>
        <w:fldChar w:fldCharType="separate"/>
      </w:r>
      <w:r>
        <w:rPr/>
        <w:t>4</w:t>
      </w:r>
      <w:r>
        <w:rPr/>
        <w:fldChar w:fldCharType="end"/>
      </w:r>
      <w:bookmarkEnd w:id="38"/>
      <w:r>
        <w:rPr/>
        <w:t xml:space="preserve"> – Перечень процессов, реализуемых в Системе</w:t>
      </w:r>
    </w:p>
    <w:tbl>
      <w:tblPr>
        <w:tblW w:w="9627" w:type="dxa"/>
        <w:jc w:val="start"/>
        <w:tblInd w:w="0" w:type="dxa"/>
        <w:tblLayout w:type="fixed"/>
        <w:tblCellMar>
          <w:top w:w="0" w:type="dxa"/>
          <w:start w:w="108" w:type="dxa"/>
          <w:bottom w:w="0" w:type="dxa"/>
          <w:end w:w="108" w:type="dxa"/>
        </w:tblCellMar>
        <w:tblLook w:val="00a0" w:noHBand="0" w:noVBand="0" w:firstColumn="1" w:lastRow="0" w:lastColumn="0" w:firstRow="1"/>
      </w:tblPr>
      <w:tblGrid>
        <w:gridCol w:w="588"/>
        <w:gridCol w:w="2979"/>
        <w:gridCol w:w="6060"/>
      </w:tblGrid>
      <w:tr>
        <w:trPr>
          <w:tblHeader w:val="true"/>
        </w:trPr>
        <w:tc>
          <w:tcPr>
            <w:tcW w:w="58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120" w:after="120"/>
              <w:ind w:hanging="0" w:start="-113"/>
              <w:jc w:val="center"/>
              <w:rPr>
                <w:b/>
                <w:iCs/>
              </w:rPr>
            </w:pPr>
            <w:r>
              <w:rPr>
                <w:b/>
                <w:iCs/>
              </w:rPr>
              <w:t xml:space="preserve">№ </w:t>
            </w:r>
            <w:r>
              <w:rPr>
                <w:b/>
                <w:iCs/>
              </w:rPr>
              <w:t>п/п</w:t>
            </w:r>
          </w:p>
        </w:tc>
        <w:tc>
          <w:tcPr>
            <w:tcW w:w="297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120" w:after="120"/>
              <w:ind w:hanging="0" w:start="-113"/>
              <w:jc w:val="center"/>
              <w:rPr>
                <w:b/>
                <w:iCs/>
              </w:rPr>
            </w:pPr>
            <w:r>
              <w:rPr>
                <w:b/>
                <w:iCs/>
              </w:rPr>
              <w:t>Тип процесса</w:t>
            </w:r>
          </w:p>
        </w:tc>
        <w:tc>
          <w:tcPr>
            <w:tcW w:w="6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120" w:after="120"/>
              <w:ind w:hanging="0" w:start="-113"/>
              <w:jc w:val="center"/>
              <w:rPr>
                <w:b/>
                <w:iCs/>
              </w:rPr>
            </w:pPr>
            <w:r>
              <w:rPr>
                <w:b/>
                <w:iCs/>
              </w:rPr>
              <w:t>Формулировка назначения Системы</w:t>
            </w:r>
          </w:p>
        </w:tc>
      </w:tr>
      <w:tr>
        <w:trPr>
          <w:trHeight w:val="4013" w:hRule="atLeast"/>
        </w:trPr>
        <w:tc>
          <w:tcPr>
            <w:tcW w:w="588"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120" w:after="120"/>
              <w:ind w:hanging="0" w:start="29"/>
              <w:jc w:val="center"/>
              <w:rPr>
                <w:iCs/>
              </w:rPr>
            </w:pPr>
            <w:r>
              <w:rPr>
                <w:iCs/>
              </w:rPr>
              <w:t>1</w:t>
            </w:r>
          </w:p>
        </w:tc>
        <w:tc>
          <w:tcPr>
            <w:tcW w:w="297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120" w:after="120"/>
              <w:ind w:hanging="0" w:start="29"/>
              <w:rPr>
                <w:iCs/>
              </w:rPr>
            </w:pPr>
            <w:r>
              <w:rPr>
                <w:iCs/>
              </w:rPr>
              <w:t>Процессы, связанные с обеспечением функционирования ОГВ МО, ОМСУ МО, и их подведомственных учреждений (обеспечивающие процессы)</w:t>
            </w:r>
          </w:p>
        </w:tc>
        <w:tc>
          <w:tcPr>
            <w:tcW w:w="6060"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120" w:after="120"/>
              <w:ind w:hanging="0" w:start="29"/>
              <w:rPr/>
            </w:pPr>
            <w:r>
              <w:rPr/>
              <w:t>Система предназначена для реализации следующих процессов:</w:t>
            </w:r>
          </w:p>
          <w:p>
            <w:pPr>
              <w:pStyle w:val="ListParagraph"/>
              <w:widowControl w:val="false"/>
              <w:numPr>
                <w:ilvl w:val="0"/>
                <w:numId w:val="28"/>
              </w:numPr>
              <w:spacing w:before="0" w:after="200"/>
              <w:ind w:hanging="357" w:start="29"/>
              <w:contextualSpacing/>
              <w:rPr>
                <w:iCs/>
                <w:sz w:val="22"/>
                <w:szCs w:val="22"/>
              </w:rPr>
            </w:pPr>
            <w:r>
              <w:rPr>
                <w:iCs/>
                <w:sz w:val="22"/>
                <w:szCs w:val="22"/>
              </w:rPr>
              <w:t>процесс представления декларации о потреблении энергетических ресурсов и формы декларации о потреблении энергетических ресурсов;</w:t>
            </w:r>
          </w:p>
          <w:p>
            <w:pPr>
              <w:pStyle w:val="ListParagraph"/>
              <w:widowControl w:val="false"/>
              <w:numPr>
                <w:ilvl w:val="0"/>
                <w:numId w:val="28"/>
              </w:numPr>
              <w:spacing w:before="0" w:after="200"/>
              <w:ind w:hanging="357" w:start="29"/>
              <w:contextualSpacing/>
              <w:rPr>
                <w:iCs/>
                <w:sz w:val="22"/>
                <w:szCs w:val="22"/>
              </w:rPr>
            </w:pPr>
            <w:r>
              <w:rPr>
                <w:iCs/>
                <w:sz w:val="22"/>
                <w:szCs w:val="22"/>
              </w:rPr>
              <w:t>процесс формирования программ по энергосбережению и повышению энергетической эффективности;</w:t>
            </w:r>
          </w:p>
          <w:p>
            <w:pPr>
              <w:pStyle w:val="ListParagraph"/>
              <w:widowControl w:val="false"/>
              <w:numPr>
                <w:ilvl w:val="0"/>
                <w:numId w:val="28"/>
              </w:numPr>
              <w:spacing w:before="0" w:after="200"/>
              <w:ind w:hanging="357" w:start="29"/>
              <w:contextualSpacing/>
              <w:rPr>
                <w:iCs/>
                <w:sz w:val="22"/>
                <w:szCs w:val="22"/>
              </w:rPr>
            </w:pPr>
            <w:r>
              <w:rPr>
                <w:iCs/>
                <w:sz w:val="22"/>
                <w:szCs w:val="22"/>
              </w:rPr>
              <w:t>процессов сбора, обработки и хранения информации при выполнении требований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ListParagraph"/>
              <w:widowControl w:val="false"/>
              <w:numPr>
                <w:ilvl w:val="0"/>
                <w:numId w:val="28"/>
              </w:numPr>
              <w:spacing w:before="0" w:after="200"/>
              <w:ind w:hanging="357" w:start="29"/>
              <w:contextualSpacing/>
              <w:rPr>
                <w:iCs/>
                <w:sz w:val="22"/>
                <w:szCs w:val="22"/>
              </w:rPr>
            </w:pPr>
            <w:r>
              <w:rPr>
                <w:iCs/>
                <w:sz w:val="22"/>
                <w:szCs w:val="22"/>
              </w:rPr>
              <w:t>мониторинг заключения и реализации энергосервисных договоров (Контрактов);</w:t>
            </w:r>
          </w:p>
          <w:p>
            <w:pPr>
              <w:pStyle w:val="ListParagraph"/>
              <w:widowControl w:val="false"/>
              <w:numPr>
                <w:ilvl w:val="0"/>
                <w:numId w:val="28"/>
              </w:numPr>
              <w:spacing w:before="0" w:after="200"/>
              <w:ind w:hanging="357" w:start="29"/>
              <w:contextualSpacing/>
              <w:rPr>
                <w:iCs/>
                <w:sz w:val="22"/>
                <w:szCs w:val="22"/>
              </w:rPr>
            </w:pPr>
            <w:r>
              <w:rPr>
                <w:iCs/>
                <w:sz w:val="22"/>
                <w:szCs w:val="22"/>
              </w:rPr>
              <w:t>контроля исполнения энергосервисных договоров (Договоров) и фактического достижения заявленных показателей экономии ресурсов по энергосервисным договорам (Контрактов);</w:t>
            </w:r>
          </w:p>
          <w:p>
            <w:pPr>
              <w:pStyle w:val="ListParagraph"/>
              <w:widowControl w:val="false"/>
              <w:numPr>
                <w:ilvl w:val="0"/>
                <w:numId w:val="28"/>
              </w:numPr>
              <w:spacing w:before="0" w:after="200"/>
              <w:ind w:hanging="357" w:start="29"/>
              <w:contextualSpacing/>
              <w:rPr>
                <w:iCs/>
                <w:sz w:val="22"/>
                <w:szCs w:val="22"/>
              </w:rPr>
            </w:pPr>
            <w:r>
              <w:rPr>
                <w:iCs/>
                <w:sz w:val="22"/>
                <w:szCs w:val="22"/>
              </w:rPr>
              <w:t>формирования отчетов, предусмотренных Постановлением Правительства РФ от 25 января 2011 г. № 20 «Об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информационную систему в области энергосбережения и повышения энергетической эффективности»;</w:t>
            </w:r>
          </w:p>
          <w:p>
            <w:pPr>
              <w:pStyle w:val="ListParagraph"/>
              <w:widowControl w:val="false"/>
              <w:numPr>
                <w:ilvl w:val="0"/>
                <w:numId w:val="28"/>
              </w:numPr>
              <w:spacing w:before="0" w:after="200"/>
              <w:ind w:hanging="357" w:start="29"/>
              <w:contextualSpacing/>
              <w:rPr>
                <w:i/>
                <w:i/>
                <w:sz w:val="22"/>
                <w:szCs w:val="22"/>
              </w:rPr>
            </w:pPr>
            <w:r>
              <w:rPr>
                <w:iCs/>
                <w:sz w:val="22"/>
                <w:szCs w:val="22"/>
              </w:rPr>
              <w:t>формирование информации для подготовки ежегодного государственного доклада о состоянии энергосбережения и повышении энергетической эффективности;</w:t>
            </w:r>
          </w:p>
        </w:tc>
      </w:tr>
    </w:tbl>
    <w:p>
      <w:pPr>
        <w:pStyle w:val="Style44"/>
        <w:spacing w:lineRule="auto" w:line="240"/>
        <w:ind w:hanging="0"/>
        <w:rPr/>
      </w:pPr>
      <w:r>
        <w:rPr/>
      </w:r>
    </w:p>
    <w:p>
      <w:pPr>
        <w:pStyle w:val="26"/>
        <w:numPr>
          <w:ilvl w:val="0"/>
          <w:numId w:val="0"/>
        </w:numPr>
        <w:spacing w:lineRule="auto" w:line="240"/>
        <w:ind w:firstLine="709" w:start="0"/>
        <w:rPr>
          <w:rFonts w:ascii="Times New Roman" w:hAnsi="Times New Roman"/>
        </w:rPr>
      </w:pPr>
      <w:bookmarkStart w:id="39" w:name="__RefHeading___Toc33496_3559854210"/>
      <w:bookmarkStart w:id="40" w:name="_Toc177129066"/>
      <w:bookmarkStart w:id="41" w:name="_Toc215755866"/>
      <w:bookmarkEnd w:id="39"/>
      <w:r>
        <w:rPr/>
        <w:t>2.2</w:t>
        <w:tab/>
      </w:r>
      <w:r>
        <w:rPr>
          <w:rFonts w:ascii="Times New Roman" w:hAnsi="Times New Roman"/>
        </w:rPr>
        <w:t>Цели и задачи оказания услуг</w:t>
      </w:r>
      <w:bookmarkEnd w:id="40"/>
      <w:bookmarkEnd w:id="41"/>
    </w:p>
    <w:p>
      <w:pPr>
        <w:pStyle w:val="main1"/>
        <w:spacing w:before="0" w:after="113"/>
        <w:rPr>
          <w:szCs w:val="24"/>
        </w:rPr>
      </w:pPr>
      <w:r>
        <w:rPr>
          <w:szCs w:val="24"/>
        </w:rPr>
        <w:t>Целью оказания услуг по сопровождению Системы является обеспечение бесперебойности её работы, обеспечение целостности данных Системы, а также консультационная поддержка пользователей Системы.</w:t>
      </w:r>
    </w:p>
    <w:p>
      <w:pPr>
        <w:pStyle w:val="main1"/>
        <w:spacing w:before="0" w:after="113"/>
        <w:rPr/>
      </w:pPr>
      <w:r>
        <w:rPr>
          <w:szCs w:val="24"/>
        </w:rPr>
        <w:t>Для достижения указанной цели необходимо решить следующие задачи:</w:t>
      </w:r>
    </w:p>
    <w:p>
      <w:pPr>
        <w:pStyle w:val="main1"/>
        <w:spacing w:before="240" w:after="113"/>
        <w:contextualSpacing/>
        <w:rPr/>
      </w:pPr>
      <w:r>
        <w:rPr/>
        <w:t xml:space="preserve">– </w:t>
      </w:r>
      <w:r>
        <w:rPr/>
        <w:t>своевременное разрешение инцидентов, ведущее к уменьшению потерь (в том числе убытков) для пользователей Системы/Учреждений/Заказчика/Оператора;</w:t>
      </w:r>
    </w:p>
    <w:p>
      <w:pPr>
        <w:pStyle w:val="main1"/>
        <w:spacing w:before="240" w:after="113"/>
        <w:contextualSpacing/>
        <w:rPr/>
      </w:pPr>
      <w:r>
        <w:rPr/>
        <w:t xml:space="preserve">– </w:t>
      </w:r>
      <w:r>
        <w:rPr/>
        <w:t>недопущение и (или) своевременное устранение дефектов ОС/СПО/ОПО (системных ошибок).</w:t>
      </w:r>
    </w:p>
    <w:p>
      <w:pPr>
        <w:pStyle w:val="main1"/>
        <w:spacing w:before="240" w:after="113"/>
        <w:contextualSpacing/>
        <w:rPr/>
      </w:pPr>
      <w:r>
        <w:rPr/>
        <w:t xml:space="preserve">– </w:t>
      </w:r>
      <w:r>
        <w:rPr/>
        <w:t>консультирование пользователей: консультационная поддержка пользователей Системы по их обращениям в СТП; инструктаж пользователей; поддержание в актуальном виде Базы знаний.</w:t>
      </w:r>
    </w:p>
    <w:p>
      <w:pPr>
        <w:pStyle w:val="main1"/>
        <w:spacing w:before="240" w:after="113"/>
        <w:contextualSpacing/>
        <w:rPr/>
      </w:pPr>
      <w:r>
        <w:rPr/>
        <w:t xml:space="preserve">– </w:t>
      </w:r>
      <w:r>
        <w:rPr/>
        <w:t>обслуживание ОС/ОПО/СПО Системы, в том числе:</w:t>
      </w:r>
    </w:p>
    <w:p>
      <w:pPr>
        <w:pStyle w:val="main1"/>
        <w:spacing w:before="240" w:after="113"/>
        <w:ind w:firstLine="910" w:start="0"/>
        <w:contextualSpacing/>
        <w:rPr/>
      </w:pPr>
      <w:r>
        <w:rPr/>
        <w:t xml:space="preserve">– </w:t>
      </w:r>
      <w:r>
        <w:rPr/>
        <w:t>осуществление мониторинга работоспособности Системы и своевременное принятие мер к обеспечению её непрерывной бесперебойной работы;</w:t>
      </w:r>
    </w:p>
    <w:p>
      <w:pPr>
        <w:pStyle w:val="main1"/>
        <w:spacing w:before="240" w:after="113"/>
        <w:ind w:firstLine="910" w:start="0"/>
        <w:contextualSpacing/>
        <w:rPr/>
      </w:pPr>
      <w:r>
        <w:rPr/>
        <w:t xml:space="preserve">– </w:t>
      </w:r>
      <w:r>
        <w:rPr/>
        <w:t>установка обновлений ОС/ОПО/СПО Системы (с целью поддержания актуальности Системы, исправления выявленных в Системе ошибок, а также с целью обеспечения соответствия требованиям действующего законодательства);</w:t>
      </w:r>
    </w:p>
    <w:p>
      <w:pPr>
        <w:pStyle w:val="main1"/>
        <w:spacing w:before="240" w:after="113"/>
        <w:ind w:firstLine="910" w:start="0"/>
        <w:contextualSpacing/>
        <w:rPr/>
      </w:pPr>
      <w:r>
        <w:rPr/>
        <w:t xml:space="preserve">– </w:t>
      </w:r>
      <w:r>
        <w:rPr/>
        <w:t>резервное копирование виртуальных машин (ВМ) и баз данных Системы в соответствии с Регламентом резервного копирования;</w:t>
      </w:r>
    </w:p>
    <w:p>
      <w:pPr>
        <w:pStyle w:val="main1"/>
        <w:spacing w:before="240" w:after="113"/>
        <w:ind w:firstLine="910" w:start="0"/>
        <w:contextualSpacing/>
        <w:rPr/>
      </w:pPr>
      <w:r>
        <w:rPr/>
        <w:t xml:space="preserve">– </w:t>
      </w:r>
      <w:r>
        <w:rPr/>
        <w:t>восстановление работоспособности ОС/ОПО/СПО Системы, включая восстановление накопленной в системе информации, при возникновении инцидентов.</w:t>
      </w:r>
    </w:p>
    <w:p>
      <w:pPr>
        <w:pStyle w:val="main1"/>
        <w:spacing w:before="240" w:after="113"/>
        <w:rPr>
          <w:szCs w:val="24"/>
        </w:rPr>
      </w:pPr>
      <w:r>
        <w:rPr>
          <w:szCs w:val="24"/>
        </w:rPr>
        <w:t>Показатели достижения целей оказания услуг приведены в (</w:t>
      </w:r>
      <w:r>
        <w:rPr>
          <w:szCs w:val="24"/>
        </w:rPr>
        <w:fldChar w:fldCharType="begin"/>
      </w:r>
      <w:r>
        <w:rPr>
          <w:szCs w:val="24"/>
        </w:rPr>
        <w:instrText xml:space="preserve"> REF _Ref192511678 \h </w:instrText>
      </w:r>
      <w:r>
        <w:rPr>
          <w:szCs w:val="24"/>
        </w:rPr>
        <w:fldChar w:fldCharType="separate"/>
      </w:r>
      <w:r>
        <w:rPr>
          <w:szCs w:val="24"/>
        </w:rPr>
        <w:t>Таблица 5</w:t>
      </w:r>
      <w:r>
        <w:rPr>
          <w:szCs w:val="24"/>
        </w:rPr>
        <w:fldChar w:fldCharType="end"/>
      </w:r>
      <w:r>
        <w:rPr>
          <w:szCs w:val="24"/>
        </w:rPr>
        <w:t>)</w:t>
      </w:r>
      <w:r>
        <w:rPr>
          <w:szCs w:val="24"/>
        </w:rPr>
        <w:fldChar w:fldCharType="begin"/>
      </w:r>
      <w:r>
        <w:rPr>
          <w:szCs w:val="24"/>
        </w:rPr>
        <w:instrText xml:space="preserve"> REF _Ref69723209 \h </w:instrText>
      </w:r>
      <w:r>
        <w:rPr>
          <w:szCs w:val="24"/>
        </w:rPr>
        <w:fldChar w:fldCharType="separate"/>
      </w:r>
      <w:r>
        <w:rPr>
          <w:szCs w:val="24"/>
        </w:rPr>
      </w:r>
      <w:r>
        <w:rPr>
          <w:szCs w:val="24"/>
        </w:rPr>
        <w:fldChar w:fldCharType="end"/>
      </w:r>
      <w:r>
        <w:rPr>
          <w:szCs w:val="24"/>
        </w:rPr>
        <w:t>.</w:t>
      </w:r>
    </w:p>
    <w:p>
      <w:pPr>
        <w:pStyle w:val="Style53"/>
        <w:rPr/>
      </w:pPr>
      <w:bookmarkStart w:id="42" w:name="_Ref192511678"/>
      <w:bookmarkStart w:id="43" w:name="_Ref69723209"/>
      <w:bookmarkEnd w:id="43"/>
      <w:r>
        <w:rPr/>
        <w:t xml:space="preserve">Таблица </w:t>
      </w:r>
      <w:r>
        <w:rPr/>
        <w:fldChar w:fldCharType="begin"/>
      </w:r>
      <w:r>
        <w:rPr/>
        <w:instrText xml:space="preserve"> SEQ Таблица \* ARABIC </w:instrText>
      </w:r>
      <w:r>
        <w:rPr/>
        <w:fldChar w:fldCharType="separate"/>
      </w:r>
      <w:r>
        <w:rPr/>
        <w:t>5</w:t>
      </w:r>
      <w:r>
        <w:rPr/>
        <w:fldChar w:fldCharType="end"/>
      </w:r>
      <w:bookmarkEnd w:id="42"/>
      <w:r>
        <w:rPr/>
        <w:t xml:space="preserve"> – Показатели достижения целей оказания услуг</w:t>
      </w:r>
    </w:p>
    <w:tbl>
      <w:tblPr>
        <w:tblStyle w:val="-3"/>
        <w:tblW w:w="9980" w:type="dxa"/>
        <w:jc w:val="start"/>
        <w:tblInd w:w="0" w:type="dxa"/>
        <w:tblLayout w:type="fixed"/>
        <w:tblCellMar>
          <w:top w:w="28" w:type="dxa"/>
          <w:start w:w="57" w:type="dxa"/>
          <w:bottom w:w="28" w:type="dxa"/>
          <w:end w:w="57" w:type="dxa"/>
        </w:tblCellMar>
        <w:tblLook w:val="04a0" w:noHBand="0" w:noVBand="1" w:firstColumn="1" w:lastRow="0" w:lastColumn="0" w:firstRow="1"/>
      </w:tblPr>
      <w:tblGrid>
        <w:gridCol w:w="671"/>
        <w:gridCol w:w="5199"/>
        <w:gridCol w:w="1988"/>
        <w:gridCol w:w="2121"/>
      </w:tblGrid>
      <w:tr>
        <w:trPr>
          <w:tblHeader w:val="true"/>
          <w:trHeight w:val="270" w:hRule="atLeast"/>
          <w:cnfStyle w:val="100000000000" w:firstRow="1" w:lastRow="0" w:firstColumn="0" w:lastColumn="0" w:oddVBand="0" w:evenVBand="0" w:oddHBand="0" w:evenHBand="0" w:firstRowFirstColumn="0" w:firstRowLastColumn="0" w:lastRowFirstColumn="0" w:lastRowLastColumn="0"/>
        </w:trPr>
        <w:tc>
          <w:tcPr>
            <w:tcW w:w="671" w:type="dxa"/>
            <w:tcBorders/>
            <w:shd w:color="auto" w:fill="auto" w:val="clear"/>
            <w:vAlign w:val="center"/>
          </w:tcPr>
          <w:p>
            <w:pPr>
              <w:pStyle w:val="Normal"/>
              <w:keepNext w:val="true"/>
              <w:keepLines/>
              <w:widowControl/>
              <w:suppressAutoHyphens w:val="true"/>
              <w:spacing w:lineRule="auto" w:line="240" w:before="120" w:after="120"/>
              <w:ind w:hanging="0" w:start="0" w:end="23"/>
              <w:jc w:val="center"/>
              <w:rPr>
                <w:szCs w:val="28"/>
              </w:rPr>
            </w:pPr>
            <w:r>
              <w:rPr>
                <w:rFonts w:eastAsia="Times New Roman" w:cs="Times New Roman"/>
                <w:b/>
                <w:i w:val="false"/>
                <w:kern w:val="0"/>
                <w:szCs w:val="28"/>
                <w:lang w:val="ru-RU" w:bidi="ar-SA"/>
              </w:rPr>
              <w:t xml:space="preserve">№ </w:t>
            </w:r>
            <w:r>
              <w:rPr>
                <w:rFonts w:eastAsia="Times New Roman" w:cs="Times New Roman"/>
                <w:b/>
                <w:i w:val="false"/>
                <w:kern w:val="0"/>
                <w:szCs w:val="28"/>
                <w:lang w:val="ru-RU" w:bidi="ar-SA"/>
              </w:rPr>
              <w:t>п/п</w:t>
            </w:r>
          </w:p>
        </w:tc>
        <w:tc>
          <w:tcPr>
            <w:tcW w:w="5199" w:type="dxa"/>
            <w:tcBorders/>
            <w:shd w:color="auto" w:fill="auto" w:val="clear"/>
            <w:vAlign w:val="center"/>
          </w:tcPr>
          <w:p>
            <w:pPr>
              <w:pStyle w:val="Normal"/>
              <w:keepNext w:val="true"/>
              <w:keepLines/>
              <w:widowControl/>
              <w:suppressAutoHyphens w:val="true"/>
              <w:spacing w:lineRule="auto" w:line="240" w:before="120" w:after="120"/>
              <w:ind w:hanging="0" w:start="0" w:end="23"/>
              <w:jc w:val="center"/>
              <w:rPr>
                <w:szCs w:val="28"/>
              </w:rPr>
            </w:pPr>
            <w:r>
              <w:rPr>
                <w:rFonts w:eastAsia="Times New Roman" w:cs="Times New Roman"/>
                <w:b/>
                <w:i w:val="false"/>
                <w:kern w:val="0"/>
                <w:szCs w:val="28"/>
                <w:lang w:val="ru-RU" w:bidi="ar-SA"/>
              </w:rPr>
              <w:t>Наименование показателя достижения цели</w:t>
            </w:r>
          </w:p>
        </w:tc>
        <w:tc>
          <w:tcPr>
            <w:tcW w:w="1988" w:type="dxa"/>
            <w:tcBorders/>
            <w:shd w:color="auto" w:fill="auto" w:val="clear"/>
            <w:vAlign w:val="center"/>
          </w:tcPr>
          <w:p>
            <w:pPr>
              <w:pStyle w:val="Normal"/>
              <w:keepNext w:val="true"/>
              <w:keepLines/>
              <w:widowControl/>
              <w:suppressAutoHyphens w:val="true"/>
              <w:spacing w:lineRule="auto" w:line="240" w:before="120" w:after="120"/>
              <w:ind w:hanging="0" w:start="0" w:end="23"/>
              <w:jc w:val="center"/>
              <w:rPr>
                <w:szCs w:val="28"/>
              </w:rPr>
            </w:pPr>
            <w:r>
              <w:rPr>
                <w:rFonts w:eastAsia="Times New Roman" w:cs="Times New Roman"/>
                <w:b/>
                <w:i w:val="false"/>
                <w:kern w:val="0"/>
                <w:szCs w:val="28"/>
                <w:lang w:val="ru-RU" w:bidi="ar-SA"/>
              </w:rPr>
              <w:t>Единица измерения</w:t>
            </w:r>
          </w:p>
        </w:tc>
        <w:tc>
          <w:tcPr>
            <w:tcW w:w="2121" w:type="dxa"/>
            <w:tcBorders/>
            <w:shd w:color="auto" w:fill="auto" w:val="clear"/>
            <w:vAlign w:val="center"/>
          </w:tcPr>
          <w:p>
            <w:pPr>
              <w:pStyle w:val="Normal"/>
              <w:keepNext w:val="true"/>
              <w:keepLines/>
              <w:widowControl/>
              <w:suppressAutoHyphens w:val="true"/>
              <w:spacing w:lineRule="auto" w:line="240" w:before="120" w:after="120"/>
              <w:ind w:hanging="0" w:start="0" w:end="23"/>
              <w:jc w:val="center"/>
              <w:rPr>
                <w:szCs w:val="28"/>
              </w:rPr>
            </w:pPr>
            <w:r>
              <w:rPr>
                <w:rFonts w:eastAsia="Times New Roman" w:cs="Times New Roman"/>
                <w:b/>
                <w:i w:val="false"/>
                <w:kern w:val="0"/>
                <w:szCs w:val="28"/>
                <w:lang w:val="ru-RU" w:bidi="ar-SA"/>
              </w:rPr>
              <w:t>Значения показателя</w:t>
            </w:r>
          </w:p>
        </w:tc>
      </w:tr>
      <w:tr>
        <w:trPr/>
        <w:tc>
          <w:tcPr>
            <w:tcW w:w="9979" w:type="dxa"/>
            <w:gridSpan w:val="4"/>
            <w:tcBorders/>
          </w:tcPr>
          <w:p>
            <w:pPr>
              <w:pStyle w:val="Normal"/>
              <w:widowControl/>
              <w:suppressAutoHyphens w:val="true"/>
              <w:spacing w:lineRule="auto" w:line="240" w:before="120" w:after="120"/>
              <w:ind w:hanging="0" w:start="0" w:end="23"/>
              <w:jc w:val="start"/>
              <w:rPr>
                <w:szCs w:val="28"/>
              </w:rPr>
            </w:pPr>
            <w:r>
              <w:rPr>
                <w:rFonts w:eastAsia="Times New Roman" w:cs="Times New Roman"/>
                <w:kern w:val="0"/>
                <w:szCs w:val="28"/>
                <w:lang w:val="ru-RU" w:bidi="ar-SA"/>
              </w:rPr>
              <w:t>1. Обеспечение бесперебойной работы Системы.</w:t>
            </w:r>
          </w:p>
        </w:tc>
      </w:tr>
      <w:tr>
        <w:trPr/>
        <w:tc>
          <w:tcPr>
            <w:tcW w:w="671" w:type="dxa"/>
            <w:tcBorders/>
          </w:tcPr>
          <w:p>
            <w:pPr>
              <w:pStyle w:val="Normal"/>
              <w:widowControl/>
              <w:suppressAutoHyphens w:val="true"/>
              <w:spacing w:lineRule="auto" w:line="240" w:before="120" w:after="120"/>
              <w:ind w:hanging="0" w:start="0" w:end="23"/>
              <w:jc w:val="center"/>
              <w:rPr>
                <w:szCs w:val="28"/>
              </w:rPr>
            </w:pPr>
            <w:r>
              <w:rPr>
                <w:rFonts w:eastAsia="Calibri" w:cs="Times New Roman"/>
                <w:kern w:val="0"/>
                <w:szCs w:val="28"/>
                <w:lang w:val="ru-RU" w:bidi="ar-SA"/>
              </w:rPr>
              <w:t>1.1</w:t>
            </w:r>
          </w:p>
        </w:tc>
        <w:tc>
          <w:tcPr>
            <w:tcW w:w="5199" w:type="dxa"/>
            <w:tcBorders/>
          </w:tcPr>
          <w:p>
            <w:pPr>
              <w:pStyle w:val="Normal"/>
              <w:widowControl/>
              <w:suppressAutoHyphens w:val="true"/>
              <w:spacing w:lineRule="auto" w:line="240" w:before="120" w:after="120"/>
              <w:ind w:hanging="0" w:start="0" w:end="23"/>
              <w:rPr>
                <w:szCs w:val="28"/>
              </w:rPr>
            </w:pPr>
            <w:r>
              <w:rPr>
                <w:rFonts w:eastAsia="Calibri" w:cs="Times New Roman"/>
                <w:kern w:val="0"/>
                <w:szCs w:val="28"/>
                <w:lang w:val="ru-RU" w:bidi="ar-SA"/>
              </w:rPr>
              <w:t>Суммарное время недоступности Системы и ее компонентов в течение года</w:t>
            </w:r>
          </w:p>
        </w:tc>
        <w:tc>
          <w:tcPr>
            <w:tcW w:w="1988" w:type="dxa"/>
            <w:tcBorders/>
          </w:tcPr>
          <w:p>
            <w:pPr>
              <w:pStyle w:val="Normal"/>
              <w:widowControl/>
              <w:suppressAutoHyphens w:val="true"/>
              <w:spacing w:lineRule="auto" w:line="240" w:before="120" w:after="120"/>
              <w:ind w:hanging="0" w:start="0" w:end="23"/>
              <w:jc w:val="center"/>
              <w:rPr>
                <w:szCs w:val="28"/>
              </w:rPr>
            </w:pPr>
            <w:r>
              <w:rPr>
                <w:rFonts w:eastAsia="Calibri" w:cs="Times New Roman"/>
                <w:kern w:val="0"/>
                <w:szCs w:val="28"/>
                <w:lang w:val="ru-RU" w:bidi="ar-SA"/>
              </w:rPr>
              <w:t>час</w:t>
            </w:r>
          </w:p>
        </w:tc>
        <w:tc>
          <w:tcPr>
            <w:tcW w:w="2121" w:type="dxa"/>
            <w:tcBorders/>
          </w:tcPr>
          <w:p>
            <w:pPr>
              <w:pStyle w:val="Normal"/>
              <w:widowControl/>
              <w:suppressAutoHyphens w:val="true"/>
              <w:spacing w:lineRule="auto" w:line="240" w:before="120" w:after="120"/>
              <w:ind w:hanging="0" w:start="0" w:end="23"/>
              <w:jc w:val="center"/>
              <w:rPr>
                <w:szCs w:val="28"/>
              </w:rPr>
            </w:pPr>
            <w:r>
              <w:rPr>
                <w:rFonts w:eastAsia="Calibri" w:cs="Times New Roman"/>
                <w:kern w:val="0"/>
                <w:szCs w:val="28"/>
                <w:lang w:val="ru-RU" w:bidi="ar-SA"/>
              </w:rPr>
              <w:t>48</w:t>
            </w:r>
          </w:p>
        </w:tc>
      </w:tr>
      <w:tr>
        <w:trPr/>
        <w:tc>
          <w:tcPr>
            <w:tcW w:w="671" w:type="dxa"/>
            <w:tcBorders/>
          </w:tcPr>
          <w:p>
            <w:pPr>
              <w:pStyle w:val="Normal"/>
              <w:widowControl/>
              <w:suppressAutoHyphens w:val="true"/>
              <w:spacing w:lineRule="auto" w:line="240" w:before="120" w:after="120"/>
              <w:ind w:hanging="0" w:start="0" w:end="23"/>
              <w:jc w:val="center"/>
              <w:rPr>
                <w:szCs w:val="28"/>
              </w:rPr>
            </w:pPr>
            <w:r>
              <w:rPr>
                <w:rFonts w:eastAsia="Times New Roman" w:cs="Times New Roman"/>
                <w:kern w:val="0"/>
                <w:szCs w:val="28"/>
                <w:lang w:val="ru-RU" w:bidi="ar-SA"/>
              </w:rPr>
              <w:t>1.2</w:t>
            </w:r>
          </w:p>
        </w:tc>
        <w:tc>
          <w:tcPr>
            <w:tcW w:w="5199" w:type="dxa"/>
            <w:tcBorders/>
          </w:tcPr>
          <w:p>
            <w:pPr>
              <w:pStyle w:val="Normal"/>
              <w:widowControl/>
              <w:suppressAutoHyphens w:val="true"/>
              <w:spacing w:lineRule="auto" w:line="240" w:before="120" w:after="120"/>
              <w:ind w:hanging="0" w:start="0" w:end="23"/>
              <w:rPr>
                <w:szCs w:val="28"/>
              </w:rPr>
            </w:pPr>
            <w:r>
              <w:rPr>
                <w:rFonts w:eastAsia="Times New Roman" w:cs="Times New Roman"/>
                <w:kern w:val="0"/>
                <w:szCs w:val="28"/>
                <w:lang w:val="ru-RU" w:bidi="ar-SA"/>
              </w:rPr>
              <w:t>Максимальное суммарное время недоступности Системы (в месяц)</w:t>
            </w:r>
          </w:p>
        </w:tc>
        <w:tc>
          <w:tcPr>
            <w:tcW w:w="1988" w:type="dxa"/>
            <w:tcBorders/>
          </w:tcPr>
          <w:p>
            <w:pPr>
              <w:pStyle w:val="Normal"/>
              <w:widowControl/>
              <w:suppressAutoHyphens w:val="true"/>
              <w:spacing w:lineRule="auto" w:line="240" w:before="120" w:after="120"/>
              <w:ind w:hanging="0" w:start="0" w:end="23"/>
              <w:jc w:val="center"/>
              <w:rPr>
                <w:szCs w:val="28"/>
              </w:rPr>
            </w:pPr>
            <w:r>
              <w:rPr>
                <w:rFonts w:eastAsia="Times New Roman" w:cs="Times New Roman"/>
                <w:kern w:val="0"/>
                <w:szCs w:val="28"/>
                <w:lang w:val="ru-RU" w:bidi="ar-SA"/>
              </w:rPr>
              <w:t>час</w:t>
            </w:r>
          </w:p>
        </w:tc>
        <w:tc>
          <w:tcPr>
            <w:tcW w:w="2121" w:type="dxa"/>
            <w:tcBorders/>
          </w:tcPr>
          <w:p>
            <w:pPr>
              <w:pStyle w:val="Normal"/>
              <w:widowControl/>
              <w:suppressAutoHyphens w:val="true"/>
              <w:spacing w:lineRule="auto" w:line="240" w:before="120" w:after="120"/>
              <w:ind w:hanging="0" w:start="0" w:end="23"/>
              <w:jc w:val="center"/>
              <w:rPr>
                <w:szCs w:val="28"/>
              </w:rPr>
            </w:pPr>
            <w:r>
              <w:rPr>
                <w:rFonts w:eastAsia="Times New Roman" w:cs="Times New Roman"/>
                <w:kern w:val="0"/>
                <w:szCs w:val="28"/>
                <w:lang w:val="ru-RU" w:bidi="ar-SA"/>
              </w:rPr>
              <w:t>4</w:t>
            </w:r>
          </w:p>
        </w:tc>
      </w:tr>
    </w:tbl>
    <w:p>
      <w:pPr>
        <w:pStyle w:val="120"/>
        <w:spacing w:lineRule="auto" w:line="276"/>
        <w:ind w:hanging="9" w:start="233" w:end="253"/>
        <w:jc w:val="both"/>
        <w:rPr/>
      </w:pPr>
      <w:r>
        <w:rPr/>
      </w:r>
    </w:p>
    <w:p>
      <w:pPr>
        <w:pStyle w:val="15"/>
        <w:spacing w:lineRule="auto" w:line="240" w:before="0" w:after="0"/>
        <w:ind w:firstLine="709" w:start="0"/>
        <w:rPr>
          <w:rFonts w:ascii="Times New Roman" w:hAnsi="Times New Roman"/>
        </w:rPr>
      </w:pPr>
      <w:bookmarkStart w:id="44" w:name="__RefHeading___Toc33498_3559854210"/>
      <w:bookmarkStart w:id="45" w:name="_Toc177129067"/>
      <w:bookmarkStart w:id="46" w:name="_Toc215755867"/>
      <w:bookmarkStart w:id="47" w:name="_Hlk174977790"/>
      <w:bookmarkEnd w:id="44"/>
      <w:bookmarkEnd w:id="47"/>
      <w:r>
        <w:rPr>
          <w:rFonts w:ascii="Times New Roman" w:hAnsi="Times New Roman"/>
        </w:rPr>
        <w:t>Сведения о состоянии Системы</w:t>
      </w:r>
      <w:bookmarkEnd w:id="45"/>
      <w:bookmarkEnd w:id="46"/>
    </w:p>
    <w:p>
      <w:pPr>
        <w:pStyle w:val="26"/>
        <w:spacing w:lineRule="auto" w:line="240"/>
        <w:ind w:firstLine="709" w:start="0"/>
        <w:rPr>
          <w:rFonts w:ascii="Times New Roman" w:hAnsi="Times New Roman"/>
        </w:rPr>
      </w:pPr>
      <w:bookmarkStart w:id="48" w:name="__RefHeading___Toc33500_3559854210"/>
      <w:bookmarkStart w:id="49" w:name="_Hlk174977835"/>
      <w:bookmarkStart w:id="50" w:name="_Toc215755868"/>
      <w:bookmarkStart w:id="51" w:name="_Toc177129068"/>
      <w:bookmarkStart w:id="52" w:name="_Hlk174977790_Копия_1"/>
      <w:bookmarkEnd w:id="48"/>
      <w:bookmarkEnd w:id="52"/>
      <w:r>
        <w:rPr>
          <w:rFonts w:ascii="Times New Roman" w:hAnsi="Times New Roman"/>
        </w:rPr>
        <w:t>Общее описание состояния Системы</w:t>
      </w:r>
      <w:bookmarkEnd w:id="49"/>
      <w:bookmarkEnd w:id="50"/>
      <w:bookmarkEnd w:id="51"/>
    </w:p>
    <w:p>
      <w:pPr>
        <w:pStyle w:val="33"/>
        <w:spacing w:lineRule="auto" w:line="240" w:before="0" w:after="0"/>
        <w:ind w:firstLine="709" w:start="0"/>
        <w:rPr>
          <w:rFonts w:ascii="Times New Roman" w:hAnsi="Times New Roman"/>
        </w:rPr>
      </w:pPr>
      <w:bookmarkStart w:id="53" w:name="__RefHeading___Toc33502_3559854210"/>
      <w:bookmarkStart w:id="54" w:name="_Toc215755869"/>
      <w:bookmarkStart w:id="55" w:name="_Toc177129069"/>
      <w:bookmarkEnd w:id="53"/>
      <w:r>
        <w:rPr>
          <w:rFonts w:ascii="Times New Roman" w:hAnsi="Times New Roman"/>
        </w:rPr>
        <w:t>Сведения о ранее заключенных государственных Договорах на создание, развитие и сопровождение Системы</w:t>
      </w:r>
      <w:bookmarkEnd w:id="54"/>
      <w:bookmarkEnd w:id="55"/>
    </w:p>
    <w:p>
      <w:pPr>
        <w:pStyle w:val="Normal"/>
        <w:widowControl w:val="false"/>
        <w:tabs>
          <w:tab w:val="clear" w:pos="708"/>
          <w:tab w:val="right" w:pos="9921" w:leader="none"/>
        </w:tabs>
        <w:spacing w:lineRule="auto" w:line="240"/>
        <w:ind w:firstLine="709" w:start="0"/>
        <w:rPr>
          <w:sz w:val="24"/>
          <w:szCs w:val="24"/>
        </w:rPr>
      </w:pPr>
      <w:r>
        <w:rPr>
          <w:sz w:val="24"/>
          <w:szCs w:val="24"/>
        </w:rPr>
        <w:t>Сведения о ранее заключенных государственных Контрактах на создание, развитие и сопровождение Системы представлены в (</w:t>
      </w:r>
      <w:r>
        <w:rPr>
          <w:sz w:val="24"/>
          <w:szCs w:val="24"/>
        </w:rPr>
        <w:fldChar w:fldCharType="begin"/>
      </w:r>
      <w:r>
        <w:rPr>
          <w:sz w:val="24"/>
          <w:szCs w:val="24"/>
        </w:rPr>
        <w:instrText xml:space="preserve"> REF _Ref192511798 \h </w:instrText>
      </w:r>
      <w:r>
        <w:rPr>
          <w:sz w:val="24"/>
          <w:szCs w:val="24"/>
        </w:rPr>
        <w:fldChar w:fldCharType="separate"/>
      </w:r>
      <w:r>
        <w:rPr>
          <w:sz w:val="24"/>
          <w:szCs w:val="24"/>
        </w:rPr>
        <w:t>Таблица 6</w:t>
      </w:r>
      <w:r>
        <w:rPr>
          <w:sz w:val="24"/>
          <w:szCs w:val="24"/>
        </w:rPr>
        <w:fldChar w:fldCharType="end"/>
      </w:r>
      <w:r>
        <w:rPr>
          <w:sz w:val="24"/>
          <w:szCs w:val="24"/>
        </w:rPr>
        <w:t>).</w:t>
      </w:r>
    </w:p>
    <w:p>
      <w:pPr>
        <w:pStyle w:val="Style53"/>
        <w:rPr/>
      </w:pPr>
      <w:bookmarkStart w:id="56" w:name="_Ref192511798"/>
      <w:r>
        <w:rPr/>
        <w:t xml:space="preserve">Таблица </w:t>
      </w:r>
      <w:r>
        <w:rPr/>
        <w:fldChar w:fldCharType="begin"/>
      </w:r>
      <w:r>
        <w:rPr/>
        <w:instrText xml:space="preserve"> SEQ Таблица \* ARABIC </w:instrText>
      </w:r>
      <w:r>
        <w:rPr/>
        <w:fldChar w:fldCharType="separate"/>
      </w:r>
      <w:r>
        <w:rPr/>
        <w:t>6</w:t>
      </w:r>
      <w:r>
        <w:rPr/>
        <w:fldChar w:fldCharType="end"/>
      </w:r>
      <w:bookmarkEnd w:id="56"/>
      <w:r>
        <w:rPr/>
        <w:t xml:space="preserve"> – Сведения о ранее заключенных Договорах.</w:t>
      </w:r>
    </w:p>
    <w:p>
      <w:pPr>
        <w:pStyle w:val="Style44"/>
        <w:spacing w:lineRule="auto" w:line="240" w:before="0" w:after="120"/>
        <w:contextualSpacing w:val="false"/>
        <w:rPr/>
      </w:pPr>
      <w:r>
        <w:rPr/>
      </w:r>
    </w:p>
    <w:tbl>
      <w:tblPr>
        <w:tblW w:w="1020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62"/>
        <w:gridCol w:w="1699"/>
        <w:gridCol w:w="5109"/>
        <w:gridCol w:w="2830"/>
      </w:tblGrid>
      <w:tr>
        <w:trPr>
          <w:tblHeader w:val="true"/>
          <w:trHeight w:val="483" w:hRule="atLeast"/>
        </w:trPr>
        <w:tc>
          <w:tcPr>
            <w:tcW w:w="56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5670" w:leader="none"/>
              </w:tabs>
              <w:spacing w:lineRule="auto" w:line="240" w:before="0" w:after="160"/>
              <w:ind w:hanging="0" w:start="-57" w:end="-57"/>
              <w:jc w:val="center"/>
              <w:textAlignment w:val="baseline"/>
              <w:rPr>
                <w:b/>
                <w:lang w:eastAsia="ru-RU"/>
              </w:rPr>
            </w:pPr>
            <w:r>
              <w:rPr>
                <w:b/>
                <w:lang w:eastAsia="ru-RU"/>
              </w:rPr>
              <w:t xml:space="preserve">№ </w:t>
            </w:r>
            <w:r>
              <w:rPr>
                <w:b/>
                <w:lang w:eastAsia="ru-RU"/>
              </w:rPr>
              <w:t>п/п</w:t>
            </w:r>
          </w:p>
        </w:tc>
        <w:tc>
          <w:tcPr>
            <w:tcW w:w="169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5670" w:leader="none"/>
              </w:tabs>
              <w:spacing w:lineRule="auto" w:line="240" w:before="0" w:after="160"/>
              <w:ind w:hanging="0" w:start="0"/>
              <w:jc w:val="center"/>
              <w:textAlignment w:val="baseline"/>
              <w:rPr>
                <w:b/>
                <w:lang w:eastAsia="ru-RU"/>
              </w:rPr>
            </w:pPr>
            <w:r>
              <w:rPr>
                <w:b/>
                <w:lang w:eastAsia="ru-RU"/>
              </w:rPr>
              <w:t>Реквизиты государственного Договора (номер, дата)</w:t>
            </w:r>
          </w:p>
        </w:tc>
        <w:tc>
          <w:tcPr>
            <w:tcW w:w="51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5670" w:leader="none"/>
              </w:tabs>
              <w:spacing w:lineRule="auto" w:line="240" w:before="0" w:after="160"/>
              <w:ind w:hanging="0" w:start="0"/>
              <w:jc w:val="center"/>
              <w:textAlignment w:val="baseline"/>
              <w:rPr>
                <w:b/>
                <w:lang w:eastAsia="ru-RU"/>
              </w:rPr>
            </w:pPr>
            <w:r>
              <w:rPr>
                <w:b/>
                <w:lang w:eastAsia="ru-RU"/>
              </w:rPr>
              <w:t>Предмет государственного Договора</w:t>
            </w:r>
          </w:p>
        </w:tc>
        <w:tc>
          <w:tcPr>
            <w:tcW w:w="28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8"/>
                <w:tab w:val="left" w:pos="5670" w:leader="none"/>
              </w:tabs>
              <w:spacing w:lineRule="auto" w:line="240" w:before="0" w:after="160"/>
              <w:ind w:hanging="0" w:start="0"/>
              <w:jc w:val="center"/>
              <w:textAlignment w:val="baseline"/>
              <w:rPr>
                <w:b/>
                <w:lang w:eastAsia="ru-RU"/>
              </w:rPr>
            </w:pPr>
            <w:r>
              <w:rPr>
                <w:b/>
                <w:lang w:eastAsia="ru-RU"/>
              </w:rPr>
              <w:t>Ссылка на официальный сайт в сети Интернет, содержащий сведения о государственном Договоре</w:t>
            </w:r>
          </w:p>
        </w:tc>
      </w:tr>
      <w:tr>
        <w:trPr>
          <w:tblHeader w:val="true"/>
          <w:trHeight w:val="492" w:hRule="atLeast"/>
          <w:cantSplit w:val="true"/>
        </w:trPr>
        <w:tc>
          <w:tcPr>
            <w:tcW w:w="562"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b/>
                <w:lang w:eastAsia="ru-RU"/>
              </w:rPr>
            </w:pPr>
            <w:r>
              <w:rPr>
                <w:b/>
                <w:lang w:eastAsia="ru-RU"/>
              </w:rPr>
            </w:r>
          </w:p>
        </w:tc>
        <w:tc>
          <w:tcPr>
            <w:tcW w:w="1699"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b/>
                <w:lang w:eastAsia="ru-RU"/>
              </w:rPr>
            </w:pPr>
            <w:r>
              <w:rPr>
                <w:b/>
                <w:lang w:eastAsia="ru-RU"/>
              </w:rPr>
            </w:r>
          </w:p>
        </w:tc>
        <w:tc>
          <w:tcPr>
            <w:tcW w:w="5109"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b/>
                <w:lang w:eastAsia="ru-RU"/>
              </w:rPr>
            </w:pPr>
            <w:r>
              <w:rPr>
                <w:b/>
                <w:lang w:eastAsia="ru-RU"/>
              </w:rPr>
            </w:r>
          </w:p>
        </w:tc>
        <w:tc>
          <w:tcPr>
            <w:tcW w:w="2830"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b/>
                <w:lang w:eastAsia="ru-RU"/>
              </w:rPr>
            </w:pPr>
            <w:r>
              <w:rPr>
                <w:b/>
                <w:lang w:eastAsia="ru-RU"/>
              </w:rPr>
            </w:r>
          </w:p>
        </w:tc>
      </w:tr>
      <w:tr>
        <w:trPr>
          <w:tblHeader w:val="true"/>
          <w:trHeight w:val="1731" w:hRule="atLeast"/>
          <w:cantSplit w:val="true"/>
        </w:trPr>
        <w:tc>
          <w:tcPr>
            <w:tcW w:w="56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lang w:eastAsia="ru-RU"/>
              </w:rPr>
            </w:pPr>
            <w:r>
              <w:rPr>
                <w:lang w:eastAsia="ru-RU"/>
              </w:rPr>
              <w:t>1</w:t>
            </w:r>
          </w:p>
        </w:tc>
        <w:tc>
          <w:tcPr>
            <w:tcW w:w="169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Государственный Контракт № 57-2012-ГК от 18 декабря 2012 г.</w:t>
            </w:r>
          </w:p>
        </w:tc>
        <w:tc>
          <w:tcPr>
            <w:tcW w:w="510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Разработка системы автоматического сбора данных в целях управления энергосбережением на объектах Московской области, в том числе интеграционного сегмента для подключения автоматизированных систем ресурсоснабжающих организаций</w:t>
            </w:r>
          </w:p>
        </w:tc>
        <w:tc>
          <w:tcPr>
            <w:tcW w:w="283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hyperlink r:id="rId5">
              <w:r>
                <w:rPr>
                  <w:rStyle w:val="Style"/>
                  <w:color w:val="0563C1"/>
                  <w:u w:val="single"/>
                  <w:lang w:eastAsia="ru-RU"/>
                </w:rPr>
                <w:t>http://zakupki.gov.ru/epz/contract/contractCard/common-info.html?reestrNumber=0148200002412000233</w:t>
              </w:r>
            </w:hyperlink>
          </w:p>
        </w:tc>
      </w:tr>
      <w:tr>
        <w:trPr>
          <w:tblHeader w:val="true"/>
          <w:trHeight w:val="1260" w:hRule="atLeast"/>
          <w:cantSplit w:val="true"/>
        </w:trPr>
        <w:tc>
          <w:tcPr>
            <w:tcW w:w="56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lang w:eastAsia="ru-RU"/>
              </w:rPr>
            </w:pPr>
            <w:r>
              <w:rPr>
                <w:lang w:eastAsia="ru-RU"/>
              </w:rPr>
              <w:t>2</w:t>
            </w:r>
          </w:p>
        </w:tc>
        <w:tc>
          <w:tcPr>
            <w:tcW w:w="169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Государственный Контракт № 374146-18 от 6 ноября 2018 г.</w:t>
            </w:r>
          </w:p>
        </w:tc>
        <w:tc>
          <w:tcPr>
            <w:tcW w:w="510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Выполнение работ по развитию и сопровождению специального программного обеспечения системы автоматического сбора данных в целях управления энергосбережением на объектах Московской области</w:t>
            </w:r>
          </w:p>
        </w:tc>
        <w:tc>
          <w:tcPr>
            <w:tcW w:w="283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hyperlink r:id="rId6">
              <w:r>
                <w:rPr>
                  <w:rStyle w:val="Style"/>
                  <w:color w:val="0563C1"/>
                  <w:u w:val="single"/>
                  <w:lang w:eastAsia="ru-RU"/>
                </w:rPr>
                <w:t>http://zakupki.gov.ru/epz/order/notice/ok44/view/common-info.html?regNumber=0148200000418000006</w:t>
              </w:r>
            </w:hyperlink>
          </w:p>
        </w:tc>
      </w:tr>
      <w:tr>
        <w:trPr>
          <w:tblHeader w:val="true"/>
          <w:trHeight w:val="1380" w:hRule="atLeast"/>
          <w:cantSplit w:val="true"/>
        </w:trPr>
        <w:tc>
          <w:tcPr>
            <w:tcW w:w="56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lang w:eastAsia="ru-RU"/>
              </w:rPr>
            </w:pPr>
            <w:r>
              <w:rPr>
                <w:lang w:eastAsia="ru-RU"/>
              </w:rPr>
              <w:t>3</w:t>
            </w:r>
          </w:p>
        </w:tc>
        <w:tc>
          <w:tcPr>
            <w:tcW w:w="169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Государственный Контракт № 011/2020</w:t>
            </w:r>
          </w:p>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От 27 апреля 2020 г.</w:t>
            </w:r>
          </w:p>
        </w:tc>
        <w:tc>
          <w:tcPr>
            <w:tcW w:w="510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Оказание услуг по сопровождению Системы автоматического сбора данных в целях управления энергосбережением на объектах Московской области</w:t>
            </w:r>
          </w:p>
        </w:tc>
        <w:tc>
          <w:tcPr>
            <w:tcW w:w="283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hyperlink r:id="rId7">
              <w:r>
                <w:rPr>
                  <w:rStyle w:val="Style"/>
                  <w:color w:val="0563C1"/>
                  <w:u w:val="single"/>
                  <w:lang w:eastAsia="ru-RU"/>
                </w:rPr>
                <w:t>https://zakupki.gov.ru/epz/order/notice/ok504/view/common-info.html?regNumber=0148200000420000001</w:t>
              </w:r>
            </w:hyperlink>
          </w:p>
        </w:tc>
      </w:tr>
      <w:tr>
        <w:trPr>
          <w:tblHeader w:val="true"/>
          <w:trHeight w:val="1359" w:hRule="atLeast"/>
          <w:cantSplit w:val="true"/>
        </w:trPr>
        <w:tc>
          <w:tcPr>
            <w:tcW w:w="56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lang w:eastAsia="ru-RU"/>
              </w:rPr>
            </w:pPr>
            <w:r>
              <w:rPr>
                <w:lang w:eastAsia="ru-RU"/>
              </w:rPr>
              <w:t>4</w:t>
            </w:r>
          </w:p>
        </w:tc>
        <w:tc>
          <w:tcPr>
            <w:tcW w:w="169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Государственный Контракт № 018/2021 от 07 апреля 2021 г.</w:t>
            </w:r>
          </w:p>
        </w:tc>
        <w:tc>
          <w:tcPr>
            <w:tcW w:w="510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Оказание услуг по сопровождению Системы автоматического сбора данных в целях управления энергосбережением на объектах Московской области</w:t>
            </w:r>
          </w:p>
        </w:tc>
        <w:tc>
          <w:tcPr>
            <w:tcW w:w="283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hyperlink r:id="rId8">
              <w:r>
                <w:rPr>
                  <w:rStyle w:val="Style"/>
                  <w:color w:val="0563C1"/>
                  <w:u w:val="single"/>
                  <w:lang w:eastAsia="ru-RU"/>
                </w:rPr>
                <w:t>https://zakupki.gov.ru/epz/order/notice/ok504/view/common-info.html?regNumber=0148200000421000001</w:t>
              </w:r>
            </w:hyperlink>
          </w:p>
        </w:tc>
      </w:tr>
      <w:tr>
        <w:trPr>
          <w:tblHeader w:val="true"/>
          <w:trHeight w:val="1182" w:hRule="atLeast"/>
          <w:cantSplit w:val="true"/>
        </w:trPr>
        <w:tc>
          <w:tcPr>
            <w:tcW w:w="56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lang w:eastAsia="ru-RU"/>
              </w:rPr>
            </w:pPr>
            <w:r>
              <w:rPr>
                <w:lang w:eastAsia="ru-RU"/>
              </w:rPr>
              <w:t>5</w:t>
            </w:r>
          </w:p>
        </w:tc>
        <w:tc>
          <w:tcPr>
            <w:tcW w:w="169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Государственный Контракт от 14.02.2022г. № 008/2022</w:t>
            </w:r>
          </w:p>
        </w:tc>
        <w:tc>
          <w:tcPr>
            <w:tcW w:w="510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Оказание услуг по сопровождению Системы автоматического сбора данных в целях управления энергосбережением на объектах Московской области</w:t>
            </w:r>
          </w:p>
        </w:tc>
        <w:tc>
          <w:tcPr>
            <w:tcW w:w="283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hyperlink r:id="rId9">
              <w:r>
                <w:rPr>
                  <w:rStyle w:val="Style"/>
                  <w:color w:val="0563C1"/>
                  <w:u w:val="single"/>
                  <w:lang w:eastAsia="ru-RU"/>
                </w:rPr>
                <w:t>https://zakupki.gov.ru/epz/order/notice/ok504/view/common-info.html?regNumber=0148200000421000004</w:t>
              </w:r>
            </w:hyperlink>
          </w:p>
        </w:tc>
      </w:tr>
      <w:tr>
        <w:trPr>
          <w:tblHeader w:val="true"/>
          <w:cantSplit w:val="true"/>
        </w:trPr>
        <w:tc>
          <w:tcPr>
            <w:tcW w:w="56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lang w:eastAsia="ru-RU"/>
              </w:rPr>
            </w:pPr>
            <w:r>
              <w:rPr>
                <w:lang w:eastAsia="ru-RU"/>
              </w:rPr>
              <w:t>6</w:t>
            </w:r>
          </w:p>
        </w:tc>
        <w:tc>
          <w:tcPr>
            <w:tcW w:w="169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Государственный Контракт от 09.08.2023 № 035/2023</w:t>
            </w:r>
          </w:p>
        </w:tc>
        <w:tc>
          <w:tcPr>
            <w:tcW w:w="510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Выполнение работ по развитию специального программного обеспечения Системы автоматического сбора данных в целях управления энергосбережением на объектах Московской области, в том числе интеграционного сегмента для подключения автоматизированных систем ресурсоснабжающих организаций</w:t>
            </w:r>
          </w:p>
        </w:tc>
        <w:tc>
          <w:tcPr>
            <w:tcW w:w="283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hyperlink r:id="rId10">
              <w:r>
                <w:rPr>
                  <w:rStyle w:val="Style"/>
                  <w:color w:val="0563C1"/>
                  <w:u w:val="single"/>
                  <w:lang w:eastAsia="ru-RU"/>
                </w:rPr>
                <w:t>https://zakupki.gov.ru/epz/order/notice/ok20/view/common-info.html?regNumber=0148200000423000001</w:t>
              </w:r>
            </w:hyperlink>
          </w:p>
        </w:tc>
      </w:tr>
      <w:tr>
        <w:trPr>
          <w:tblHeader w:val="true"/>
          <w:cantSplit w:val="true"/>
        </w:trPr>
        <w:tc>
          <w:tcPr>
            <w:tcW w:w="562"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center"/>
              <w:textAlignment w:val="baseline"/>
              <w:rPr>
                <w:lang w:eastAsia="ru-RU"/>
              </w:rPr>
            </w:pPr>
            <w:r>
              <w:rPr>
                <w:lang w:eastAsia="ru-RU"/>
              </w:rPr>
              <w:t>7</w:t>
            </w:r>
          </w:p>
        </w:tc>
        <w:tc>
          <w:tcPr>
            <w:tcW w:w="169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Государственный Контракт 007-2024</w:t>
            </w:r>
          </w:p>
        </w:tc>
        <w:tc>
          <w:tcPr>
            <w:tcW w:w="5109"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lang w:eastAsia="ru-RU"/>
              </w:rPr>
            </w:pPr>
            <w:r>
              <w:rPr>
                <w:lang w:eastAsia="ru-RU"/>
              </w:rPr>
              <w:t>Оказание услуг по сопровождению Системы автоматического сбора данных в целях управления энергосбережением на объектах Московской области, в том числе интеграционного сегмента для подключения автоматизированных систем ресурсоснабжающих организаций</w:t>
            </w:r>
          </w:p>
        </w:tc>
        <w:tc>
          <w:tcPr>
            <w:tcW w:w="283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5670" w:leader="none"/>
              </w:tabs>
              <w:spacing w:lineRule="auto" w:line="240" w:before="0" w:after="160"/>
              <w:ind w:hanging="0" w:start="0"/>
              <w:jc w:val="start"/>
              <w:textAlignment w:val="baseline"/>
              <w:rPr>
                <w:rFonts w:eastAsia="Calibri"/>
              </w:rPr>
            </w:pPr>
            <w:hyperlink r:id="rId11">
              <w:r>
                <w:rPr>
                  <w:rStyle w:val="Hyperlink"/>
                  <w:rFonts w:eastAsia="Calibri"/>
                </w:rPr>
                <w:t>https://zakupki.gov.ru/epz/contract/search/results.html?searchString=&amp;orderNumber=0148200000423000002&amp;openMode=USE_DEFAULT_PARAMS&amp;fz44=on&amp;priceFrom=0&amp;priceTo=200000000000&amp;contractStageList=0%2C1%2C2%2C3&amp;budgetaryFunds=on&amp;extraBudgetaryFunds=on</w:t>
              </w:r>
            </w:hyperlink>
          </w:p>
        </w:tc>
      </w:tr>
    </w:tbl>
    <w:p>
      <w:pPr>
        <w:pStyle w:val="Style44"/>
        <w:spacing w:lineRule="auto" w:line="240" w:before="0" w:after="120"/>
        <w:contextualSpacing w:val="false"/>
        <w:rPr/>
      </w:pPr>
      <w:r>
        <w:rPr/>
      </w:r>
    </w:p>
    <w:p>
      <w:pPr>
        <w:pStyle w:val="33"/>
        <w:spacing w:lineRule="auto" w:line="240" w:before="0" w:after="0"/>
        <w:ind w:firstLine="709" w:start="0"/>
        <w:rPr>
          <w:rFonts w:ascii="Times New Roman" w:hAnsi="Times New Roman"/>
        </w:rPr>
      </w:pPr>
      <w:bookmarkStart w:id="57" w:name="__RefHeading___Toc33504_3559854210"/>
      <w:bookmarkStart w:id="58" w:name="_Hlk177393767"/>
      <w:bookmarkStart w:id="59" w:name="_Toc215755870"/>
      <w:bookmarkStart w:id="60" w:name="_Toc177129070"/>
      <w:bookmarkEnd w:id="57"/>
      <w:r>
        <w:rPr>
          <w:rFonts w:ascii="Times New Roman" w:hAnsi="Times New Roman"/>
        </w:rPr>
        <w:t>Пользователи системы</w:t>
      </w:r>
      <w:bookmarkEnd w:id="59"/>
      <w:bookmarkEnd w:id="60"/>
    </w:p>
    <w:p>
      <w:pPr>
        <w:pStyle w:val="Style44"/>
        <w:spacing w:lineRule="auto" w:line="240" w:before="240" w:after="0"/>
        <w:contextualSpacing/>
        <w:rPr/>
      </w:pPr>
      <w:r>
        <w:rPr/>
        <w:t>Категории пользователей Системы и количество пользователей данных категорий приведено в (</w:t>
      </w:r>
      <w:r>
        <w:rPr/>
        <w:fldChar w:fldCharType="begin"/>
      </w:r>
      <w:r>
        <w:rPr/>
        <w:instrText xml:space="preserve"> REF _Ref192511998 \h </w:instrText>
      </w:r>
      <w:r>
        <w:rPr/>
        <w:fldChar w:fldCharType="separate"/>
      </w:r>
      <w:r>
        <w:rPr/>
        <w:t>Таблица 7</w:t>
      </w:r>
      <w:r>
        <w:rPr/>
        <w:fldChar w:fldCharType="end"/>
      </w:r>
      <w:r>
        <w:rPr/>
        <w:t>).</w:t>
      </w:r>
    </w:p>
    <w:p>
      <w:pPr>
        <w:pStyle w:val="Style53"/>
        <w:rPr/>
      </w:pPr>
      <w:bookmarkStart w:id="61" w:name="_Ref192511998"/>
      <w:r>
        <w:rPr/>
        <w:t xml:space="preserve">Таблица </w:t>
      </w:r>
      <w:r>
        <w:rPr/>
        <w:fldChar w:fldCharType="begin"/>
      </w:r>
      <w:r>
        <w:rPr/>
        <w:instrText xml:space="preserve"> SEQ Таблица \* ARABIC </w:instrText>
      </w:r>
      <w:r>
        <w:rPr/>
        <w:fldChar w:fldCharType="separate"/>
      </w:r>
      <w:r>
        <w:rPr/>
        <w:t>7</w:t>
      </w:r>
      <w:r>
        <w:rPr/>
        <w:fldChar w:fldCharType="end"/>
      </w:r>
      <w:bookmarkEnd w:id="61"/>
      <w:r>
        <w:rPr/>
        <w:t xml:space="preserve"> – Категории пользователей Системы.</w:t>
      </w:r>
      <w:bookmarkEnd w:id="58"/>
    </w:p>
    <w:tbl>
      <w:tblPr>
        <w:tblW w:w="10198"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653"/>
        <w:gridCol w:w="4426"/>
        <w:gridCol w:w="1705"/>
        <w:gridCol w:w="1705"/>
        <w:gridCol w:w="1709"/>
      </w:tblGrid>
      <w:tr>
        <w:trPr/>
        <w:tc>
          <w:tcPr>
            <w:tcW w:w="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b/>
                <w:sz w:val="28"/>
                <w:lang w:eastAsia="ru-RU"/>
              </w:rPr>
              <w:t xml:space="preserve">№ </w:t>
            </w:r>
            <w:r>
              <w:rPr>
                <w:rFonts w:eastAsia="Calibri"/>
                <w:b/>
                <w:sz w:val="28"/>
                <w:lang w:eastAsia="ru-RU"/>
              </w:rPr>
              <w:t>п</w:t>
            </w:r>
            <w:r>
              <w:rPr>
                <w:rFonts w:eastAsia="Calibri"/>
                <w:b/>
                <w:sz w:val="28"/>
                <w:lang w:val="en-US" w:eastAsia="ru-RU"/>
              </w:rPr>
              <w:t>/п</w:t>
            </w:r>
          </w:p>
        </w:tc>
        <w:tc>
          <w:tcPr>
            <w:tcW w:w="44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b/>
                <w:sz w:val="28"/>
                <w:lang w:eastAsia="ru-RU"/>
              </w:rPr>
              <w:t>Наименование категории пользователей</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b/>
                <w:sz w:val="28"/>
                <w:lang w:eastAsia="ru-RU"/>
              </w:rPr>
              <w:t>2025 год</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b/>
                <w:sz w:val="28"/>
                <w:lang w:eastAsia="ru-RU"/>
              </w:rPr>
              <w:t>202</w:t>
            </w:r>
            <w:r>
              <w:rPr>
                <w:rFonts w:eastAsia="Calibri"/>
                <w:b/>
                <w:sz w:val="28"/>
                <w:lang w:val="en-US" w:eastAsia="ru-RU"/>
              </w:rPr>
              <w:t>6</w:t>
            </w:r>
            <w:r>
              <w:rPr>
                <w:rFonts w:eastAsia="Calibri"/>
                <w:b/>
                <w:sz w:val="28"/>
                <w:lang w:eastAsia="ru-RU"/>
              </w:rPr>
              <w:t xml:space="preserve"> год</w:t>
            </w:r>
          </w:p>
        </w:tc>
        <w:tc>
          <w:tcPr>
            <w:tcW w:w="17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b/>
                <w:sz w:val="28"/>
                <w:lang w:eastAsia="ru-RU"/>
              </w:rPr>
              <w:t>202</w:t>
            </w:r>
            <w:r>
              <w:rPr>
                <w:rFonts w:eastAsia="Calibri"/>
                <w:b/>
                <w:sz w:val="28"/>
                <w:lang w:val="en-US" w:eastAsia="ru-RU"/>
              </w:rPr>
              <w:t xml:space="preserve">7 </w:t>
            </w:r>
            <w:r>
              <w:rPr>
                <w:rFonts w:eastAsia="Calibri"/>
                <w:b/>
                <w:sz w:val="28"/>
                <w:lang w:eastAsia="ru-RU"/>
              </w:rPr>
              <w:t>год</w:t>
            </w:r>
          </w:p>
        </w:tc>
      </w:tr>
      <w:tr>
        <w:trPr/>
        <w:tc>
          <w:tcPr>
            <w:tcW w:w="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sz w:val="28"/>
                <w:lang w:eastAsia="ru-RU"/>
              </w:rPr>
              <w:t>1</w:t>
            </w:r>
          </w:p>
        </w:tc>
        <w:tc>
          <w:tcPr>
            <w:tcW w:w="44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sz w:val="24"/>
                <w:szCs w:val="24"/>
              </w:rPr>
              <w:t>Министерство энергетики Московской области</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10</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10</w:t>
            </w:r>
          </w:p>
        </w:tc>
        <w:tc>
          <w:tcPr>
            <w:tcW w:w="17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10</w:t>
            </w:r>
          </w:p>
        </w:tc>
      </w:tr>
      <w:tr>
        <w:trPr/>
        <w:tc>
          <w:tcPr>
            <w:tcW w:w="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sz w:val="28"/>
                <w:lang w:eastAsia="ru-RU"/>
              </w:rPr>
              <w:t>2</w:t>
            </w:r>
          </w:p>
        </w:tc>
        <w:tc>
          <w:tcPr>
            <w:tcW w:w="44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sz w:val="24"/>
                <w:szCs w:val="24"/>
              </w:rPr>
              <w:t>Центральные исполнительные органы государственной власти Московской области (ЦИОГВ МО)</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65</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65</w:t>
            </w:r>
          </w:p>
        </w:tc>
        <w:tc>
          <w:tcPr>
            <w:tcW w:w="17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65</w:t>
            </w:r>
          </w:p>
        </w:tc>
      </w:tr>
      <w:tr>
        <w:trPr/>
        <w:tc>
          <w:tcPr>
            <w:tcW w:w="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sz w:val="28"/>
                <w:lang w:eastAsia="ru-RU"/>
              </w:rPr>
              <w:t>3</w:t>
            </w:r>
          </w:p>
        </w:tc>
        <w:tc>
          <w:tcPr>
            <w:tcW w:w="442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5670" w:leader="none"/>
              </w:tabs>
              <w:spacing w:before="0" w:after="0"/>
              <w:ind w:firstLine="5" w:start="0"/>
              <w:jc w:val="center"/>
              <w:rPr/>
            </w:pPr>
            <w:r>
              <w:rPr>
                <w:rFonts w:eastAsia="Calibri"/>
                <w:sz w:val="24"/>
                <w:szCs w:val="24"/>
              </w:rPr>
              <w:t>Организации, находящиеся в ведении ЦИОГВ МО</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742</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742</w:t>
            </w:r>
          </w:p>
        </w:tc>
        <w:tc>
          <w:tcPr>
            <w:tcW w:w="17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742</w:t>
            </w:r>
          </w:p>
        </w:tc>
      </w:tr>
      <w:tr>
        <w:trPr/>
        <w:tc>
          <w:tcPr>
            <w:tcW w:w="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sz w:val="28"/>
                <w:lang w:eastAsia="ru-RU"/>
              </w:rPr>
              <w:t>4</w:t>
            </w:r>
          </w:p>
        </w:tc>
        <w:tc>
          <w:tcPr>
            <w:tcW w:w="44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sz w:val="24"/>
                <w:szCs w:val="24"/>
              </w:rPr>
              <w:t>Органы местного самоуправления муниципальных образований Московской области</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102</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102</w:t>
            </w:r>
          </w:p>
        </w:tc>
        <w:tc>
          <w:tcPr>
            <w:tcW w:w="17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102</w:t>
            </w:r>
          </w:p>
        </w:tc>
      </w:tr>
      <w:tr>
        <w:trPr/>
        <w:tc>
          <w:tcPr>
            <w:tcW w:w="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sz w:val="28"/>
                <w:lang w:eastAsia="ru-RU"/>
              </w:rPr>
              <w:t>5</w:t>
            </w:r>
          </w:p>
        </w:tc>
        <w:tc>
          <w:tcPr>
            <w:tcW w:w="44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sz w:val="24"/>
                <w:szCs w:val="24"/>
              </w:rPr>
              <w:t>Организации, находящиеся в ведении ОМСУ Московской области</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5260</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5260</w:t>
            </w:r>
          </w:p>
        </w:tc>
        <w:tc>
          <w:tcPr>
            <w:tcW w:w="17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Calibri"/>
                <w:color w:val="000000"/>
                <w:sz w:val="24"/>
                <w:szCs w:val="24"/>
              </w:rPr>
              <w:t>5260</w:t>
            </w:r>
          </w:p>
        </w:tc>
      </w:tr>
    </w:tbl>
    <w:p>
      <w:pPr>
        <w:pStyle w:val="Style44"/>
        <w:spacing w:lineRule="auto" w:line="240"/>
        <w:rPr>
          <w:szCs w:val="24"/>
        </w:rPr>
      </w:pPr>
      <w:r>
        <w:rPr>
          <w:szCs w:val="24"/>
        </w:rPr>
      </w:r>
    </w:p>
    <w:p>
      <w:pPr>
        <w:pStyle w:val="33"/>
        <w:spacing w:lineRule="auto" w:line="240" w:before="0" w:after="0"/>
        <w:ind w:firstLine="709" w:start="0"/>
        <w:rPr>
          <w:rFonts w:ascii="Times New Roman" w:hAnsi="Times New Roman"/>
          <w:szCs w:val="24"/>
        </w:rPr>
      </w:pPr>
      <w:bookmarkStart w:id="62" w:name="__RefHeading___Toc33506_3559854210"/>
      <w:bookmarkStart w:id="63" w:name="_Toc215755871"/>
      <w:bookmarkStart w:id="64" w:name="_Toc177129071"/>
      <w:bookmarkEnd w:id="62"/>
      <w:r>
        <w:rPr>
          <w:rFonts w:ascii="Times New Roman" w:hAnsi="Times New Roman"/>
          <w:szCs w:val="24"/>
        </w:rPr>
        <w:t>Функциональная схема деления Системы</w:t>
      </w:r>
      <w:bookmarkEnd w:id="63"/>
      <w:bookmarkEnd w:id="64"/>
    </w:p>
    <w:p>
      <w:pPr>
        <w:pStyle w:val="Style44"/>
        <w:spacing w:lineRule="auto" w:line="240" w:before="240" w:after="0"/>
        <w:contextualSpacing/>
        <w:rPr>
          <w:szCs w:val="24"/>
        </w:rPr>
      </w:pPr>
      <w:r>
        <w:rPr>
          <w:szCs w:val="24"/>
        </w:rPr>
        <w:t>Система состоит из следующих подсистем и модулей (см. рисунок 1):</w:t>
      </w:r>
    </w:p>
    <w:p>
      <w:pPr>
        <w:pStyle w:val="Style44"/>
        <w:spacing w:lineRule="auto" w:line="240"/>
        <w:rPr>
          <w:szCs w:val="24"/>
        </w:rPr>
      </w:pPr>
      <w:r>
        <w:rPr/>
        <w:drawing>
          <wp:inline distT="0" distB="0" distL="0" distR="0">
            <wp:extent cx="5492115" cy="39090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2"/>
                    <a:stretch>
                      <a:fillRect/>
                    </a:stretch>
                  </pic:blipFill>
                  <pic:spPr bwMode="auto">
                    <a:xfrm>
                      <a:off x="0" y="0"/>
                      <a:ext cx="5492115" cy="3909060"/>
                    </a:xfrm>
                    <a:prstGeom prst="rect">
                      <a:avLst/>
                    </a:prstGeom>
                    <a:noFill/>
                  </pic:spPr>
                </pic:pic>
              </a:graphicData>
            </a:graphic>
          </wp:inline>
        </w:drawing>
      </w:r>
    </w:p>
    <w:p>
      <w:pPr>
        <w:pStyle w:val="Style44"/>
        <w:spacing w:lineRule="auto" w:line="240"/>
        <w:rPr>
          <w:szCs w:val="24"/>
        </w:rPr>
      </w:pPr>
      <w:r>
        <w:rPr>
          <w:szCs w:val="24"/>
        </w:rPr>
      </w:r>
    </w:p>
    <w:p>
      <w:pPr>
        <w:pStyle w:val="Style44"/>
        <w:spacing w:lineRule="auto" w:line="240"/>
        <w:jc w:val="center"/>
        <w:rPr>
          <w:szCs w:val="24"/>
        </w:rPr>
      </w:pPr>
      <w:bookmarkStart w:id="65" w:name="_Hlk177394480"/>
      <w:r>
        <w:rPr>
          <w:szCs w:val="24"/>
        </w:rPr>
        <w:t>Рисунок 1 – Функциональная схема деления Системы.</w:t>
      </w:r>
      <w:bookmarkEnd w:id="65"/>
    </w:p>
    <w:p>
      <w:pPr>
        <w:pStyle w:val="Style44"/>
        <w:spacing w:lineRule="auto" w:line="240"/>
        <w:ind w:hanging="0"/>
        <w:rPr>
          <w:szCs w:val="24"/>
        </w:rPr>
      </w:pPr>
      <w:r>
        <w:rPr>
          <w:szCs w:val="24"/>
        </w:rPr>
      </w:r>
    </w:p>
    <w:p>
      <w:pPr>
        <w:pStyle w:val="33"/>
        <w:tabs>
          <w:tab w:val="clear" w:pos="1560"/>
        </w:tabs>
        <w:spacing w:lineRule="auto" w:line="240" w:before="0" w:after="0"/>
        <w:ind w:firstLine="709" w:start="0"/>
        <w:rPr>
          <w:rFonts w:ascii="Times New Roman" w:hAnsi="Times New Roman"/>
          <w:szCs w:val="24"/>
        </w:rPr>
      </w:pPr>
      <w:bookmarkStart w:id="66" w:name="__RefHeading___Toc33508_3559854210"/>
      <w:bookmarkStart w:id="67" w:name="_Hlk177394533"/>
      <w:bookmarkStart w:id="68" w:name="_Toc215755872"/>
      <w:bookmarkStart w:id="69" w:name="_Toc177129072"/>
      <w:bookmarkEnd w:id="66"/>
      <w:r>
        <w:rPr>
          <w:rFonts w:ascii="Times New Roman" w:hAnsi="Times New Roman"/>
          <w:szCs w:val="24"/>
        </w:rPr>
        <w:t>Состав функциональных частей Системы (подсистем, модулей и др.)</w:t>
      </w:r>
      <w:bookmarkEnd w:id="68"/>
      <w:bookmarkEnd w:id="69"/>
    </w:p>
    <w:p>
      <w:pPr>
        <w:pStyle w:val="Style44"/>
        <w:spacing w:lineRule="auto" w:line="240" w:before="240" w:after="0"/>
        <w:contextualSpacing/>
        <w:rPr>
          <w:szCs w:val="24"/>
        </w:rPr>
      </w:pPr>
      <w:r>
        <w:rPr>
          <w:szCs w:val="24"/>
        </w:rPr>
        <w:t>Состав функциональных частей Системы (подсистем, модулей и др.) и их функций приведен в (</w:t>
      </w:r>
      <w:r>
        <w:rPr>
          <w:szCs w:val="24"/>
        </w:rPr>
        <w:fldChar w:fldCharType="begin"/>
      </w:r>
      <w:r>
        <w:rPr>
          <w:szCs w:val="24"/>
        </w:rPr>
        <w:instrText xml:space="preserve"> REF _Ref192512194 \h </w:instrText>
      </w:r>
      <w:r>
        <w:rPr>
          <w:szCs w:val="24"/>
        </w:rPr>
        <w:fldChar w:fldCharType="separate"/>
      </w:r>
      <w:r>
        <w:rPr>
          <w:szCs w:val="24"/>
        </w:rPr>
        <w:t>Таблица 8</w:t>
      </w:r>
      <w:r>
        <w:rPr>
          <w:szCs w:val="24"/>
        </w:rPr>
        <w:fldChar w:fldCharType="end"/>
      </w:r>
      <w:r>
        <w:rPr>
          <w:szCs w:val="24"/>
        </w:rPr>
        <w:t>).</w:t>
      </w:r>
    </w:p>
    <w:p>
      <w:pPr>
        <w:pStyle w:val="Style53"/>
        <w:rPr/>
      </w:pPr>
      <w:bookmarkStart w:id="70" w:name="_Ref192512194"/>
      <w:r>
        <w:rPr/>
        <w:t xml:space="preserve">Таблица </w:t>
      </w:r>
      <w:r>
        <w:rPr/>
        <w:fldChar w:fldCharType="begin"/>
      </w:r>
      <w:r>
        <w:rPr/>
        <w:instrText xml:space="preserve"> SEQ Таблица \* ARABIC </w:instrText>
      </w:r>
      <w:r>
        <w:rPr/>
        <w:fldChar w:fldCharType="separate"/>
      </w:r>
      <w:r>
        <w:rPr/>
        <w:t>8</w:t>
      </w:r>
      <w:r>
        <w:rPr/>
        <w:fldChar w:fldCharType="end"/>
      </w:r>
      <w:bookmarkEnd w:id="70"/>
      <w:r>
        <w:rPr/>
        <w:t xml:space="preserve"> – Перечень функциональных частей Системы и их функций.</w:t>
      </w:r>
      <w:bookmarkEnd w:id="67"/>
    </w:p>
    <w:tbl>
      <w:tblPr>
        <w:tblW w:w="9747"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675"/>
        <w:gridCol w:w="2552"/>
        <w:gridCol w:w="6520"/>
      </w:tblGrid>
      <w:tr>
        <w:trPr>
          <w:trHeight w:val="543" w:hRule="atLeast"/>
        </w:trPr>
        <w:tc>
          <w:tcPr>
            <w:tcW w:w="6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hanging="0" w:start="0"/>
              <w:rPr>
                <w:rFonts w:eastAsia="Calibri"/>
                <w:b/>
              </w:rPr>
            </w:pPr>
            <w:r>
              <w:rPr>
                <w:rFonts w:eastAsia="Calibri"/>
                <w:b/>
              </w:rPr>
              <w:t xml:space="preserve">№ </w:t>
            </w:r>
            <w:r>
              <w:rPr>
                <w:rFonts w:eastAsia="Calibri"/>
                <w:b/>
              </w:rPr>
              <w:t>п/п</w:t>
            </w:r>
          </w:p>
        </w:tc>
        <w:tc>
          <w:tcPr>
            <w:tcW w:w="255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hanging="0" w:start="0"/>
              <w:jc w:val="center"/>
              <w:rPr>
                <w:rFonts w:eastAsia="Calibri"/>
                <w:b/>
              </w:rPr>
            </w:pPr>
            <w:r>
              <w:rPr>
                <w:rFonts w:eastAsia="Calibri"/>
                <w:b/>
              </w:rPr>
              <w:t>Функциональная подсистема</w:t>
            </w:r>
          </w:p>
        </w:tc>
        <w:tc>
          <w:tcPr>
            <w:tcW w:w="65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709" w:start="0"/>
              <w:jc w:val="center"/>
              <w:rPr>
                <w:rFonts w:eastAsia="Calibri"/>
                <w:b/>
              </w:rPr>
            </w:pPr>
            <w:r>
              <w:rPr>
                <w:rFonts w:eastAsia="Calibri"/>
                <w:b/>
              </w:rPr>
              <w:t>Функции подсистемы</w:t>
            </w:r>
          </w:p>
        </w:tc>
      </w:tr>
      <w:tr>
        <w:trPr>
          <w:trHeight w:val="436" w:hRule="atLeast"/>
        </w:trPr>
        <w:tc>
          <w:tcPr>
            <w:tcW w:w="6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709" w:start="0"/>
              <w:rPr>
                <w:rFonts w:eastAsia="Calibri"/>
              </w:rPr>
            </w:pPr>
            <w:r>
              <w:rPr>
                <w:rFonts w:eastAsia="Calibri"/>
              </w:rPr>
            </w:r>
          </w:p>
        </w:tc>
        <w:tc>
          <w:tcPr>
            <w:tcW w:w="25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709" w:start="0"/>
              <w:rPr>
                <w:rFonts w:eastAsia="Calibri"/>
              </w:rPr>
            </w:pPr>
            <w:r>
              <w:rPr>
                <w:rFonts w:eastAsia="Calibri"/>
              </w:rPr>
            </w:r>
          </w:p>
        </w:tc>
        <w:tc>
          <w:tcPr>
            <w:tcW w:w="65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40" w:before="0" w:after="0"/>
              <w:ind w:firstLine="709" w:start="0"/>
              <w:rPr>
                <w:rFonts w:eastAsia="Calibri"/>
              </w:rPr>
            </w:pPr>
            <w:r>
              <w:rPr>
                <w:rFonts w:eastAsia="Calibri"/>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142" w:start="0"/>
              <w:rPr>
                <w:rFonts w:eastAsia="Calibri"/>
              </w:rPr>
            </w:pPr>
            <w:r>
              <w:rPr>
                <w:rFonts w:eastAsia="Calibri"/>
              </w:rPr>
              <w:t>1</w:t>
            </w:r>
          </w:p>
        </w:tc>
        <w:tc>
          <w:tcPr>
            <w:tcW w:w="255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35" w:start="0"/>
              <w:rPr>
                <w:rFonts w:eastAsia="Calibri"/>
              </w:rPr>
            </w:pPr>
            <w:r>
              <w:rPr>
                <w:rFonts w:eastAsia="Calibri"/>
              </w:rPr>
              <w:t>Подсистема Мониторинга энергоэффективности</w:t>
            </w:r>
          </w:p>
        </w:tc>
        <w:tc>
          <w:tcPr>
            <w:tcW w:w="6520"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9"/>
              </w:numPr>
              <w:spacing w:lineRule="auto" w:line="240" w:before="0" w:after="0"/>
              <w:rPr>
                <w:rFonts w:eastAsia="Calibri"/>
              </w:rPr>
            </w:pPr>
            <w:r>
              <w:rPr>
                <w:rFonts w:eastAsia="Calibri"/>
              </w:rPr>
              <w:t>Функциональный модуль «Бюджетные учреждения», включающий следующий функционал:</w:t>
            </w:r>
          </w:p>
          <w:p>
            <w:pPr>
              <w:pStyle w:val="Normal"/>
              <w:widowControl w:val="false"/>
              <w:numPr>
                <w:ilvl w:val="1"/>
                <w:numId w:val="29"/>
              </w:numPr>
              <w:spacing w:lineRule="auto" w:line="240" w:before="0" w:after="0"/>
              <w:rPr>
                <w:rFonts w:eastAsia="Calibri"/>
              </w:rPr>
            </w:pPr>
            <w:r>
              <w:rPr>
                <w:rFonts w:eastAsia="Calibri"/>
              </w:rPr>
              <w:t>функции ведения деклараций энергоэффективности учреждений;</w:t>
            </w:r>
          </w:p>
          <w:p>
            <w:pPr>
              <w:pStyle w:val="Normal"/>
              <w:widowControl w:val="false"/>
              <w:numPr>
                <w:ilvl w:val="1"/>
                <w:numId w:val="29"/>
              </w:numPr>
              <w:spacing w:lineRule="auto" w:line="240" w:before="0" w:after="0"/>
              <w:rPr>
                <w:rFonts w:eastAsia="Calibri"/>
              </w:rPr>
            </w:pPr>
            <w:r>
              <w:rPr>
                <w:rFonts w:eastAsia="Calibri"/>
              </w:rPr>
              <w:t>функции ведения паспортов зданий;</w:t>
            </w:r>
          </w:p>
          <w:p>
            <w:pPr>
              <w:pStyle w:val="Normal"/>
              <w:widowControl w:val="false"/>
              <w:numPr>
                <w:ilvl w:val="1"/>
                <w:numId w:val="29"/>
              </w:numPr>
              <w:spacing w:lineRule="auto" w:line="240" w:before="0" w:after="0"/>
              <w:rPr>
                <w:rFonts w:eastAsia="Calibri"/>
              </w:rPr>
            </w:pPr>
            <w:r>
              <w:rPr>
                <w:rFonts w:eastAsia="Calibri"/>
              </w:rPr>
              <w:t>функции вычисления класса энергоэффективности;</w:t>
            </w:r>
          </w:p>
          <w:p>
            <w:pPr>
              <w:pStyle w:val="Normal"/>
              <w:widowControl w:val="false"/>
              <w:numPr>
                <w:ilvl w:val="1"/>
                <w:numId w:val="29"/>
              </w:numPr>
              <w:spacing w:lineRule="auto" w:line="240" w:before="0" w:after="0"/>
              <w:rPr>
                <w:rFonts w:eastAsia="Calibri"/>
              </w:rPr>
            </w:pPr>
            <w:r>
              <w:rPr>
                <w:rFonts w:eastAsia="Calibri"/>
              </w:rPr>
              <w:t>формирования и ведения программ повышения энергоэффективности;</w:t>
            </w:r>
          </w:p>
          <w:p>
            <w:pPr>
              <w:pStyle w:val="Normal"/>
              <w:widowControl w:val="false"/>
              <w:numPr>
                <w:ilvl w:val="1"/>
                <w:numId w:val="29"/>
              </w:numPr>
              <w:spacing w:lineRule="auto" w:line="240" w:before="0" w:after="0"/>
              <w:rPr>
                <w:rFonts w:eastAsia="Calibri"/>
              </w:rPr>
            </w:pPr>
            <w:r>
              <w:rPr>
                <w:rFonts w:eastAsia="Calibri"/>
              </w:rPr>
              <w:t>экспертной системы по формированию рекомендованных мероприятий;</w:t>
            </w:r>
          </w:p>
          <w:p>
            <w:pPr>
              <w:pStyle w:val="Normal"/>
              <w:widowControl w:val="false"/>
              <w:numPr>
                <w:ilvl w:val="1"/>
                <w:numId w:val="29"/>
              </w:numPr>
              <w:spacing w:lineRule="auto" w:line="240" w:before="0" w:after="0"/>
              <w:rPr>
                <w:rFonts w:eastAsia="Calibri"/>
              </w:rPr>
            </w:pPr>
            <w:r>
              <w:rPr>
                <w:rFonts w:eastAsia="Calibri"/>
              </w:rPr>
              <w:t>функции расчета прогноза значений показателей по рекомендуемым мероприятиям и мероприятиям плана энергоэффективности.</w:t>
            </w:r>
          </w:p>
          <w:p>
            <w:pPr>
              <w:pStyle w:val="Normal"/>
              <w:widowControl w:val="false"/>
              <w:numPr>
                <w:ilvl w:val="0"/>
                <w:numId w:val="29"/>
              </w:numPr>
              <w:spacing w:lineRule="auto" w:line="240" w:before="0" w:after="0"/>
              <w:rPr>
                <w:rFonts w:eastAsia="Calibri"/>
              </w:rPr>
            </w:pPr>
            <w:r>
              <w:rPr>
                <w:rFonts w:eastAsia="Calibri"/>
              </w:rPr>
              <w:t>Функциональный модуль «Жилищный фонд», включающий следующий функционал:</w:t>
            </w:r>
          </w:p>
          <w:p>
            <w:pPr>
              <w:pStyle w:val="Normal"/>
              <w:widowControl w:val="false"/>
              <w:numPr>
                <w:ilvl w:val="1"/>
                <w:numId w:val="29"/>
              </w:numPr>
              <w:spacing w:lineRule="auto" w:line="240" w:before="0" w:after="0"/>
              <w:rPr>
                <w:rFonts w:eastAsia="Calibri"/>
              </w:rPr>
            </w:pPr>
            <w:r>
              <w:rPr>
                <w:rFonts w:eastAsia="Calibri"/>
              </w:rPr>
              <w:t>реестра паспортов многоквартирных домов;</w:t>
            </w:r>
          </w:p>
          <w:p>
            <w:pPr>
              <w:pStyle w:val="Normal"/>
              <w:widowControl w:val="false"/>
              <w:numPr>
                <w:ilvl w:val="1"/>
                <w:numId w:val="29"/>
              </w:numPr>
              <w:spacing w:lineRule="auto" w:line="240" w:before="0" w:after="0"/>
              <w:rPr>
                <w:rFonts w:eastAsia="Calibri"/>
              </w:rPr>
            </w:pPr>
            <w:r>
              <w:rPr>
                <w:rFonts w:eastAsia="Calibri"/>
              </w:rPr>
              <w:t>формирования энергетической декларации многоквартирного дома;</w:t>
            </w:r>
          </w:p>
          <w:p>
            <w:pPr>
              <w:pStyle w:val="Normal"/>
              <w:widowControl w:val="false"/>
              <w:numPr>
                <w:ilvl w:val="1"/>
                <w:numId w:val="29"/>
              </w:numPr>
              <w:spacing w:lineRule="auto" w:line="240" w:before="0" w:after="0"/>
              <w:rPr>
                <w:rFonts w:eastAsia="Calibri"/>
              </w:rPr>
            </w:pPr>
            <w:r>
              <w:rPr>
                <w:rFonts w:eastAsia="Calibri"/>
              </w:rPr>
              <w:t>функции вычисления класса энергоэффективности на основе данных паспорта МКД и фактических данных показаний приборов учета в соответствии с приказом Минстроя России от 6 июня 2016 года № 399/пр «Об утверждении Правил определения класса энергетической эффективности многоквартирных домов»;</w:t>
            </w:r>
          </w:p>
          <w:p>
            <w:pPr>
              <w:pStyle w:val="Normal"/>
              <w:widowControl w:val="false"/>
              <w:numPr>
                <w:ilvl w:val="1"/>
                <w:numId w:val="29"/>
              </w:numPr>
              <w:spacing w:lineRule="auto" w:line="240" w:before="0" w:after="0"/>
              <w:rPr>
                <w:rFonts w:eastAsia="Calibri"/>
              </w:rPr>
            </w:pPr>
            <w:r>
              <w:rPr>
                <w:rFonts w:eastAsia="Calibri"/>
              </w:rPr>
              <w:t>предоставления информации о региональной программе Московской области «Проведение капитального ремонта общего имущества в многоквартирных домах, расположенных на территории Московской области, на 2014-2038 годы;</w:t>
            </w:r>
          </w:p>
          <w:p>
            <w:pPr>
              <w:pStyle w:val="Normal"/>
              <w:widowControl w:val="false"/>
              <w:numPr>
                <w:ilvl w:val="1"/>
                <w:numId w:val="29"/>
              </w:numPr>
              <w:spacing w:lineRule="auto" w:line="240" w:before="0" w:after="0"/>
              <w:rPr>
                <w:rFonts w:eastAsia="Calibri"/>
              </w:rPr>
            </w:pPr>
            <w:r>
              <w:rPr>
                <w:rFonts w:eastAsia="Calibri"/>
              </w:rPr>
              <w:t>предоставления информации о краткосрочных планах реализации региональной программы Московской области по проведению капитального ремонта общего имущества в многоквартирных домах, расположенных на территории Московской области;</w:t>
            </w:r>
          </w:p>
          <w:p>
            <w:pPr>
              <w:pStyle w:val="Normal"/>
              <w:widowControl w:val="false"/>
              <w:numPr>
                <w:ilvl w:val="0"/>
                <w:numId w:val="29"/>
              </w:numPr>
              <w:spacing w:lineRule="auto" w:line="240" w:before="0" w:after="0"/>
              <w:rPr>
                <w:rFonts w:eastAsia="Calibri"/>
              </w:rPr>
            </w:pPr>
            <w:r>
              <w:rPr>
                <w:rFonts w:eastAsia="Calibri"/>
              </w:rPr>
              <w:t>формирование типовых помесячных профилей потребления энергии и воды для типовых Объектов в зависимости от влияния основных факторов;</w:t>
            </w:r>
          </w:p>
          <w:p>
            <w:pPr>
              <w:pStyle w:val="Normal"/>
              <w:widowControl w:val="false"/>
              <w:numPr>
                <w:ilvl w:val="0"/>
                <w:numId w:val="29"/>
              </w:numPr>
              <w:spacing w:lineRule="auto" w:line="240" w:before="0" w:after="0"/>
              <w:rPr>
                <w:rFonts w:eastAsia="Calibri"/>
              </w:rPr>
            </w:pPr>
            <w:r>
              <w:rPr>
                <w:rFonts w:eastAsia="Calibri"/>
              </w:rPr>
              <w:t>формирование типовых профилей потребления энергии Объектов на год вперед посуточно – базовая линия.</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142" w:start="0"/>
              <w:rPr>
                <w:rFonts w:eastAsia="Calibri"/>
              </w:rPr>
            </w:pPr>
            <w:r>
              <w:rPr>
                <w:rFonts w:eastAsia="Calibri"/>
              </w:rPr>
              <w:t>2</w:t>
            </w:r>
          </w:p>
        </w:tc>
        <w:tc>
          <w:tcPr>
            <w:tcW w:w="255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35" w:start="0"/>
              <w:rPr>
                <w:rFonts w:eastAsia="Calibri"/>
              </w:rPr>
            </w:pPr>
            <w:r>
              <w:rPr>
                <w:rFonts w:eastAsia="Calibri"/>
              </w:rPr>
              <w:t>Подсистема нормативно-справочной информации</w:t>
            </w:r>
          </w:p>
        </w:tc>
        <w:tc>
          <w:tcPr>
            <w:tcW w:w="6520"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9"/>
              </w:numPr>
              <w:spacing w:lineRule="auto" w:line="240" w:before="0" w:after="0"/>
              <w:rPr>
                <w:rFonts w:eastAsia="Calibri"/>
              </w:rPr>
            </w:pPr>
            <w:r>
              <w:rPr>
                <w:rFonts w:eastAsia="Calibri"/>
              </w:rPr>
              <w:t>обеспечена возможность использования единых федеральных справочников и классификаторов.</w:t>
            </w:r>
          </w:p>
          <w:p>
            <w:pPr>
              <w:pStyle w:val="Normal"/>
              <w:widowControl w:val="false"/>
              <w:numPr>
                <w:ilvl w:val="0"/>
                <w:numId w:val="29"/>
              </w:numPr>
              <w:spacing w:lineRule="auto" w:line="240" w:before="0" w:after="0"/>
              <w:rPr>
                <w:rFonts w:eastAsia="Calibri"/>
              </w:rPr>
            </w:pPr>
            <w:r>
              <w:rPr>
                <w:rFonts w:eastAsia="Calibri"/>
              </w:rPr>
              <w:t>предусмотрена возможность изменения содержимого справочников и классификаторов без простоев в функционировании Системы.</w:t>
            </w:r>
          </w:p>
          <w:p>
            <w:pPr>
              <w:pStyle w:val="Normal"/>
              <w:widowControl w:val="false"/>
              <w:numPr>
                <w:ilvl w:val="0"/>
                <w:numId w:val="29"/>
              </w:numPr>
              <w:spacing w:lineRule="auto" w:line="240" w:before="0" w:after="0"/>
              <w:rPr>
                <w:rFonts w:eastAsia="Calibri"/>
              </w:rPr>
            </w:pPr>
            <w:r>
              <w:rPr>
                <w:rFonts w:eastAsia="Calibri"/>
              </w:rPr>
              <w:t>предусмотрено хранение истории данных в справочниках Системы;</w:t>
            </w:r>
          </w:p>
          <w:p>
            <w:pPr>
              <w:pStyle w:val="Normal"/>
              <w:widowControl w:val="false"/>
              <w:numPr>
                <w:ilvl w:val="0"/>
                <w:numId w:val="29"/>
              </w:numPr>
              <w:spacing w:lineRule="auto" w:line="240" w:before="0" w:after="0"/>
              <w:rPr>
                <w:rFonts w:eastAsia="Calibri"/>
              </w:rPr>
            </w:pPr>
            <w:r>
              <w:rPr>
                <w:rFonts w:eastAsia="Calibri"/>
              </w:rPr>
              <w:t>загружен справочник организаций из ГИС «Энергоэффективность».</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142" w:start="0"/>
              <w:rPr>
                <w:rFonts w:eastAsia="Calibri"/>
              </w:rPr>
            </w:pPr>
            <w:r>
              <w:rPr>
                <w:rFonts w:eastAsia="Calibri"/>
              </w:rPr>
              <w:t>3</w:t>
            </w:r>
          </w:p>
        </w:tc>
        <w:tc>
          <w:tcPr>
            <w:tcW w:w="255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35" w:start="0"/>
              <w:rPr>
                <w:rFonts w:eastAsia="Calibri"/>
              </w:rPr>
            </w:pPr>
            <w:r>
              <w:rPr>
                <w:rFonts w:eastAsia="Calibri"/>
              </w:rPr>
              <w:t>Подсистема обмена данными с ЕИАС ЖКХ МО</w:t>
            </w:r>
          </w:p>
        </w:tc>
        <w:tc>
          <w:tcPr>
            <w:tcW w:w="6520"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9"/>
              </w:numPr>
              <w:spacing w:lineRule="auto" w:line="240" w:before="0" w:after="0"/>
              <w:rPr>
                <w:rFonts w:eastAsia="Calibri"/>
              </w:rPr>
            </w:pPr>
            <w:r>
              <w:rPr>
                <w:rFonts w:eastAsia="Calibri"/>
              </w:rPr>
              <w:t>Получение данных в Систему САСДУЭ МО из системы ЕИАС ЖКХ МО в части:</w:t>
            </w:r>
          </w:p>
          <w:p>
            <w:pPr>
              <w:pStyle w:val="Normal"/>
              <w:widowControl w:val="false"/>
              <w:numPr>
                <w:ilvl w:val="1"/>
                <w:numId w:val="29"/>
              </w:numPr>
              <w:spacing w:lineRule="auto" w:line="240" w:before="0" w:after="0"/>
              <w:rPr>
                <w:rFonts w:eastAsia="Calibri"/>
              </w:rPr>
            </w:pPr>
            <w:r>
              <w:rPr>
                <w:rFonts w:eastAsia="Calibri"/>
              </w:rPr>
              <w:t>информации об объемах потребления энергетических ресурсов, предоставленной ресурсоснабжающими организациями по жилищному фонду;</w:t>
            </w:r>
          </w:p>
          <w:p>
            <w:pPr>
              <w:pStyle w:val="Normal"/>
              <w:widowControl w:val="false"/>
              <w:numPr>
                <w:ilvl w:val="1"/>
                <w:numId w:val="29"/>
              </w:numPr>
              <w:spacing w:lineRule="auto" w:line="240" w:before="0" w:after="0"/>
              <w:rPr>
                <w:rFonts w:eastAsia="Calibri"/>
              </w:rPr>
            </w:pPr>
            <w:r>
              <w:rPr>
                <w:rFonts w:eastAsia="Calibri"/>
              </w:rPr>
              <w:t>паспортов многоквартирных домов в разрезе всех показателей, предусмотренных в ЕИАС ЖКХ МО;</w:t>
            </w:r>
          </w:p>
          <w:p>
            <w:pPr>
              <w:pStyle w:val="Normal"/>
              <w:widowControl w:val="false"/>
              <w:numPr>
                <w:ilvl w:val="1"/>
                <w:numId w:val="29"/>
              </w:numPr>
              <w:spacing w:lineRule="auto" w:line="240" w:before="0" w:after="0"/>
              <w:rPr>
                <w:rFonts w:eastAsia="Calibri"/>
              </w:rPr>
            </w:pPr>
            <w:r>
              <w:rPr>
                <w:rFonts w:eastAsia="Calibri"/>
              </w:rPr>
              <w:t>Региональной программы Московской области «Проведение капитального ремонта общего имущества в многоквартирных домах, расположенных на территории Московской области, на 2014-2038 годы»;</w:t>
            </w:r>
          </w:p>
          <w:p>
            <w:pPr>
              <w:pStyle w:val="Normal"/>
              <w:widowControl w:val="false"/>
              <w:numPr>
                <w:ilvl w:val="1"/>
                <w:numId w:val="29"/>
              </w:numPr>
              <w:spacing w:lineRule="auto" w:line="240" w:before="0" w:after="0"/>
              <w:rPr>
                <w:rFonts w:eastAsia="Calibri"/>
              </w:rPr>
            </w:pPr>
            <w:r>
              <w:rPr>
                <w:rFonts w:eastAsia="Calibri"/>
              </w:rPr>
              <w:t>Краткосрочные планы реализации региональной программы Московской области по проведению капитального ремонта общего имущества в многоквартирных домах, расположенных на территории Московской области.</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142" w:start="0"/>
              <w:rPr>
                <w:rFonts w:eastAsia="Calibri"/>
              </w:rPr>
            </w:pPr>
            <w:r>
              <w:rPr>
                <w:rFonts w:eastAsia="Calibri"/>
              </w:rPr>
              <w:t>4</w:t>
            </w:r>
          </w:p>
        </w:tc>
        <w:tc>
          <w:tcPr>
            <w:tcW w:w="255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35" w:start="0"/>
              <w:rPr>
                <w:rFonts w:eastAsia="Calibri"/>
              </w:rPr>
            </w:pPr>
            <w:r>
              <w:rPr>
                <w:rFonts w:eastAsia="Calibri"/>
              </w:rPr>
              <w:t>Подсистема аналитики</w:t>
            </w:r>
          </w:p>
        </w:tc>
        <w:tc>
          <w:tcPr>
            <w:tcW w:w="6520"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9"/>
              </w:numPr>
              <w:spacing w:lineRule="auto" w:line="240" w:before="0" w:after="0"/>
              <w:rPr>
                <w:rFonts w:eastAsia="Calibri"/>
              </w:rPr>
            </w:pPr>
            <w:r>
              <w:rPr>
                <w:rFonts w:eastAsia="Calibri"/>
              </w:rPr>
              <w:t>построения аналитических и преднастроенных отчетов по показателям энергоэффективности, программам капитального ремонта, мероприятиям;</w:t>
            </w:r>
          </w:p>
          <w:p>
            <w:pPr>
              <w:pStyle w:val="Normal"/>
              <w:widowControl w:val="false"/>
              <w:numPr>
                <w:ilvl w:val="0"/>
                <w:numId w:val="29"/>
              </w:numPr>
              <w:spacing w:lineRule="auto" w:line="240" w:before="0" w:after="0"/>
              <w:rPr>
                <w:rFonts w:eastAsia="Calibri"/>
              </w:rPr>
            </w:pPr>
            <w:r>
              <w:rPr>
                <w:rFonts w:eastAsia="Calibri"/>
              </w:rPr>
              <w:t>сравнения прогнозных и (или) плановых значений показателей мероприятий плана энергоэффективности;</w:t>
            </w:r>
          </w:p>
          <w:p>
            <w:pPr>
              <w:pStyle w:val="Normal"/>
              <w:widowControl w:val="false"/>
              <w:numPr>
                <w:ilvl w:val="0"/>
                <w:numId w:val="29"/>
              </w:numPr>
              <w:spacing w:lineRule="auto" w:line="240" w:before="0" w:after="0"/>
              <w:rPr>
                <w:rFonts w:eastAsia="Calibri"/>
              </w:rPr>
            </w:pPr>
            <w:r>
              <w:rPr>
                <w:rFonts w:eastAsia="Calibri"/>
              </w:rPr>
              <w:t xml:space="preserve"> </w:t>
            </w:r>
            <w:r>
              <w:rPr>
                <w:rFonts w:eastAsia="Calibri"/>
              </w:rPr>
              <w:t>выявления и анализа лучших практик.</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142" w:start="0"/>
              <w:rPr>
                <w:rFonts w:eastAsia="Calibri"/>
              </w:rPr>
            </w:pPr>
            <w:r>
              <w:rPr>
                <w:rFonts w:eastAsia="Calibri"/>
              </w:rPr>
              <w:t>5</w:t>
            </w:r>
          </w:p>
        </w:tc>
        <w:tc>
          <w:tcPr>
            <w:tcW w:w="255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35" w:start="0"/>
              <w:rPr>
                <w:rFonts w:eastAsia="Calibri"/>
              </w:rPr>
            </w:pPr>
            <w:r>
              <w:rPr>
                <w:rFonts w:eastAsia="Calibri"/>
              </w:rPr>
              <w:t>Подсистема «Сопоставление деклараций» («Бенчмаркинг»)</w:t>
            </w:r>
          </w:p>
        </w:tc>
        <w:tc>
          <w:tcPr>
            <w:tcW w:w="6520"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9"/>
              </w:numPr>
              <w:spacing w:lineRule="auto" w:line="240" w:before="0" w:after="0"/>
              <w:rPr>
                <w:rFonts w:eastAsia="Calibri"/>
              </w:rPr>
            </w:pPr>
            <w:r>
              <w:rPr>
                <w:rFonts w:eastAsia="Calibri"/>
              </w:rPr>
              <w:t>сравнительный анализ произвольного количества зданий/учреждений в разрезе показателей паспортов и деклараций энергоэффективности:</w:t>
            </w:r>
          </w:p>
          <w:p>
            <w:pPr>
              <w:pStyle w:val="Normal"/>
              <w:widowControl w:val="false"/>
              <w:numPr>
                <w:ilvl w:val="1"/>
                <w:numId w:val="29"/>
              </w:numPr>
              <w:spacing w:lineRule="auto" w:line="240" w:before="0" w:after="0"/>
              <w:rPr>
                <w:rFonts w:eastAsia="Calibri"/>
              </w:rPr>
            </w:pPr>
            <w:r>
              <w:rPr>
                <w:rFonts w:eastAsia="Calibri"/>
              </w:rPr>
              <w:t>выбор зданий/учреждений, по которым производится сравнение;</w:t>
            </w:r>
          </w:p>
          <w:p>
            <w:pPr>
              <w:pStyle w:val="Normal"/>
              <w:widowControl w:val="false"/>
              <w:numPr>
                <w:ilvl w:val="1"/>
                <w:numId w:val="29"/>
              </w:numPr>
              <w:spacing w:lineRule="auto" w:line="240" w:before="0" w:after="0"/>
              <w:rPr>
                <w:rFonts w:eastAsia="Calibri"/>
              </w:rPr>
            </w:pPr>
            <w:r>
              <w:rPr>
                <w:rFonts w:eastAsia="Calibri"/>
              </w:rPr>
              <w:t>выбор периода сравнения;</w:t>
            </w:r>
          </w:p>
          <w:p>
            <w:pPr>
              <w:pStyle w:val="Normal"/>
              <w:widowControl w:val="false"/>
              <w:numPr>
                <w:ilvl w:val="1"/>
                <w:numId w:val="29"/>
              </w:numPr>
              <w:spacing w:lineRule="auto" w:line="240" w:before="0" w:after="0"/>
              <w:rPr>
                <w:rFonts w:eastAsia="Calibri"/>
              </w:rPr>
            </w:pPr>
            <w:r>
              <w:rPr>
                <w:rFonts w:eastAsia="Calibri"/>
              </w:rPr>
              <w:t>выбор показателей, используемых для сравнения.</w:t>
            </w:r>
          </w:p>
          <w:p>
            <w:pPr>
              <w:pStyle w:val="Normal"/>
              <w:widowControl w:val="false"/>
              <w:numPr>
                <w:ilvl w:val="1"/>
                <w:numId w:val="29"/>
              </w:numPr>
              <w:spacing w:lineRule="auto" w:line="240" w:before="0" w:after="0"/>
              <w:rPr>
                <w:rFonts w:eastAsia="Calibri"/>
              </w:rPr>
            </w:pPr>
            <w:r>
              <w:rPr>
                <w:rFonts w:eastAsia="Calibri"/>
              </w:rPr>
              <w:t>формирование рейтингов потребителей по удельным показателям потребления:</w:t>
            </w:r>
          </w:p>
          <w:p>
            <w:pPr>
              <w:pStyle w:val="Normal"/>
              <w:widowControl w:val="false"/>
              <w:numPr>
                <w:ilvl w:val="1"/>
                <w:numId w:val="29"/>
              </w:numPr>
              <w:spacing w:lineRule="auto" w:line="240" w:before="0" w:after="0"/>
              <w:rPr>
                <w:rFonts w:eastAsia="Calibri"/>
              </w:rPr>
            </w:pPr>
            <w:r>
              <w:rPr>
                <w:rFonts w:eastAsia="Calibri"/>
              </w:rPr>
              <w:t>выбор зданий/учреждений, по которым производится сравнение;</w:t>
            </w:r>
          </w:p>
          <w:p>
            <w:pPr>
              <w:pStyle w:val="Normal"/>
              <w:widowControl w:val="false"/>
              <w:numPr>
                <w:ilvl w:val="1"/>
                <w:numId w:val="29"/>
              </w:numPr>
              <w:spacing w:lineRule="auto" w:line="240" w:before="0" w:after="0"/>
              <w:rPr>
                <w:rFonts w:eastAsia="Calibri"/>
              </w:rPr>
            </w:pPr>
            <w:r>
              <w:rPr>
                <w:rFonts w:eastAsia="Calibri"/>
              </w:rPr>
              <w:t>задание периода сравнения;</w:t>
            </w:r>
          </w:p>
          <w:p>
            <w:pPr>
              <w:pStyle w:val="Normal"/>
              <w:widowControl w:val="false"/>
              <w:numPr>
                <w:ilvl w:val="1"/>
                <w:numId w:val="29"/>
              </w:numPr>
              <w:spacing w:lineRule="auto" w:line="240" w:before="0" w:after="0"/>
              <w:rPr>
                <w:rFonts w:eastAsia="Calibri"/>
              </w:rPr>
            </w:pPr>
            <w:r>
              <w:rPr>
                <w:rFonts w:eastAsia="Calibri"/>
              </w:rPr>
              <w:t>выбор удельных показателей, используемых для сравнения;</w:t>
            </w:r>
          </w:p>
          <w:p>
            <w:pPr>
              <w:pStyle w:val="Normal"/>
              <w:widowControl w:val="false"/>
              <w:numPr>
                <w:ilvl w:val="1"/>
                <w:numId w:val="29"/>
              </w:numPr>
              <w:spacing w:lineRule="auto" w:line="240" w:before="0" w:after="0"/>
              <w:rPr>
                <w:rFonts w:eastAsia="Calibri"/>
              </w:rPr>
            </w:pPr>
            <w:r>
              <w:rPr>
                <w:rFonts w:eastAsia="Calibri"/>
              </w:rPr>
              <w:t>добавление расчетных столбцов и строк с возможностью задания формул расчета.</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142" w:start="0"/>
              <w:rPr>
                <w:rFonts w:eastAsia="Calibri"/>
              </w:rPr>
            </w:pPr>
            <w:r>
              <w:rPr>
                <w:rFonts w:eastAsia="Calibri"/>
              </w:rPr>
              <w:t>6</w:t>
            </w:r>
          </w:p>
        </w:tc>
        <w:tc>
          <w:tcPr>
            <w:tcW w:w="255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35" w:start="0"/>
              <w:rPr>
                <w:rFonts w:eastAsia="Calibri"/>
              </w:rPr>
            </w:pPr>
            <w:r>
              <w:rPr>
                <w:rFonts w:eastAsia="Calibri"/>
              </w:rPr>
              <w:t>Подсистема энергосервисных договоров (</w:t>
            </w:r>
            <w:r>
              <w:rPr>
                <w:rFonts w:eastAsia="Calibri"/>
                <w:lang w:eastAsia="ru-RU"/>
              </w:rPr>
              <w:t>Контракт</w:t>
            </w:r>
            <w:r>
              <w:rPr>
                <w:rFonts w:eastAsia="Calibri"/>
              </w:rPr>
              <w:t>ов)</w:t>
            </w:r>
          </w:p>
        </w:tc>
        <w:tc>
          <w:tcPr>
            <w:tcW w:w="6520"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9"/>
              </w:numPr>
              <w:spacing w:lineRule="auto" w:line="240" w:before="0" w:after="0"/>
              <w:rPr>
                <w:rFonts w:eastAsia="Calibri"/>
              </w:rPr>
            </w:pPr>
            <w:r>
              <w:rPr>
                <w:rFonts w:eastAsia="Calibri"/>
              </w:rPr>
              <w:t>ведение реестра энергосервисных договоров (</w:t>
            </w:r>
            <w:r>
              <w:rPr>
                <w:rFonts w:eastAsia="Calibri"/>
                <w:lang w:eastAsia="ru-RU"/>
              </w:rPr>
              <w:t>Контракт</w:t>
            </w:r>
            <w:r>
              <w:rPr>
                <w:rFonts w:eastAsia="Calibri"/>
              </w:rPr>
              <w:t>ов);</w:t>
            </w:r>
          </w:p>
          <w:p>
            <w:pPr>
              <w:pStyle w:val="Normal"/>
              <w:widowControl w:val="false"/>
              <w:numPr>
                <w:ilvl w:val="0"/>
                <w:numId w:val="29"/>
              </w:numPr>
              <w:spacing w:lineRule="auto" w:line="240" w:before="0" w:after="0"/>
              <w:rPr>
                <w:rFonts w:eastAsia="Calibri"/>
              </w:rPr>
            </w:pPr>
            <w:r>
              <w:rPr>
                <w:rFonts w:eastAsia="Calibri"/>
              </w:rPr>
              <w:t>подтверждения достоверности данных, занесенных по энергосервисному договору (</w:t>
            </w:r>
            <w:r>
              <w:rPr>
                <w:rFonts w:eastAsia="Calibri"/>
                <w:lang w:eastAsia="ru-RU"/>
              </w:rPr>
              <w:t>Контракт</w:t>
            </w:r>
            <w:r>
              <w:rPr>
                <w:rFonts w:eastAsia="Calibri"/>
              </w:rPr>
              <w:t>у) электронной подписью;</w:t>
            </w:r>
          </w:p>
          <w:p>
            <w:pPr>
              <w:pStyle w:val="Normal"/>
              <w:widowControl w:val="false"/>
              <w:numPr>
                <w:ilvl w:val="0"/>
                <w:numId w:val="29"/>
              </w:numPr>
              <w:spacing w:lineRule="auto" w:line="240" w:before="0" w:after="0"/>
              <w:rPr>
                <w:rFonts w:eastAsia="Calibri"/>
              </w:rPr>
            </w:pPr>
            <w:r>
              <w:rPr>
                <w:rFonts w:eastAsia="Calibri"/>
              </w:rPr>
              <w:t>разграничения прав доступа к энергосервисным договорам (</w:t>
            </w:r>
            <w:r>
              <w:rPr>
                <w:rFonts w:eastAsia="Calibri"/>
                <w:lang w:eastAsia="ru-RU"/>
              </w:rPr>
              <w:t>Контракт</w:t>
            </w:r>
            <w:r>
              <w:rPr>
                <w:rFonts w:eastAsia="Calibri"/>
              </w:rPr>
              <w:t>ам) в зависимости от роли пользователя в Системе;</w:t>
            </w:r>
          </w:p>
          <w:p>
            <w:pPr>
              <w:pStyle w:val="Normal"/>
              <w:widowControl w:val="false"/>
              <w:numPr>
                <w:ilvl w:val="0"/>
                <w:numId w:val="29"/>
              </w:numPr>
              <w:spacing w:lineRule="auto" w:line="240" w:before="0" w:after="0"/>
              <w:rPr>
                <w:rFonts w:eastAsia="Calibri"/>
              </w:rPr>
            </w:pPr>
            <w:r>
              <w:rPr>
                <w:rFonts w:eastAsia="Calibri"/>
              </w:rPr>
              <w:t>контроль исполнения мероприятий повышения энергоэффективности энергосервисных договоров (</w:t>
            </w:r>
            <w:r>
              <w:rPr>
                <w:rFonts w:eastAsia="Calibri"/>
                <w:lang w:eastAsia="ru-RU"/>
              </w:rPr>
              <w:t>Контракт</w:t>
            </w:r>
            <w:r>
              <w:rPr>
                <w:rFonts w:eastAsia="Calibri"/>
              </w:rPr>
              <w:t>ов) и сроках достижения экономии.</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142" w:start="0"/>
              <w:rPr>
                <w:rFonts w:eastAsia="Calibri"/>
              </w:rPr>
            </w:pPr>
            <w:r>
              <w:rPr>
                <w:rFonts w:eastAsia="Calibri"/>
              </w:rPr>
              <w:t>7</w:t>
            </w:r>
          </w:p>
        </w:tc>
        <w:tc>
          <w:tcPr>
            <w:tcW w:w="255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35" w:start="0"/>
              <w:rPr>
                <w:rFonts w:eastAsia="Calibri"/>
              </w:rPr>
            </w:pPr>
            <w:r>
              <w:rPr>
                <w:rFonts w:eastAsia="Calibri"/>
              </w:rPr>
              <w:t>Подсистема статистической отчетности</w:t>
            </w:r>
          </w:p>
        </w:tc>
        <w:tc>
          <w:tcPr>
            <w:tcW w:w="6520"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9"/>
              </w:numPr>
              <w:spacing w:lineRule="auto" w:line="240" w:before="0" w:after="0"/>
              <w:rPr>
                <w:rFonts w:eastAsia="Calibri"/>
              </w:rPr>
            </w:pPr>
            <w:r>
              <w:rPr>
                <w:rFonts w:eastAsia="Calibri"/>
              </w:rPr>
              <w:t>модуль формирования отчетов по ППРФ № 20;</w:t>
            </w:r>
          </w:p>
          <w:p>
            <w:pPr>
              <w:pStyle w:val="Normal"/>
              <w:widowControl w:val="false"/>
              <w:numPr>
                <w:ilvl w:val="0"/>
                <w:numId w:val="29"/>
              </w:numPr>
              <w:spacing w:lineRule="auto" w:line="240" w:before="0" w:after="0"/>
              <w:rPr>
                <w:rFonts w:eastAsia="Calibri"/>
              </w:rPr>
            </w:pPr>
            <w:r>
              <w:rPr>
                <w:rFonts w:eastAsia="Calibri"/>
              </w:rPr>
              <w:t>автоматического формирования перечня организаций, обязанных подавать отчетность в соответствии с ППРФ №20;</w:t>
            </w:r>
          </w:p>
          <w:p>
            <w:pPr>
              <w:pStyle w:val="Normal"/>
              <w:widowControl w:val="false"/>
              <w:numPr>
                <w:ilvl w:val="0"/>
                <w:numId w:val="29"/>
              </w:numPr>
              <w:spacing w:lineRule="auto" w:line="240" w:before="0" w:after="0"/>
              <w:rPr>
                <w:rFonts w:eastAsia="Calibri"/>
              </w:rPr>
            </w:pPr>
            <w:r>
              <w:rPr>
                <w:rFonts w:eastAsia="Calibri"/>
              </w:rPr>
              <w:t>подтверждения достоверности данных, занесенных по отчетам электронной подписью;</w:t>
            </w:r>
          </w:p>
          <w:p>
            <w:pPr>
              <w:pStyle w:val="Normal"/>
              <w:widowControl w:val="false"/>
              <w:numPr>
                <w:ilvl w:val="0"/>
                <w:numId w:val="29"/>
              </w:numPr>
              <w:spacing w:lineRule="auto" w:line="240" w:before="0" w:after="0"/>
              <w:rPr>
                <w:rFonts w:eastAsia="Calibri"/>
              </w:rPr>
            </w:pPr>
            <w:r>
              <w:rPr>
                <w:rFonts w:eastAsia="Calibri"/>
              </w:rPr>
              <w:t>разграничения прав доступа к перечню организаций и отчетам в зависимости от роли пользователя в Системе;</w:t>
            </w:r>
          </w:p>
          <w:p>
            <w:pPr>
              <w:pStyle w:val="Normal"/>
              <w:widowControl w:val="false"/>
              <w:numPr>
                <w:ilvl w:val="0"/>
                <w:numId w:val="29"/>
              </w:numPr>
              <w:spacing w:lineRule="auto" w:line="240" w:before="0" w:after="0"/>
              <w:rPr>
                <w:rFonts w:eastAsia="Calibri"/>
              </w:rPr>
            </w:pPr>
            <w:r>
              <w:rPr>
                <w:rFonts w:eastAsia="Calibri"/>
              </w:rPr>
              <w:t>модуль «Государственный доклад», предназначенный для формирования информации для включения в государственный доклад.</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142" w:start="0"/>
              <w:rPr>
                <w:rFonts w:eastAsia="Calibri"/>
              </w:rPr>
            </w:pPr>
            <w:r>
              <w:rPr>
                <w:rFonts w:eastAsia="Calibri"/>
              </w:rPr>
              <w:t>8</w:t>
            </w:r>
          </w:p>
        </w:tc>
        <w:tc>
          <w:tcPr>
            <w:tcW w:w="255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35" w:start="0"/>
              <w:rPr>
                <w:rFonts w:eastAsia="Calibri"/>
              </w:rPr>
            </w:pPr>
            <w:r>
              <w:rPr>
                <w:rFonts w:eastAsia="Calibri"/>
              </w:rPr>
              <w:t>Подсистема «Прогнозирование»</w:t>
            </w:r>
          </w:p>
        </w:tc>
        <w:tc>
          <w:tcPr>
            <w:tcW w:w="6520"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9"/>
              </w:numPr>
              <w:spacing w:lineRule="auto" w:line="240" w:before="0" w:after="0"/>
              <w:rPr>
                <w:rFonts w:eastAsia="Calibri"/>
              </w:rPr>
            </w:pPr>
            <w:r>
              <w:rPr>
                <w:rFonts w:eastAsia="Calibri"/>
              </w:rPr>
              <w:t>Обеспечивает возможность формирования типовых помесячных профилей потребления энергии и воды для типовых Объектов в зависимости от влияния основных факторов"</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142" w:start="0"/>
              <w:rPr>
                <w:rFonts w:eastAsia="Calibri"/>
              </w:rPr>
            </w:pPr>
            <w:r>
              <w:rPr>
                <w:rFonts w:eastAsia="Calibri"/>
              </w:rPr>
              <w:t>9</w:t>
            </w:r>
          </w:p>
        </w:tc>
        <w:tc>
          <w:tcPr>
            <w:tcW w:w="255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firstLine="35" w:start="0"/>
              <w:rPr>
                <w:rFonts w:eastAsia="Calibri"/>
              </w:rPr>
            </w:pPr>
            <w:r>
              <w:rPr>
                <w:rFonts w:eastAsia="Calibri"/>
              </w:rPr>
              <w:t>Подсистема «Загрузка и выгрузка данных Системы в машиночитаемом открытом формате»</w:t>
            </w:r>
          </w:p>
        </w:tc>
        <w:tc>
          <w:tcPr>
            <w:tcW w:w="6520"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9"/>
              </w:numPr>
              <w:spacing w:lineRule="auto" w:line="240" w:before="0" w:after="0"/>
              <w:rPr>
                <w:rFonts w:eastAsia="Calibri"/>
              </w:rPr>
            </w:pPr>
            <w:r>
              <w:rPr>
                <w:rFonts w:eastAsia="Calibri"/>
              </w:rPr>
              <w:t>загрузки и выгрузки следующей информации из Системы: декларации учреждений; паспорта зданий</w:t>
            </w:r>
          </w:p>
        </w:tc>
      </w:tr>
    </w:tbl>
    <w:p>
      <w:pPr>
        <w:pStyle w:val="Style44"/>
        <w:spacing w:lineRule="auto" w:line="276"/>
        <w:ind w:hanging="0"/>
        <w:rPr/>
      </w:pPr>
      <w:r>
        <w:rPr/>
      </w:r>
    </w:p>
    <w:p>
      <w:pPr>
        <w:pStyle w:val="33"/>
        <w:tabs>
          <w:tab w:val="clear" w:pos="1560"/>
        </w:tabs>
        <w:spacing w:lineRule="auto" w:line="240" w:before="0" w:after="240"/>
        <w:ind w:firstLine="709" w:start="0"/>
        <w:rPr>
          <w:rFonts w:ascii="Times New Roman" w:hAnsi="Times New Roman"/>
        </w:rPr>
      </w:pPr>
      <w:bookmarkStart w:id="71" w:name="__RefHeading___Toc33510_3559854210"/>
      <w:bookmarkStart w:id="72" w:name="_Toc215755873"/>
      <w:bookmarkStart w:id="73" w:name="_Toc177129073"/>
      <w:bookmarkEnd w:id="71"/>
      <w:r>
        <w:rPr>
          <w:rFonts w:ascii="Times New Roman" w:hAnsi="Times New Roman"/>
        </w:rPr>
        <w:t>Взаимосвязи между подсистемами Системы, а также между подсистемами Системы и внешними информационными системами</w:t>
      </w:r>
      <w:bookmarkEnd w:id="72"/>
      <w:bookmarkEnd w:id="73"/>
    </w:p>
    <w:p>
      <w:pPr>
        <w:pStyle w:val="Style44"/>
        <w:spacing w:lineRule="auto" w:line="240"/>
        <w:rPr/>
      </w:pPr>
      <w:r>
        <w:rPr/>
        <w:t>Сведения о текущем составе и характеристиках потоков данных между подсистемами Системы, а также между подсистемами Системы и внешними информационными системами представлены в (</w:t>
      </w:r>
      <w:r>
        <w:rPr/>
        <w:fldChar w:fldCharType="begin"/>
      </w:r>
      <w:r>
        <w:rPr/>
        <w:instrText xml:space="preserve"> REF _Ref192512270 \h </w:instrText>
      </w:r>
      <w:r>
        <w:rPr/>
        <w:fldChar w:fldCharType="separate"/>
      </w:r>
      <w:r>
        <w:rPr/>
        <w:t>Таблица 9</w:t>
      </w:r>
      <w:r>
        <w:rPr/>
        <w:fldChar w:fldCharType="end"/>
      </w:r>
      <w:r>
        <w:rPr/>
        <w:t>).</w:t>
      </w:r>
    </w:p>
    <w:p>
      <w:pPr>
        <w:pStyle w:val="Style53"/>
        <w:rPr/>
      </w:pPr>
      <w:bookmarkStart w:id="74" w:name="_Ref192512270"/>
      <w:r>
        <w:rPr/>
        <w:t xml:space="preserve">Таблица </w:t>
      </w:r>
      <w:r>
        <w:rPr/>
        <w:fldChar w:fldCharType="begin"/>
      </w:r>
      <w:r>
        <w:rPr/>
        <w:instrText xml:space="preserve"> SEQ Таблица \* ARABIC </w:instrText>
      </w:r>
      <w:r>
        <w:rPr/>
        <w:fldChar w:fldCharType="separate"/>
      </w:r>
      <w:r>
        <w:rPr/>
        <w:t>9</w:t>
      </w:r>
      <w:r>
        <w:rPr/>
        <w:fldChar w:fldCharType="end"/>
      </w:r>
      <w:bookmarkEnd w:id="74"/>
      <w:r>
        <w:rPr/>
        <w:t>– Сведения о текущем составе и характеристиках потоков данных.</w:t>
      </w:r>
    </w:p>
    <w:tbl>
      <w:tblPr>
        <w:tblW w:w="9889"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675"/>
        <w:gridCol w:w="1730"/>
        <w:gridCol w:w="2518"/>
        <w:gridCol w:w="2982"/>
        <w:gridCol w:w="1984"/>
      </w:tblGrid>
      <w:tr>
        <w:trPr>
          <w:trHeight w:val="428"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142" w:start="0"/>
              <w:rPr>
                <w:rFonts w:eastAsia="Calibri"/>
                <w:b/>
                <w:lang w:eastAsia="ru-RU"/>
              </w:rPr>
            </w:pPr>
            <w:r>
              <w:rPr>
                <w:rFonts w:eastAsia="Calibri"/>
                <w:b/>
                <w:lang w:eastAsia="ru-RU"/>
              </w:rPr>
              <w:t xml:space="preserve">№ </w:t>
            </w:r>
            <w:r>
              <w:rPr>
                <w:rFonts w:eastAsia="Calibri"/>
                <w:b/>
                <w:lang w:eastAsia="ru-RU"/>
              </w:rPr>
              <w:t>п/п</w:t>
            </w:r>
          </w:p>
        </w:tc>
        <w:tc>
          <w:tcPr>
            <w:tcW w:w="1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rPr>
                <w:rFonts w:eastAsia="Calibri"/>
                <w:b/>
                <w:lang w:eastAsia="ru-RU"/>
              </w:rPr>
            </w:pPr>
            <w:r>
              <w:rPr>
                <w:rFonts w:eastAsia="Calibri"/>
                <w:b/>
                <w:lang w:eastAsia="ru-RU"/>
              </w:rPr>
              <w:t>Наименование подсистемы системы (внешней системы) - источника</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183" w:start="0"/>
              <w:rPr>
                <w:rFonts w:eastAsia="Calibri"/>
                <w:b/>
                <w:lang w:eastAsia="ru-RU"/>
              </w:rPr>
            </w:pPr>
            <w:r>
              <w:rPr>
                <w:rFonts w:eastAsia="Calibri"/>
                <w:b/>
                <w:lang w:eastAsia="ru-RU"/>
              </w:rPr>
              <w:t>Состав потоков данных</w:t>
            </w:r>
          </w:p>
        </w:tc>
        <w:tc>
          <w:tcPr>
            <w:tcW w:w="29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rPr>
                <w:rFonts w:eastAsia="Calibri"/>
                <w:b/>
                <w:lang w:eastAsia="ru-RU"/>
              </w:rPr>
            </w:pPr>
            <w:r>
              <w:rPr>
                <w:rFonts w:eastAsia="Calibri"/>
                <w:b/>
                <w:lang w:eastAsia="ru-RU"/>
              </w:rPr>
              <w:t>Характеристики потоков данных</w:t>
            </w:r>
          </w:p>
        </w:tc>
        <w:tc>
          <w:tcPr>
            <w:tcW w:w="19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8" w:start="0"/>
              <w:rPr>
                <w:rFonts w:eastAsia="Calibri"/>
                <w:b/>
                <w:bCs/>
                <w:iCs/>
                <w:lang w:eastAsia="ru-RU"/>
              </w:rPr>
            </w:pPr>
            <w:r>
              <w:rPr>
                <w:rFonts w:eastAsia="Calibri"/>
                <w:b/>
                <w:bCs/>
                <w:iCs/>
                <w:lang w:eastAsia="ru-RU"/>
              </w:rPr>
              <w:t>Наименование подсистемы системы (внешней системы) – получателя</w:t>
            </w:r>
          </w:p>
        </w:tc>
      </w:tr>
      <w:tr>
        <w:trPr>
          <w:trHeight w:val="428" w:hRule="atLeast"/>
        </w:trPr>
        <w:tc>
          <w:tcPr>
            <w:tcW w:w="6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142" w:start="0"/>
              <w:rPr>
                <w:rFonts w:eastAsia="Calibri"/>
                <w:lang w:eastAsia="ru-RU"/>
              </w:rPr>
            </w:pPr>
            <w:r>
              <w:rPr>
                <w:rFonts w:eastAsia="Calibri"/>
                <w:lang w:eastAsia="ru-RU"/>
              </w:rPr>
              <w:t>1</w:t>
            </w:r>
          </w:p>
        </w:tc>
        <w:tc>
          <w:tcPr>
            <w:tcW w:w="17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Calibri"/>
                <w:lang w:eastAsia="ru-RU"/>
              </w:rPr>
            </w:pPr>
            <w:r>
              <w:rPr>
                <w:rFonts w:eastAsia="Calibri"/>
                <w:lang w:eastAsia="ru-RU"/>
              </w:rPr>
              <w:t>ЕАИС ЖКХ МО</w:t>
            </w:r>
          </w:p>
        </w:tc>
        <w:tc>
          <w:tcPr>
            <w:tcW w:w="25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Calibri"/>
                <w:lang w:eastAsia="ru-RU"/>
              </w:rPr>
            </w:pPr>
            <w:r>
              <w:rPr>
                <w:rFonts w:eastAsia="Calibri"/>
                <w:lang w:eastAsia="ru-RU"/>
              </w:rPr>
              <w:t>Паспорта многоквартирных домов;</w:t>
            </w:r>
          </w:p>
          <w:p>
            <w:pPr>
              <w:pStyle w:val="Normal"/>
              <w:spacing w:lineRule="auto" w:line="240" w:before="0" w:after="0"/>
              <w:ind w:hanging="0" w:start="0"/>
              <w:rPr>
                <w:rFonts w:eastAsia="Calibri"/>
                <w:lang w:eastAsia="ru-RU"/>
              </w:rPr>
            </w:pPr>
            <w:r>
              <w:rPr>
                <w:rFonts w:eastAsia="Calibri"/>
                <w:lang w:eastAsia="ru-RU"/>
              </w:rPr>
              <w:t>Региональная программа капитального Московской области;</w:t>
            </w:r>
          </w:p>
          <w:p>
            <w:pPr>
              <w:pStyle w:val="Normal"/>
              <w:spacing w:lineRule="auto" w:line="240" w:before="0" w:after="0"/>
              <w:ind w:hanging="0" w:start="0"/>
              <w:rPr>
                <w:rFonts w:eastAsia="Calibri"/>
                <w:lang w:eastAsia="ru-RU"/>
              </w:rPr>
            </w:pPr>
            <w:r>
              <w:rPr>
                <w:rFonts w:eastAsia="Calibri"/>
                <w:lang w:eastAsia="ru-RU"/>
              </w:rPr>
              <w:t>Краткосрочные планы реализации региональной программы Московской области по проведению капитального ремонта.</w:t>
            </w:r>
          </w:p>
        </w:tc>
        <w:tc>
          <w:tcPr>
            <w:tcW w:w="29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Calibri"/>
                <w:lang w:eastAsia="ru-RU"/>
              </w:rPr>
            </w:pPr>
            <w:r>
              <w:rPr>
                <w:rFonts w:eastAsia="Calibri"/>
                <w:lang w:eastAsia="ru-RU"/>
              </w:rPr>
              <w:t>Потоки данных представляют собой структурированные данные об объектах учета в виде, требуемом для выполнения функций Получателя.</w:t>
            </w:r>
          </w:p>
        </w:tc>
        <w:tc>
          <w:tcPr>
            <w:tcW w:w="19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38" w:start="0"/>
              <w:rPr>
                <w:rFonts w:eastAsia="Calibri"/>
                <w:bCs/>
                <w:iCs/>
                <w:lang w:eastAsia="ru-RU"/>
              </w:rPr>
            </w:pPr>
            <w:r>
              <w:rPr>
                <w:rFonts w:eastAsia="Calibri"/>
                <w:lang w:eastAsia="ru-RU"/>
              </w:rPr>
              <w:t>Подсистема Мониторинга энергоэффективности</w:t>
            </w:r>
          </w:p>
        </w:tc>
      </w:tr>
      <w:tr>
        <w:trPr>
          <w:trHeight w:val="428" w:hRule="atLeast"/>
        </w:trPr>
        <w:tc>
          <w:tcPr>
            <w:tcW w:w="6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142" w:start="0"/>
              <w:rPr>
                <w:rFonts w:eastAsia="Calibri"/>
                <w:lang w:eastAsia="ru-RU"/>
              </w:rPr>
            </w:pPr>
            <w:r>
              <w:rPr>
                <w:rFonts w:eastAsia="Calibri"/>
                <w:lang w:eastAsia="ru-RU"/>
              </w:rPr>
              <w:t>2</w:t>
            </w:r>
          </w:p>
        </w:tc>
        <w:tc>
          <w:tcPr>
            <w:tcW w:w="17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Calibri"/>
                <w:lang w:eastAsia="ru-RU"/>
              </w:rPr>
            </w:pPr>
            <w:r>
              <w:rPr>
                <w:rFonts w:eastAsia="Calibri"/>
                <w:lang w:eastAsia="ru-RU"/>
              </w:rPr>
              <w:t>Подсистема информационного взаимодействия с ФИАС</w:t>
            </w:r>
          </w:p>
        </w:tc>
        <w:tc>
          <w:tcPr>
            <w:tcW w:w="25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Calibri"/>
                <w:lang w:eastAsia="ru-RU"/>
              </w:rPr>
            </w:pPr>
            <w:r>
              <w:rPr>
                <w:rFonts w:eastAsia="Calibri"/>
                <w:lang w:eastAsia="ru-RU"/>
              </w:rPr>
              <w:t>Сведения об адресном пространстве в Москве и Московской области.</w:t>
            </w:r>
          </w:p>
        </w:tc>
        <w:tc>
          <w:tcPr>
            <w:tcW w:w="29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Calibri"/>
                <w:lang w:eastAsia="ru-RU"/>
              </w:rPr>
            </w:pPr>
            <w:r>
              <w:rPr>
                <w:rFonts w:eastAsia="Calibri"/>
                <w:lang w:eastAsia="ru-RU"/>
              </w:rPr>
              <w:t>Потоки данных представляют собой структурированные данные об объектах учета в виде, требуемом для выполнения функций Получателя.</w:t>
            </w:r>
          </w:p>
        </w:tc>
        <w:tc>
          <w:tcPr>
            <w:tcW w:w="19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38" w:start="0"/>
              <w:rPr>
                <w:rFonts w:eastAsia="Calibri"/>
                <w:bCs/>
                <w:iCs/>
                <w:lang w:eastAsia="ru-RU"/>
              </w:rPr>
            </w:pPr>
            <w:r>
              <w:rPr>
                <w:rFonts w:eastAsia="Calibri"/>
                <w:lang w:eastAsia="ru-RU"/>
              </w:rPr>
              <w:t>Подсистема Мониторинга энергоэффективности</w:t>
            </w:r>
          </w:p>
        </w:tc>
      </w:tr>
      <w:tr>
        <w:trPr>
          <w:trHeight w:val="428" w:hRule="atLeast"/>
        </w:trPr>
        <w:tc>
          <w:tcPr>
            <w:tcW w:w="6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142" w:start="0"/>
              <w:rPr>
                <w:rFonts w:eastAsia="Calibri"/>
                <w:lang w:eastAsia="ru-RU"/>
              </w:rPr>
            </w:pPr>
            <w:r>
              <w:rPr>
                <w:rFonts w:eastAsia="Calibri"/>
                <w:lang w:eastAsia="ru-RU"/>
              </w:rPr>
              <w:t>3</w:t>
            </w:r>
          </w:p>
        </w:tc>
        <w:tc>
          <w:tcPr>
            <w:tcW w:w="17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Calibri"/>
                <w:lang w:eastAsia="ru-RU"/>
              </w:rPr>
            </w:pPr>
            <w:r>
              <w:rPr>
                <w:rFonts w:eastAsia="Calibri"/>
                <w:lang w:eastAsia="ru-RU"/>
              </w:rPr>
              <w:t>Подсистема загрузки и выгрузки данных Системы в машиночитаемом открытом формате Системы</w:t>
            </w:r>
          </w:p>
        </w:tc>
        <w:tc>
          <w:tcPr>
            <w:tcW w:w="25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34"/>
              <w:rPr>
                <w:rFonts w:eastAsia="Calibri"/>
                <w:lang w:eastAsia="ru-RU"/>
              </w:rPr>
            </w:pPr>
            <w:r>
              <w:rPr>
                <w:rFonts w:eastAsia="Calibri"/>
                <w:lang w:eastAsia="ru-RU"/>
              </w:rPr>
              <w:t>Декларации учреждений;</w:t>
            </w:r>
          </w:p>
          <w:p>
            <w:pPr>
              <w:pStyle w:val="Normal"/>
              <w:spacing w:lineRule="auto" w:line="240" w:before="0" w:after="0"/>
              <w:ind w:hanging="0" w:start="34"/>
              <w:rPr>
                <w:rFonts w:eastAsia="Calibri"/>
                <w:lang w:eastAsia="ru-RU"/>
              </w:rPr>
            </w:pPr>
            <w:r>
              <w:rPr>
                <w:rFonts w:eastAsia="Calibri"/>
                <w:lang w:eastAsia="ru-RU"/>
              </w:rPr>
              <w:t>паспорта зданий;</w:t>
            </w:r>
          </w:p>
          <w:p>
            <w:pPr>
              <w:pStyle w:val="Normal"/>
              <w:spacing w:lineRule="auto" w:line="240" w:before="0" w:after="0"/>
              <w:ind w:hanging="0" w:start="34"/>
              <w:rPr>
                <w:rFonts w:eastAsia="Calibri"/>
                <w:lang w:eastAsia="ru-RU"/>
              </w:rPr>
            </w:pPr>
            <w:r>
              <w:rPr>
                <w:rFonts w:eastAsia="Calibri"/>
                <w:lang w:eastAsia="ru-RU"/>
              </w:rPr>
              <w:t>программы энергоэффективности.</w:t>
            </w:r>
          </w:p>
          <w:p>
            <w:pPr>
              <w:pStyle w:val="Normal"/>
              <w:spacing w:lineRule="auto" w:line="240" w:before="0" w:after="0"/>
              <w:ind w:hanging="0" w:start="0"/>
              <w:rPr>
                <w:rFonts w:eastAsia="Calibri"/>
                <w:lang w:eastAsia="ru-RU"/>
              </w:rPr>
            </w:pPr>
            <w:r>
              <w:rPr>
                <w:rFonts w:eastAsia="Calibri"/>
                <w:lang w:eastAsia="ru-RU"/>
              </w:rPr>
            </w:r>
          </w:p>
        </w:tc>
        <w:tc>
          <w:tcPr>
            <w:tcW w:w="29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Calibri"/>
                <w:lang w:eastAsia="ru-RU"/>
              </w:rPr>
            </w:pPr>
            <w:r>
              <w:rPr>
                <w:rFonts w:eastAsia="Calibri"/>
                <w:lang w:eastAsia="ru-RU"/>
              </w:rPr>
              <w:t>Потоки данных представляют собой структурированные данные об объектах учета в виде, требуемом для выполнения функций Получателя.</w:t>
            </w:r>
          </w:p>
        </w:tc>
        <w:tc>
          <w:tcPr>
            <w:tcW w:w="19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38" w:start="0"/>
              <w:rPr>
                <w:rFonts w:eastAsia="Calibri"/>
                <w:lang w:eastAsia="ru-RU"/>
              </w:rPr>
            </w:pPr>
            <w:r>
              <w:rPr>
                <w:rFonts w:eastAsia="Calibri"/>
                <w:lang w:eastAsia="ru-RU"/>
              </w:rPr>
              <w:t>ГИС «Энергоэффективность»</w:t>
            </w:r>
          </w:p>
        </w:tc>
      </w:tr>
    </w:tbl>
    <w:p>
      <w:pPr>
        <w:pStyle w:val="Style44"/>
        <w:spacing w:lineRule="auto" w:line="240"/>
        <w:ind w:hanging="0"/>
        <w:rPr>
          <w:szCs w:val="24"/>
        </w:rPr>
      </w:pPr>
      <w:r>
        <w:rPr>
          <w:szCs w:val="24"/>
        </w:rPr>
      </w:r>
    </w:p>
    <w:p>
      <w:pPr>
        <w:pStyle w:val="26"/>
        <w:spacing w:lineRule="auto" w:line="240"/>
        <w:ind w:firstLine="709" w:start="0"/>
        <w:rPr>
          <w:rFonts w:ascii="Times New Roman" w:hAnsi="Times New Roman"/>
          <w:szCs w:val="24"/>
        </w:rPr>
      </w:pPr>
      <w:bookmarkStart w:id="75" w:name="__RefHeading___Toc33512_3559854210"/>
      <w:bookmarkStart w:id="76" w:name="_Toc215755874"/>
      <w:bookmarkStart w:id="77" w:name="_Toc177129074"/>
      <w:bookmarkEnd w:id="75"/>
      <w:r>
        <w:rPr>
          <w:rFonts w:ascii="Times New Roman" w:hAnsi="Times New Roman"/>
          <w:szCs w:val="24"/>
        </w:rPr>
        <w:t>Ранее разработанная документация</w:t>
      </w:r>
      <w:bookmarkEnd w:id="76"/>
      <w:bookmarkEnd w:id="77"/>
    </w:p>
    <w:p>
      <w:pPr>
        <w:pStyle w:val="Style44"/>
        <w:spacing w:lineRule="auto" w:line="240"/>
        <w:rPr>
          <w:szCs w:val="24"/>
        </w:rPr>
      </w:pPr>
      <w:bookmarkStart w:id="78" w:name="_Hlk175043727"/>
      <w:r>
        <w:rPr>
          <w:szCs w:val="24"/>
        </w:rPr>
        <w:t xml:space="preserve">Заказчик должен предоставить Исполнителю ранее разработанные документы на Систему не позднее, чем через 5 (пяти) рабочих дней после получения официального запроса </w:t>
        <w:br/>
        <w:t>от Исполнителя на электронный адрес Заказчика в составе, приведенном в (</w:t>
      </w:r>
      <w:r>
        <w:rPr>
          <w:szCs w:val="24"/>
        </w:rPr>
        <w:fldChar w:fldCharType="begin"/>
      </w:r>
      <w:r>
        <w:rPr>
          <w:szCs w:val="24"/>
        </w:rPr>
        <w:instrText xml:space="preserve"> REF _Ref192512356 \h </w:instrText>
      </w:r>
      <w:r>
        <w:rPr>
          <w:szCs w:val="24"/>
        </w:rPr>
        <w:fldChar w:fldCharType="separate"/>
      </w:r>
      <w:r>
        <w:rPr>
          <w:szCs w:val="24"/>
        </w:rPr>
        <w:t>Таблица 10</w:t>
      </w:r>
      <w:r>
        <w:rPr>
          <w:szCs w:val="24"/>
        </w:rPr>
        <w:fldChar w:fldCharType="end"/>
      </w:r>
      <w:r>
        <w:rPr>
          <w:szCs w:val="24"/>
        </w:rPr>
        <w:t>).</w:t>
      </w:r>
      <w:bookmarkEnd w:id="78"/>
    </w:p>
    <w:p>
      <w:pPr>
        <w:pStyle w:val="Style53"/>
        <w:rPr/>
      </w:pPr>
      <w:bookmarkStart w:id="79" w:name="_Ref192512356"/>
      <w:r>
        <w:rPr/>
        <w:t xml:space="preserve">Таблица </w:t>
      </w:r>
      <w:r>
        <w:rPr/>
        <w:fldChar w:fldCharType="begin"/>
      </w:r>
      <w:r>
        <w:rPr/>
        <w:instrText xml:space="preserve"> SEQ Таблица \* ARABIC </w:instrText>
      </w:r>
      <w:r>
        <w:rPr/>
        <w:fldChar w:fldCharType="separate"/>
      </w:r>
      <w:r>
        <w:rPr/>
        <w:t>10</w:t>
      </w:r>
      <w:r>
        <w:rPr/>
        <w:fldChar w:fldCharType="end"/>
      </w:r>
      <w:bookmarkEnd w:id="79"/>
      <w:r>
        <w:rPr/>
        <w:t xml:space="preserve"> – </w:t>
      </w:r>
      <w:bookmarkStart w:id="80" w:name="_Hlk175043870"/>
      <w:r>
        <w:rPr/>
        <w:t>Сведения о ранее разработанной документации.</w:t>
      </w:r>
      <w:bookmarkEnd w:id="80"/>
    </w:p>
    <w:tbl>
      <w:tblPr>
        <w:tblW w:w="9915"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674"/>
        <w:gridCol w:w="6342"/>
        <w:gridCol w:w="2899"/>
      </w:tblGrid>
      <w:tr>
        <w:trPr>
          <w:trHeight w:val="509" w:hRule="atLeast"/>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Next w:val="true"/>
              <w:keepLines/>
              <w:tabs>
                <w:tab w:val="clear" w:pos="708"/>
                <w:tab w:val="left" w:pos="5670" w:leader="none"/>
              </w:tabs>
              <w:spacing w:lineRule="auto" w:line="240" w:before="0" w:after="0"/>
              <w:ind w:hanging="142" w:start="0"/>
              <w:jc w:val="center"/>
              <w:rPr>
                <w:rFonts w:eastAsia="Calibri"/>
                <w:b/>
              </w:rPr>
            </w:pPr>
            <w:r>
              <w:rPr>
                <w:rFonts w:eastAsia="Calibri"/>
                <w:b/>
              </w:rPr>
              <w:t>№</w:t>
            </w:r>
          </w:p>
          <w:p>
            <w:pPr>
              <w:pStyle w:val="Normal"/>
              <w:keepNext w:val="true"/>
              <w:keepLines/>
              <w:tabs>
                <w:tab w:val="clear" w:pos="708"/>
                <w:tab w:val="left" w:pos="5670" w:leader="none"/>
              </w:tabs>
              <w:spacing w:lineRule="auto" w:line="240" w:before="0" w:after="0"/>
              <w:ind w:hanging="142" w:start="0"/>
              <w:jc w:val="center"/>
              <w:rPr>
                <w:rFonts w:eastAsia="Calibri"/>
                <w:b/>
              </w:rPr>
            </w:pPr>
            <w:r>
              <w:rPr>
                <w:rFonts w:eastAsia="Calibri"/>
                <w:b/>
              </w:rPr>
              <w:t>п/п</w:t>
            </w:r>
          </w:p>
        </w:tc>
        <w:tc>
          <w:tcPr>
            <w:tcW w:w="6342" w:type="dxa"/>
            <w:tcBorders>
              <w:top w:val="single" w:sz="4" w:space="0" w:color="000000"/>
              <w:start w:val="single" w:sz="4" w:space="0" w:color="000000"/>
              <w:bottom w:val="single" w:sz="4" w:space="0" w:color="000000"/>
              <w:end w:val="single" w:sz="4" w:space="0" w:color="000000"/>
            </w:tcBorders>
            <w:vAlign w:val="center"/>
          </w:tcPr>
          <w:p>
            <w:pPr>
              <w:pStyle w:val="Normal"/>
              <w:keepNext w:val="true"/>
              <w:keepLines/>
              <w:tabs>
                <w:tab w:val="clear" w:pos="708"/>
                <w:tab w:val="left" w:pos="5670" w:leader="none"/>
              </w:tabs>
              <w:spacing w:lineRule="auto" w:line="240" w:before="0" w:after="0"/>
              <w:ind w:hanging="0" w:start="0"/>
              <w:jc w:val="center"/>
              <w:rPr>
                <w:rFonts w:eastAsia="Calibri"/>
                <w:b/>
              </w:rPr>
            </w:pPr>
            <w:r>
              <w:rPr>
                <w:rFonts w:eastAsia="Calibri"/>
                <w:b/>
              </w:rPr>
              <w:t>Наименование документа</w:t>
            </w:r>
          </w:p>
        </w:tc>
        <w:tc>
          <w:tcPr>
            <w:tcW w:w="2899" w:type="dxa"/>
            <w:tcBorders>
              <w:top w:val="single" w:sz="4" w:space="0" w:color="000000"/>
              <w:start w:val="single" w:sz="4" w:space="0" w:color="000000"/>
              <w:bottom w:val="single" w:sz="4" w:space="0" w:color="000000"/>
              <w:end w:val="single" w:sz="4" w:space="0" w:color="000000"/>
            </w:tcBorders>
            <w:vAlign w:val="center"/>
          </w:tcPr>
          <w:p>
            <w:pPr>
              <w:pStyle w:val="Normal"/>
              <w:keepNext w:val="true"/>
              <w:keepLines/>
              <w:tabs>
                <w:tab w:val="clear" w:pos="708"/>
                <w:tab w:val="left" w:pos="5670" w:leader="none"/>
              </w:tabs>
              <w:spacing w:lineRule="auto" w:line="240" w:before="0" w:after="0"/>
              <w:ind w:hanging="0" w:start="0"/>
              <w:jc w:val="center"/>
              <w:rPr>
                <w:rFonts w:eastAsia="Calibri"/>
                <w:b/>
              </w:rPr>
            </w:pPr>
            <w:r>
              <w:rPr>
                <w:rFonts w:eastAsia="Calibri"/>
                <w:b/>
              </w:rPr>
              <w:t>Способ получения документа</w:t>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1</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rPr>
                <w:lang w:eastAsia="ru-RU"/>
              </w:rPr>
            </w:pPr>
            <w:r>
              <w:rPr>
                <w:lang w:eastAsia="ru-RU"/>
              </w:rPr>
              <w:t>Общее описание Системы</w:t>
            </w:r>
          </w:p>
        </w:tc>
        <w:tc>
          <w:tcPr>
            <w:tcW w:w="2899"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5670" w:leader="none"/>
              </w:tabs>
              <w:spacing w:lineRule="auto" w:line="240" w:before="0" w:after="0"/>
              <w:ind w:hanging="0" w:start="57"/>
              <w:jc w:val="center"/>
              <w:rPr>
                <w:rFonts w:eastAsia="Calibri"/>
              </w:rPr>
            </w:pPr>
            <w:r>
              <w:rPr>
                <w:rFonts w:eastAsia="Calibri"/>
              </w:rPr>
              <w:t>Предоставляется по запросу Исполнителя в течение 5 (Пяти) рабочих дней после регистрации Заказчиком соответствующего запроса</w:t>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2</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Схема структурная комплекса технических средств</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3</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Описание информационного обеспечения</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4</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Описание программного обеспечения</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5</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Пояснительная записка к техническому проекту</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6</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Программа и методические материалы для подготовки пользователей по вопросам работы с Системой</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7</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Регламент информационного взаимодействия</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8</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Регламент резервного копирования</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9</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Руководство администратора</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10</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Руководство пользователя</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11</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План мониторинга</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r>
        <w:trPr/>
        <w:tc>
          <w:tcPr>
            <w:tcW w:w="674"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08"/>
                <w:tab w:val="left" w:pos="5670" w:leader="none"/>
              </w:tabs>
              <w:spacing w:lineRule="auto" w:line="240" w:before="0" w:after="0"/>
              <w:ind w:hanging="142" w:start="57" w:end="57"/>
              <w:jc w:val="center"/>
              <w:rPr>
                <w:lang w:eastAsia="ru-RU"/>
              </w:rPr>
            </w:pPr>
            <w:r>
              <w:rPr>
                <w:lang w:eastAsia="ru-RU"/>
              </w:rPr>
              <w:t>12</w:t>
            </w:r>
          </w:p>
        </w:tc>
        <w:tc>
          <w:tcPr>
            <w:tcW w:w="634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0" w:end="20"/>
              <w:rPr>
                <w:lang w:eastAsia="ru-RU"/>
              </w:rPr>
            </w:pPr>
            <w:r>
              <w:rPr>
                <w:lang w:eastAsia="ru-RU"/>
              </w:rPr>
              <w:t>Модель угроз Системы и организационно-распорядительные документы в сфере информационной безопасности</w:t>
            </w:r>
          </w:p>
        </w:tc>
        <w:tc>
          <w:tcPr>
            <w:tcW w:w="2899"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708"/>
                <w:tab w:val="left" w:pos="5670" w:leader="none"/>
              </w:tabs>
              <w:spacing w:lineRule="auto" w:line="240" w:before="0" w:after="0"/>
              <w:ind w:hanging="0" w:start="57"/>
              <w:jc w:val="start"/>
              <w:rPr>
                <w:rFonts w:eastAsia="Calibri"/>
              </w:rPr>
            </w:pPr>
            <w:r>
              <w:rPr>
                <w:rFonts w:eastAsia="Calibri"/>
              </w:rPr>
            </w:r>
          </w:p>
        </w:tc>
      </w:tr>
    </w:tbl>
    <w:p>
      <w:pPr>
        <w:pStyle w:val="Style44"/>
        <w:spacing w:lineRule="auto" w:line="240"/>
        <w:ind w:hanging="0"/>
        <w:rPr/>
      </w:pPr>
      <w:r>
        <w:rPr/>
      </w:r>
    </w:p>
    <w:p>
      <w:pPr>
        <w:pStyle w:val="26"/>
        <w:spacing w:lineRule="auto" w:line="240"/>
        <w:ind w:firstLine="709" w:start="0"/>
        <w:rPr>
          <w:rFonts w:ascii="Times New Roman" w:hAnsi="Times New Roman"/>
        </w:rPr>
      </w:pPr>
      <w:bookmarkStart w:id="81" w:name="__RefHeading___Toc33514_3559854210"/>
      <w:bookmarkStart w:id="82" w:name="_Toc215755875"/>
      <w:bookmarkStart w:id="83" w:name="_Toc177129075"/>
      <w:bookmarkEnd w:id="81"/>
      <w:r>
        <w:rPr>
          <w:rFonts w:ascii="Times New Roman" w:hAnsi="Times New Roman"/>
        </w:rPr>
        <w:t>Технические средства</w:t>
      </w:r>
      <w:bookmarkEnd w:id="82"/>
      <w:bookmarkEnd w:id="83"/>
    </w:p>
    <w:p>
      <w:pPr>
        <w:pStyle w:val="Style44"/>
        <w:spacing w:lineRule="auto" w:line="240"/>
        <w:rPr/>
      </w:pPr>
      <w:r>
        <w:rPr/>
        <w:t>Состав технических средств (виртуальных машин) и их технические характеристики приведены в (</w:t>
      </w:r>
      <w:r>
        <w:rPr/>
        <w:fldChar w:fldCharType="begin"/>
      </w:r>
      <w:r>
        <w:rPr/>
        <w:instrText xml:space="preserve"> REF _Ref192512570 \h </w:instrText>
      </w:r>
      <w:r>
        <w:rPr/>
        <w:fldChar w:fldCharType="separate"/>
      </w:r>
      <w:r>
        <w:rPr/>
        <w:t>Таблица 11</w:t>
      </w:r>
      <w:r>
        <w:rPr/>
        <w:fldChar w:fldCharType="end"/>
      </w:r>
      <w:r>
        <w:rPr/>
        <w:t>).</w:t>
      </w:r>
    </w:p>
    <w:p>
      <w:pPr>
        <w:pStyle w:val="Caption"/>
        <w:rPr>
          <w:i w:val="false"/>
          <w:i w:val="false"/>
          <w:iCs w:val="false"/>
          <w:color w:val="auto"/>
          <w:sz w:val="24"/>
          <w:szCs w:val="24"/>
          <w:lang w:eastAsia="ru-RU"/>
        </w:rPr>
      </w:pPr>
      <w:bookmarkStart w:id="84" w:name="_Ref192512570"/>
      <w:r>
        <w:rPr>
          <w:i w:val="false"/>
          <w:iCs w:val="false"/>
          <w:color w:val="auto"/>
          <w:sz w:val="24"/>
          <w:szCs w:val="24"/>
          <w:lang w:eastAsia="ru-RU"/>
        </w:rPr>
        <w:t xml:space="preserve">Таблица </w:t>
      </w:r>
      <w:r>
        <w:rPr>
          <w:i w:val="false"/>
          <w:iCs w:val="false"/>
          <w:color w:val="auto"/>
          <w:sz w:val="24"/>
          <w:szCs w:val="24"/>
          <w:lang w:eastAsia="ru-RU"/>
        </w:rPr>
        <w:fldChar w:fldCharType="begin"/>
      </w:r>
      <w:r>
        <w:rPr>
          <w:sz w:val="24"/>
          <w:i w:val="false"/>
          <w:szCs w:val="24"/>
          <w:iCs w:val="false"/>
          <w:color w:val="auto"/>
          <w:lang w:eastAsia="ru-RU"/>
        </w:rPr>
        <w:instrText xml:space="preserve"> SEQ Таблица \* ARABIC </w:instrText>
      </w:r>
      <w:r>
        <w:rPr>
          <w:sz w:val="24"/>
          <w:i w:val="false"/>
          <w:szCs w:val="24"/>
          <w:iCs w:val="false"/>
          <w:color w:val="auto"/>
          <w:lang w:eastAsia="ru-RU"/>
        </w:rPr>
        <w:fldChar w:fldCharType="separate"/>
      </w:r>
      <w:r>
        <w:rPr>
          <w:sz w:val="24"/>
          <w:i w:val="false"/>
          <w:szCs w:val="24"/>
          <w:iCs w:val="false"/>
          <w:color w:val="auto"/>
          <w:lang w:eastAsia="ru-RU"/>
        </w:rPr>
        <w:t>11</w:t>
      </w:r>
      <w:r>
        <w:rPr>
          <w:sz w:val="24"/>
          <w:i w:val="false"/>
          <w:szCs w:val="24"/>
          <w:iCs w:val="false"/>
          <w:color w:val="auto"/>
          <w:lang w:eastAsia="ru-RU"/>
        </w:rPr>
        <w:fldChar w:fldCharType="end"/>
      </w:r>
      <w:bookmarkEnd w:id="84"/>
      <w:r>
        <w:rPr>
          <w:i w:val="false"/>
          <w:iCs w:val="false"/>
          <w:color w:val="auto"/>
          <w:sz w:val="24"/>
          <w:szCs w:val="24"/>
          <w:lang w:eastAsia="ru-RU"/>
        </w:rPr>
        <w:t xml:space="preserve"> – Комплекс технических средств Системы.</w:t>
      </w:r>
    </w:p>
    <w:tbl>
      <w:tblPr>
        <w:tblStyle w:val="affffff4"/>
        <w:tblW w:w="1013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676"/>
        <w:gridCol w:w="2690"/>
        <w:gridCol w:w="1279"/>
        <w:gridCol w:w="1415"/>
        <w:gridCol w:w="1227"/>
        <w:gridCol w:w="2175"/>
        <w:gridCol w:w="675"/>
      </w:tblGrid>
      <w:tr>
        <w:trPr/>
        <w:tc>
          <w:tcPr>
            <w:tcW w:w="676" w:type="dxa"/>
            <w:tcBorders/>
            <w:vAlign w:val="center"/>
          </w:tcPr>
          <w:p>
            <w:pPr>
              <w:pStyle w:val="Style44"/>
              <w:widowControl/>
              <w:suppressAutoHyphens w:val="true"/>
              <w:spacing w:lineRule="auto" w:line="240" w:before="0" w:after="0"/>
              <w:ind w:hanging="0"/>
              <w:contextualSpacing/>
              <w:jc w:val="center"/>
              <w:rPr>
                <w:b/>
                <w:bCs/>
              </w:rPr>
            </w:pPr>
            <w:r>
              <w:rPr>
                <w:rFonts w:eastAsia="Times New Roman" w:cs="Times New Roman"/>
                <w:b/>
                <w:bCs/>
                <w:kern w:val="0"/>
                <w:lang w:val="ru-RU" w:bidi="ar-SA"/>
              </w:rPr>
              <w:t xml:space="preserve">№ </w:t>
            </w:r>
            <w:r>
              <w:rPr>
                <w:rFonts w:eastAsia="Times New Roman" w:cs="Times New Roman"/>
                <w:b/>
                <w:bCs/>
                <w:kern w:val="0"/>
                <w:lang w:val="ru-RU" w:bidi="ar-SA"/>
              </w:rPr>
              <w:t>п/п</w:t>
            </w:r>
          </w:p>
        </w:tc>
        <w:tc>
          <w:tcPr>
            <w:tcW w:w="2690" w:type="dxa"/>
            <w:tcBorders/>
            <w:vAlign w:val="center"/>
          </w:tcPr>
          <w:p>
            <w:pPr>
              <w:pStyle w:val="Style44"/>
              <w:widowControl/>
              <w:suppressAutoHyphens w:val="true"/>
              <w:spacing w:lineRule="auto" w:line="240" w:before="0" w:after="0"/>
              <w:ind w:hanging="0"/>
              <w:contextualSpacing/>
              <w:jc w:val="center"/>
              <w:rPr>
                <w:b/>
                <w:bCs/>
              </w:rPr>
            </w:pPr>
            <w:r>
              <w:rPr>
                <w:rFonts w:eastAsia="Times New Roman" w:cs="Times New Roman"/>
                <w:b/>
                <w:bCs/>
                <w:kern w:val="0"/>
                <w:lang w:val="ru-RU" w:bidi="ar-SA"/>
              </w:rPr>
              <w:t>Элемент вычислительной инфраструктуры</w:t>
            </w:r>
          </w:p>
        </w:tc>
        <w:tc>
          <w:tcPr>
            <w:tcW w:w="1279" w:type="dxa"/>
            <w:tcBorders/>
            <w:vAlign w:val="center"/>
          </w:tcPr>
          <w:p>
            <w:pPr>
              <w:pStyle w:val="Style44"/>
              <w:widowControl/>
              <w:suppressAutoHyphens w:val="true"/>
              <w:spacing w:lineRule="auto" w:line="240" w:before="0" w:after="0"/>
              <w:ind w:hanging="0" w:start="-142" w:end="-74"/>
              <w:contextualSpacing/>
              <w:jc w:val="center"/>
              <w:rPr>
                <w:b/>
                <w:bCs/>
              </w:rPr>
            </w:pPr>
            <w:r>
              <w:rPr>
                <w:rFonts w:eastAsia="Times New Roman" w:cs="Times New Roman"/>
                <w:b/>
                <w:bCs/>
                <w:kern w:val="0"/>
                <w:lang w:val="ru-RU" w:bidi="ar-SA"/>
              </w:rPr>
              <w:t>Процессор</w:t>
            </w:r>
          </w:p>
          <w:p>
            <w:pPr>
              <w:pStyle w:val="Style44"/>
              <w:widowControl/>
              <w:suppressAutoHyphens w:val="true"/>
              <w:spacing w:lineRule="auto" w:line="240" w:before="0" w:after="0"/>
              <w:ind w:hanging="0" w:start="-142" w:end="-74"/>
              <w:contextualSpacing/>
              <w:jc w:val="center"/>
              <w:rPr>
                <w:b/>
                <w:bCs/>
              </w:rPr>
            </w:pPr>
            <w:r>
              <w:rPr>
                <w:rFonts w:eastAsia="Times New Roman" w:cs="Times New Roman"/>
                <w:b/>
                <w:bCs/>
                <w:kern w:val="0"/>
                <w:lang w:val="ru-RU" w:bidi="ar-SA"/>
              </w:rPr>
              <w:t>(vCPU), кол-во.</w:t>
            </w:r>
          </w:p>
        </w:tc>
        <w:tc>
          <w:tcPr>
            <w:tcW w:w="1415" w:type="dxa"/>
            <w:tcBorders/>
            <w:vAlign w:val="center"/>
          </w:tcPr>
          <w:p>
            <w:pPr>
              <w:pStyle w:val="Style44"/>
              <w:widowControl/>
              <w:suppressAutoHyphens w:val="true"/>
              <w:spacing w:lineRule="auto" w:line="240" w:before="0" w:after="0"/>
              <w:ind w:hanging="0"/>
              <w:contextualSpacing/>
              <w:jc w:val="center"/>
              <w:rPr>
                <w:b/>
                <w:bCs/>
              </w:rPr>
            </w:pPr>
            <w:r>
              <w:rPr>
                <w:rFonts w:eastAsia="Times New Roman" w:cs="Times New Roman"/>
                <w:b/>
                <w:bCs/>
                <w:kern w:val="0"/>
                <w:lang w:val="ru-RU" w:bidi="ar-SA"/>
              </w:rPr>
              <w:t>Объем ОЗУ</w:t>
            </w:r>
          </w:p>
          <w:p>
            <w:pPr>
              <w:pStyle w:val="Style44"/>
              <w:widowControl/>
              <w:suppressAutoHyphens w:val="true"/>
              <w:spacing w:lineRule="auto" w:line="240" w:before="0" w:after="0"/>
              <w:ind w:hanging="0"/>
              <w:contextualSpacing/>
              <w:jc w:val="center"/>
              <w:rPr>
                <w:b/>
                <w:bCs/>
              </w:rPr>
            </w:pPr>
            <w:r>
              <w:rPr>
                <w:rFonts w:eastAsia="Times New Roman" w:cs="Times New Roman"/>
                <w:b/>
                <w:bCs/>
                <w:kern w:val="0"/>
                <w:lang w:val="ru-RU" w:bidi="ar-SA"/>
              </w:rPr>
              <w:t>(v</w:t>
            </w:r>
            <w:r>
              <w:rPr>
                <w:rFonts w:eastAsia="Times New Roman" w:cs="Times New Roman"/>
                <w:b/>
                <w:bCs/>
                <w:kern w:val="0"/>
                <w:lang w:val="en-US" w:bidi="ar-SA"/>
              </w:rPr>
              <w:t>ME</w:t>
            </w:r>
            <w:r>
              <w:rPr>
                <w:rFonts w:eastAsia="Times New Roman" w:cs="Times New Roman"/>
                <w:b/>
                <w:bCs/>
                <w:kern w:val="0"/>
                <w:lang w:val="ru-RU" w:bidi="ar-SA"/>
              </w:rPr>
              <w:t>M)</w:t>
            </w:r>
            <w:r>
              <w:rPr>
                <w:rFonts w:eastAsia="Times New Roman" w:cs="Times New Roman"/>
                <w:b/>
                <w:bCs/>
                <w:kern w:val="0"/>
                <w:lang w:val="en-US" w:bidi="ar-SA"/>
              </w:rPr>
              <w:t xml:space="preserve">, </w:t>
            </w:r>
            <w:r>
              <w:rPr>
                <w:rFonts w:eastAsia="Times New Roman" w:cs="Times New Roman"/>
                <w:b/>
                <w:bCs/>
                <w:kern w:val="0"/>
                <w:lang w:val="ru-RU" w:bidi="ar-SA"/>
              </w:rPr>
              <w:t>Гб</w:t>
            </w:r>
          </w:p>
        </w:tc>
        <w:tc>
          <w:tcPr>
            <w:tcW w:w="1227" w:type="dxa"/>
            <w:tcBorders/>
            <w:vAlign w:val="center"/>
          </w:tcPr>
          <w:p>
            <w:pPr>
              <w:pStyle w:val="Style44"/>
              <w:widowControl/>
              <w:suppressAutoHyphens w:val="true"/>
              <w:spacing w:lineRule="auto" w:line="240" w:before="0" w:after="0"/>
              <w:ind w:hanging="0"/>
              <w:contextualSpacing/>
              <w:jc w:val="center"/>
              <w:rPr>
                <w:b/>
                <w:bCs/>
              </w:rPr>
            </w:pPr>
            <w:r>
              <w:rPr>
                <w:rFonts w:eastAsia="Times New Roman" w:cs="Times New Roman"/>
                <w:b/>
                <w:bCs/>
                <w:kern w:val="0"/>
                <w:lang w:val="ru-RU" w:bidi="ar-SA"/>
              </w:rPr>
              <w:t>Подсистема хранения</w:t>
            </w:r>
          </w:p>
          <w:p>
            <w:pPr>
              <w:pStyle w:val="Style44"/>
              <w:widowControl/>
              <w:suppressAutoHyphens w:val="true"/>
              <w:spacing w:lineRule="auto" w:line="240" w:before="0" w:after="0"/>
              <w:ind w:hanging="0"/>
              <w:contextualSpacing/>
              <w:jc w:val="center"/>
              <w:rPr>
                <w:b/>
                <w:bCs/>
                <w:lang w:val="en-US"/>
              </w:rPr>
            </w:pPr>
            <w:r>
              <w:rPr>
                <w:rFonts w:eastAsia="Times New Roman" w:cs="Times New Roman"/>
                <w:b/>
                <w:bCs/>
                <w:kern w:val="0"/>
                <w:lang w:val="ru-RU" w:bidi="ar-SA"/>
              </w:rPr>
              <w:t>(vHDD)</w:t>
            </w:r>
          </w:p>
        </w:tc>
        <w:tc>
          <w:tcPr>
            <w:tcW w:w="2175" w:type="dxa"/>
            <w:tcBorders/>
            <w:vAlign w:val="center"/>
          </w:tcPr>
          <w:p>
            <w:pPr>
              <w:pStyle w:val="Style44"/>
              <w:widowControl/>
              <w:suppressAutoHyphens w:val="true"/>
              <w:spacing w:lineRule="auto" w:line="240" w:before="0" w:after="0"/>
              <w:ind w:hanging="0"/>
              <w:contextualSpacing/>
              <w:jc w:val="center"/>
              <w:rPr>
                <w:b/>
                <w:bCs/>
              </w:rPr>
            </w:pPr>
            <w:r>
              <w:rPr>
                <w:rFonts w:eastAsia="Times New Roman" w:cs="Times New Roman"/>
                <w:b/>
                <w:bCs/>
                <w:kern w:val="0"/>
                <w:lang w:val="ru-RU" w:bidi="ar-SA"/>
              </w:rPr>
              <w:t>Программное обеспечение</w:t>
            </w:r>
          </w:p>
        </w:tc>
        <w:tc>
          <w:tcPr>
            <w:tcW w:w="675" w:type="dxa"/>
            <w:tcBorders/>
            <w:vAlign w:val="center"/>
          </w:tcPr>
          <w:p>
            <w:pPr>
              <w:pStyle w:val="Style44"/>
              <w:widowControl/>
              <w:suppressAutoHyphens w:val="true"/>
              <w:spacing w:lineRule="auto" w:line="240" w:before="0" w:after="0"/>
              <w:ind w:hanging="0"/>
              <w:contextualSpacing/>
              <w:jc w:val="center"/>
              <w:rPr>
                <w:b/>
                <w:bCs/>
              </w:rPr>
            </w:pPr>
            <w:r>
              <w:rPr>
                <w:rFonts w:eastAsia="Times New Roman" w:cs="Times New Roman"/>
                <w:b/>
                <w:bCs/>
                <w:kern w:val="0"/>
                <w:lang w:val="ru-RU" w:bidi="ar-SA"/>
              </w:rPr>
              <w:t>Кол-во</w:t>
            </w:r>
          </w:p>
        </w:tc>
      </w:tr>
      <w:tr>
        <w:trPr/>
        <w:tc>
          <w:tcPr>
            <w:tcW w:w="676"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c>
          <w:tcPr>
            <w:tcW w:w="2690" w:type="dxa"/>
            <w:tcBorders/>
            <w:vAlign w:val="center"/>
          </w:tcPr>
          <w:p>
            <w:pPr>
              <w:pStyle w:val="Style44"/>
              <w:widowControl/>
              <w:suppressAutoHyphens w:val="true"/>
              <w:spacing w:lineRule="auto" w:line="240" w:before="0" w:after="0"/>
              <w:ind w:hanging="0"/>
              <w:contextualSpacing/>
              <w:jc w:val="start"/>
              <w:rPr>
                <w:lang w:val="en-US"/>
              </w:rPr>
            </w:pPr>
            <w:r>
              <w:rPr>
                <w:rFonts w:eastAsia="Times New Roman" w:cs="Times New Roman"/>
                <w:kern w:val="0"/>
                <w:lang w:val="en-US" w:bidi="ar-SA"/>
              </w:rPr>
              <w:t>kr01-lb-01.sasduemo.mosreg.ru</w:t>
            </w:r>
          </w:p>
        </w:tc>
        <w:tc>
          <w:tcPr>
            <w:tcW w:w="1279"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1</w:t>
            </w:r>
          </w:p>
        </w:tc>
        <w:tc>
          <w:tcPr>
            <w:tcW w:w="1415"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1</w:t>
            </w:r>
          </w:p>
        </w:tc>
        <w:tc>
          <w:tcPr>
            <w:tcW w:w="1227"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50</w:t>
            </w:r>
          </w:p>
        </w:tc>
        <w:tc>
          <w:tcPr>
            <w:tcW w:w="2175"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RHEL7, Nginx</w:t>
            </w:r>
          </w:p>
        </w:tc>
        <w:tc>
          <w:tcPr>
            <w:tcW w:w="67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r>
      <w:tr>
        <w:trPr>
          <w:trHeight w:val="240" w:hRule="atLeast"/>
        </w:trPr>
        <w:tc>
          <w:tcPr>
            <w:tcW w:w="676"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2.</w:t>
            </w:r>
          </w:p>
        </w:tc>
        <w:tc>
          <w:tcPr>
            <w:tcW w:w="2690" w:type="dxa"/>
            <w:tcBorders/>
            <w:vAlign w:val="center"/>
          </w:tcPr>
          <w:p>
            <w:pPr>
              <w:pStyle w:val="Style44"/>
              <w:widowControl/>
              <w:suppressAutoHyphens w:val="true"/>
              <w:spacing w:lineRule="auto" w:line="240" w:before="0" w:after="0"/>
              <w:ind w:hanging="0"/>
              <w:contextualSpacing/>
              <w:jc w:val="start"/>
              <w:rPr>
                <w:lang w:val="en-US"/>
              </w:rPr>
            </w:pPr>
            <w:r>
              <w:rPr>
                <w:rFonts w:eastAsia="Times New Roman" w:cs="Times New Roman"/>
                <w:kern w:val="0"/>
                <w:lang w:val="en-US" w:bidi="ar-SA"/>
              </w:rPr>
              <w:t>kr01-app-01.sasduemo.mosreg.ru</w:t>
            </w:r>
          </w:p>
        </w:tc>
        <w:tc>
          <w:tcPr>
            <w:tcW w:w="1279"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4</w:t>
            </w:r>
          </w:p>
        </w:tc>
        <w:tc>
          <w:tcPr>
            <w:tcW w:w="141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8</w:t>
            </w:r>
          </w:p>
        </w:tc>
        <w:tc>
          <w:tcPr>
            <w:tcW w:w="1227"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50</w:t>
            </w:r>
          </w:p>
        </w:tc>
        <w:tc>
          <w:tcPr>
            <w:tcW w:w="2175"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 xml:space="preserve">RHEL7, Nginx, NodeJS, OpenJDK, Postfix, Ofelia, Jasperserver, Signature, </w:t>
            </w:r>
            <w:r>
              <w:rPr>
                <w:rFonts w:eastAsia="Times New Roman" w:cs="Times New Roman"/>
                <w:kern w:val="0"/>
                <w:lang w:val="ru-RU" w:bidi="ar-SA"/>
              </w:rPr>
              <w:t>САСДУЭ</w:t>
            </w:r>
          </w:p>
        </w:tc>
        <w:tc>
          <w:tcPr>
            <w:tcW w:w="67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r>
      <w:tr>
        <w:trPr/>
        <w:tc>
          <w:tcPr>
            <w:tcW w:w="676"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3.</w:t>
            </w:r>
          </w:p>
        </w:tc>
        <w:tc>
          <w:tcPr>
            <w:tcW w:w="2690" w:type="dxa"/>
            <w:tcBorders/>
            <w:vAlign w:val="center"/>
          </w:tcPr>
          <w:p>
            <w:pPr>
              <w:pStyle w:val="Style44"/>
              <w:widowControl/>
              <w:suppressAutoHyphens w:val="true"/>
              <w:spacing w:lineRule="auto" w:line="240" w:before="0" w:after="0"/>
              <w:ind w:hanging="0"/>
              <w:contextualSpacing/>
              <w:jc w:val="start"/>
              <w:rPr>
                <w:lang w:val="en-US"/>
              </w:rPr>
            </w:pPr>
            <w:r>
              <w:rPr>
                <w:rFonts w:eastAsia="Times New Roman" w:cs="Times New Roman"/>
                <w:kern w:val="0"/>
                <w:lang w:val="en-US" w:bidi="ar-SA"/>
              </w:rPr>
              <w:t>kr01-db-01.sasduemo.mosreg.ru</w:t>
            </w:r>
          </w:p>
        </w:tc>
        <w:tc>
          <w:tcPr>
            <w:tcW w:w="1279"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4</w:t>
            </w:r>
          </w:p>
        </w:tc>
        <w:tc>
          <w:tcPr>
            <w:tcW w:w="141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16</w:t>
            </w:r>
          </w:p>
        </w:tc>
        <w:tc>
          <w:tcPr>
            <w:tcW w:w="1227"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550</w:t>
            </w:r>
          </w:p>
        </w:tc>
        <w:tc>
          <w:tcPr>
            <w:tcW w:w="2175"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RHEL7, PostgreSQL, Sphinxsearch,</w:t>
            </w:r>
          </w:p>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Zabbix</w:t>
            </w:r>
          </w:p>
        </w:tc>
        <w:tc>
          <w:tcPr>
            <w:tcW w:w="67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r>
      <w:tr>
        <w:trPr/>
        <w:tc>
          <w:tcPr>
            <w:tcW w:w="676"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4.</w:t>
            </w:r>
          </w:p>
        </w:tc>
        <w:tc>
          <w:tcPr>
            <w:tcW w:w="2690" w:type="dxa"/>
            <w:tcBorders/>
            <w:vAlign w:val="center"/>
          </w:tcPr>
          <w:p>
            <w:pPr>
              <w:pStyle w:val="Style44"/>
              <w:widowControl/>
              <w:suppressAutoHyphens w:val="true"/>
              <w:spacing w:lineRule="auto" w:line="240" w:before="0" w:after="0"/>
              <w:ind w:hanging="0"/>
              <w:contextualSpacing/>
              <w:jc w:val="start"/>
              <w:rPr>
                <w:lang w:val="en-US"/>
              </w:rPr>
            </w:pPr>
            <w:r>
              <w:rPr>
                <w:rFonts w:eastAsia="Times New Roman" w:cs="Times New Roman"/>
                <w:kern w:val="0"/>
                <w:lang w:val="en-US" w:bidi="ar-SA"/>
              </w:rPr>
              <w:t>kr01-fs-01.sasduemo.mosreg.ru</w:t>
            </w:r>
          </w:p>
        </w:tc>
        <w:tc>
          <w:tcPr>
            <w:tcW w:w="1279"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2</w:t>
            </w:r>
          </w:p>
        </w:tc>
        <w:tc>
          <w:tcPr>
            <w:tcW w:w="141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4</w:t>
            </w:r>
          </w:p>
        </w:tc>
        <w:tc>
          <w:tcPr>
            <w:tcW w:w="1227"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150</w:t>
            </w:r>
          </w:p>
        </w:tc>
        <w:tc>
          <w:tcPr>
            <w:tcW w:w="2175"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RHEL7,</w:t>
            </w:r>
          </w:p>
        </w:tc>
        <w:tc>
          <w:tcPr>
            <w:tcW w:w="67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r>
      <w:tr>
        <w:trPr/>
        <w:tc>
          <w:tcPr>
            <w:tcW w:w="676"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5.</w:t>
            </w:r>
          </w:p>
        </w:tc>
        <w:tc>
          <w:tcPr>
            <w:tcW w:w="2690" w:type="dxa"/>
            <w:tcBorders/>
            <w:vAlign w:val="center"/>
          </w:tcPr>
          <w:p>
            <w:pPr>
              <w:pStyle w:val="Style44"/>
              <w:widowControl/>
              <w:suppressAutoHyphens w:val="true"/>
              <w:spacing w:lineRule="auto" w:line="240" w:before="0" w:after="0"/>
              <w:ind w:hanging="0"/>
              <w:contextualSpacing/>
              <w:jc w:val="start"/>
              <w:rPr>
                <w:lang w:val="en-US"/>
              </w:rPr>
            </w:pPr>
            <w:r>
              <w:rPr>
                <w:rFonts w:eastAsia="Times New Roman" w:cs="Times New Roman"/>
                <w:kern w:val="0"/>
                <w:lang w:val="en-US" w:bidi="ar-SA"/>
              </w:rPr>
              <w:t>kr01-db-02.sasduemo.mosreg.ru</w:t>
            </w:r>
          </w:p>
        </w:tc>
        <w:tc>
          <w:tcPr>
            <w:tcW w:w="1279"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4</w:t>
            </w:r>
          </w:p>
        </w:tc>
        <w:tc>
          <w:tcPr>
            <w:tcW w:w="141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16</w:t>
            </w:r>
          </w:p>
        </w:tc>
        <w:tc>
          <w:tcPr>
            <w:tcW w:w="1227"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550</w:t>
            </w:r>
          </w:p>
        </w:tc>
        <w:tc>
          <w:tcPr>
            <w:tcW w:w="2175"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RHEL7, PostgreSQL, Sphinxsearch</w:t>
            </w:r>
          </w:p>
        </w:tc>
        <w:tc>
          <w:tcPr>
            <w:tcW w:w="67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r>
      <w:tr>
        <w:trPr/>
        <w:tc>
          <w:tcPr>
            <w:tcW w:w="676"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6.</w:t>
            </w:r>
          </w:p>
        </w:tc>
        <w:tc>
          <w:tcPr>
            <w:tcW w:w="2690" w:type="dxa"/>
            <w:tcBorders/>
            <w:vAlign w:val="center"/>
          </w:tcPr>
          <w:p>
            <w:pPr>
              <w:pStyle w:val="Style44"/>
              <w:widowControl/>
              <w:suppressAutoHyphens w:val="true"/>
              <w:spacing w:lineRule="auto" w:line="240" w:before="0" w:after="0"/>
              <w:ind w:hanging="0"/>
              <w:contextualSpacing/>
              <w:jc w:val="start"/>
              <w:rPr>
                <w:lang w:val="en-US"/>
              </w:rPr>
            </w:pPr>
            <w:r>
              <w:rPr>
                <w:rFonts w:eastAsia="Times New Roman" w:cs="Times New Roman"/>
                <w:kern w:val="0"/>
                <w:lang w:val="en-US" w:bidi="ar-SA"/>
              </w:rPr>
              <w:t>kr01-app-02.sasduemo.mosreg.ru</w:t>
            </w:r>
          </w:p>
        </w:tc>
        <w:tc>
          <w:tcPr>
            <w:tcW w:w="1279"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4</w:t>
            </w:r>
          </w:p>
        </w:tc>
        <w:tc>
          <w:tcPr>
            <w:tcW w:w="141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8</w:t>
            </w:r>
          </w:p>
        </w:tc>
        <w:tc>
          <w:tcPr>
            <w:tcW w:w="1227"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50</w:t>
            </w:r>
          </w:p>
        </w:tc>
        <w:tc>
          <w:tcPr>
            <w:tcW w:w="2175" w:type="dxa"/>
            <w:tcBorders/>
            <w:vAlign w:val="center"/>
          </w:tcPr>
          <w:p>
            <w:pPr>
              <w:pStyle w:val="Style44"/>
              <w:widowControl/>
              <w:suppressAutoHyphens w:val="true"/>
              <w:spacing w:lineRule="auto" w:line="240" w:before="0" w:after="0"/>
              <w:ind w:hanging="0"/>
              <w:contextualSpacing/>
              <w:jc w:val="center"/>
              <w:rPr>
                <w:lang w:val="en-US"/>
              </w:rPr>
            </w:pPr>
            <w:r>
              <w:rPr>
                <w:rFonts w:eastAsia="Times New Roman" w:cs="Times New Roman"/>
                <w:kern w:val="0"/>
                <w:lang w:val="en-US" w:bidi="ar-SA"/>
              </w:rPr>
              <w:t xml:space="preserve">RHEL7, Nginx, NodeJS, OpenJDK, Postfix, Ofelia, Jasperserver, Signature, </w:t>
            </w:r>
            <w:r>
              <w:rPr>
                <w:rFonts w:eastAsia="Times New Roman" w:cs="Times New Roman"/>
                <w:kern w:val="0"/>
                <w:lang w:val="ru-RU" w:bidi="ar-SA"/>
              </w:rPr>
              <w:t>САСДУЭ</w:t>
            </w:r>
          </w:p>
        </w:tc>
        <w:tc>
          <w:tcPr>
            <w:tcW w:w="675" w:type="dxa"/>
            <w:tcBorders/>
            <w:vAlign w:val="center"/>
          </w:tcPr>
          <w:p>
            <w:pPr>
              <w:pStyle w:val="Style44"/>
              <w:widowControl/>
              <w:suppressAutoHyphens w:val="true"/>
              <w:spacing w:lineRule="auto" w:line="240" w:before="0" w:after="0"/>
              <w:ind w:hanging="0"/>
              <w:contextualSpacing/>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r>
    </w:tbl>
    <w:p>
      <w:pPr>
        <w:pStyle w:val="Style44"/>
        <w:spacing w:lineRule="auto" w:line="240"/>
        <w:ind w:hanging="0"/>
        <w:rPr>
          <w:lang w:val="en-US"/>
        </w:rPr>
      </w:pPr>
      <w:r>
        <w:rPr>
          <w:lang w:val="en-US"/>
        </w:rPr>
      </w:r>
    </w:p>
    <w:p>
      <w:pPr>
        <w:pStyle w:val="26"/>
        <w:spacing w:lineRule="auto" w:line="240"/>
        <w:ind w:firstLine="709" w:start="0"/>
        <w:rPr>
          <w:rFonts w:ascii="Times New Roman" w:hAnsi="Times New Roman"/>
        </w:rPr>
      </w:pPr>
      <w:bookmarkStart w:id="85" w:name="__RefHeading___Toc33516_3559854210"/>
      <w:bookmarkStart w:id="86" w:name="_Toc215755876"/>
      <w:bookmarkStart w:id="87" w:name="_Toc177129076"/>
      <w:bookmarkEnd w:id="85"/>
      <w:r>
        <w:rPr>
          <w:rFonts w:ascii="Times New Roman" w:hAnsi="Times New Roman"/>
        </w:rPr>
        <w:t>Программные средства</w:t>
      </w:r>
      <w:bookmarkEnd w:id="86"/>
      <w:bookmarkEnd w:id="87"/>
    </w:p>
    <w:p>
      <w:pPr>
        <w:pStyle w:val="Style44"/>
        <w:tabs>
          <w:tab w:val="clear" w:pos="708"/>
          <w:tab w:val="left" w:pos="6973" w:leader="none"/>
          <w:tab w:val="left" w:pos="7067" w:leader="none"/>
        </w:tabs>
        <w:spacing w:lineRule="auto" w:line="240" w:before="0" w:after="120"/>
        <w:contextualSpacing w:val="false"/>
        <w:rPr>
          <w:szCs w:val="28"/>
        </w:rPr>
      </w:pPr>
      <w:r>
        <w:rPr/>
        <w:t>Сведения о программном обеспечении, используемом в рамках Системы, представлены в (</w:t>
      </w:r>
      <w:r>
        <w:rPr/>
        <w:fldChar w:fldCharType="begin"/>
      </w:r>
      <w:r>
        <w:rPr/>
        <w:instrText xml:space="preserve"> REF _Ref192512650 \h </w:instrText>
      </w:r>
      <w:r>
        <w:rPr/>
        <w:fldChar w:fldCharType="separate"/>
      </w:r>
      <w:r>
        <w:rPr/>
        <w:t>Таблица 12</w:t>
      </w:r>
      <w:r>
        <w:rPr/>
        <w:fldChar w:fldCharType="end"/>
      </w:r>
      <w:r>
        <w:rPr/>
        <w:t>).</w:t>
      </w:r>
    </w:p>
    <w:p>
      <w:pPr>
        <w:pStyle w:val="Caption"/>
        <w:rPr>
          <w:i w:val="false"/>
          <w:i w:val="false"/>
          <w:iCs w:val="false"/>
          <w:color w:val="auto"/>
          <w:sz w:val="24"/>
          <w:szCs w:val="24"/>
        </w:rPr>
      </w:pPr>
      <w:bookmarkStart w:id="88" w:name="_Ref192512650"/>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12</w:t>
      </w:r>
      <w:r>
        <w:rPr>
          <w:sz w:val="24"/>
          <w:i w:val="false"/>
          <w:szCs w:val="24"/>
          <w:iCs w:val="false"/>
          <w:color w:val="auto"/>
        </w:rPr>
        <w:fldChar w:fldCharType="end"/>
      </w:r>
      <w:bookmarkEnd w:id="88"/>
      <w:r>
        <w:rPr>
          <w:i w:val="false"/>
          <w:iCs w:val="false"/>
          <w:color w:val="auto"/>
          <w:sz w:val="24"/>
          <w:szCs w:val="24"/>
        </w:rPr>
        <w:t xml:space="preserve"> – Сведения о ПО, используемом в рамках Системы.</w:t>
      </w:r>
    </w:p>
    <w:tbl>
      <w:tblPr>
        <w:tblStyle w:val="affffff4"/>
        <w:tblW w:w="1013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813"/>
        <w:gridCol w:w="1417"/>
        <w:gridCol w:w="4681"/>
        <w:gridCol w:w="3224"/>
      </w:tblGrid>
      <w:tr>
        <w:trPr>
          <w:tblHeader w:val="true"/>
        </w:trPr>
        <w:tc>
          <w:tcPr>
            <w:tcW w:w="813" w:type="dxa"/>
            <w:tcBorders/>
            <w:vAlign w:val="center"/>
          </w:tcPr>
          <w:p>
            <w:pPr>
              <w:pStyle w:val="Style44"/>
              <w:widowControl/>
              <w:suppressAutoHyphens w:val="true"/>
              <w:spacing w:lineRule="auto" w:line="240" w:before="0" w:after="0"/>
              <w:ind w:hanging="0"/>
              <w:contextualSpacing w:val="false"/>
              <w:jc w:val="center"/>
              <w:rPr>
                <w:b/>
                <w:bCs/>
              </w:rPr>
            </w:pPr>
            <w:r>
              <w:rPr>
                <w:rFonts w:eastAsia="Times New Roman" w:cs="Times New Roman"/>
                <w:b/>
                <w:bCs/>
                <w:kern w:val="0"/>
                <w:lang w:val="ru-RU" w:bidi="ar-SA"/>
              </w:rPr>
              <w:t xml:space="preserve">№ </w:t>
            </w:r>
            <w:r>
              <w:rPr>
                <w:rFonts w:eastAsia="Times New Roman" w:cs="Times New Roman"/>
                <w:b/>
                <w:bCs/>
                <w:kern w:val="0"/>
                <w:lang w:val="ru-RU" w:bidi="ar-SA"/>
              </w:rPr>
              <w:t>п/п</w:t>
            </w:r>
          </w:p>
        </w:tc>
        <w:tc>
          <w:tcPr>
            <w:tcW w:w="1417" w:type="dxa"/>
            <w:tcBorders/>
            <w:vAlign w:val="center"/>
          </w:tcPr>
          <w:p>
            <w:pPr>
              <w:pStyle w:val="Style44"/>
              <w:widowControl/>
              <w:suppressAutoHyphens w:val="true"/>
              <w:spacing w:lineRule="auto" w:line="240" w:before="0" w:after="0"/>
              <w:ind w:hanging="0"/>
              <w:contextualSpacing w:val="false"/>
              <w:jc w:val="center"/>
              <w:rPr>
                <w:b/>
                <w:bCs/>
              </w:rPr>
            </w:pPr>
            <w:r>
              <w:rPr>
                <w:rFonts w:eastAsia="Times New Roman" w:cs="Times New Roman"/>
                <w:b/>
                <w:bCs/>
                <w:kern w:val="0"/>
                <w:lang w:val="ru-RU" w:bidi="ar-SA"/>
              </w:rPr>
              <w:t>Наименование ПО</w:t>
            </w:r>
          </w:p>
        </w:tc>
        <w:tc>
          <w:tcPr>
            <w:tcW w:w="4681" w:type="dxa"/>
            <w:tcBorders/>
            <w:vAlign w:val="center"/>
          </w:tcPr>
          <w:p>
            <w:pPr>
              <w:pStyle w:val="Style44"/>
              <w:widowControl/>
              <w:suppressAutoHyphens w:val="true"/>
              <w:spacing w:lineRule="auto" w:line="240" w:before="0" w:after="0"/>
              <w:ind w:hanging="0"/>
              <w:contextualSpacing w:val="false"/>
              <w:jc w:val="center"/>
              <w:rPr>
                <w:b/>
                <w:bCs/>
              </w:rPr>
            </w:pPr>
            <w:r>
              <w:rPr>
                <w:rFonts w:eastAsia="Times New Roman" w:cs="Times New Roman"/>
                <w:b/>
                <w:bCs/>
                <w:kern w:val="0"/>
                <w:lang w:val="ru-RU" w:bidi="ar-SA"/>
              </w:rPr>
              <w:t>Описание ПО</w:t>
            </w:r>
          </w:p>
        </w:tc>
        <w:tc>
          <w:tcPr>
            <w:tcW w:w="3224" w:type="dxa"/>
            <w:tcBorders/>
            <w:vAlign w:val="center"/>
          </w:tcPr>
          <w:p>
            <w:pPr>
              <w:pStyle w:val="Style44"/>
              <w:widowControl/>
              <w:suppressAutoHyphens w:val="true"/>
              <w:spacing w:lineRule="auto" w:line="240" w:before="0" w:after="0"/>
              <w:ind w:hanging="0"/>
              <w:contextualSpacing w:val="false"/>
              <w:jc w:val="center"/>
              <w:rPr>
                <w:b/>
                <w:bCs/>
              </w:rPr>
            </w:pPr>
            <w:r>
              <w:rPr>
                <w:rFonts w:eastAsia="Times New Roman" w:cs="Times New Roman"/>
                <w:b/>
                <w:bCs/>
                <w:kern w:val="0"/>
                <w:lang w:val="ru-RU" w:bidi="ar-SA"/>
              </w:rPr>
              <w:t>Тип интеллектуальных прав, которыми обладает Заказчик на ПО</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1.</w:t>
            </w:r>
          </w:p>
        </w:tc>
        <w:tc>
          <w:tcPr>
            <w:tcW w:w="1417"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PostgreSQL</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Система управления базами данных (СУБД)</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Свободное программное обеспечение</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2.</w:t>
            </w:r>
          </w:p>
        </w:tc>
        <w:tc>
          <w:tcPr>
            <w:tcW w:w="1417"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NGINX</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Прокси-сервер для балансировки нагрузки</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Свободное программное обеспечение</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3.</w:t>
            </w:r>
          </w:p>
        </w:tc>
        <w:tc>
          <w:tcPr>
            <w:tcW w:w="1417"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Zabbix</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Система мониторинга доступности элементов вычислительной инфраструктуры: сервисов компьютерной сети, серверов и сетевого оборудования</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Свободное программное обеспечение</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4.</w:t>
            </w:r>
          </w:p>
        </w:tc>
        <w:tc>
          <w:tcPr>
            <w:tcW w:w="1417"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en-US" w:bidi="ar-SA"/>
              </w:rPr>
              <w:t>RHEL 7</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Операционная система</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Лицензии предоставлены ЦОД</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5.</w:t>
            </w:r>
          </w:p>
        </w:tc>
        <w:tc>
          <w:tcPr>
            <w:tcW w:w="1417"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en-US" w:bidi="ar-SA"/>
              </w:rPr>
              <w:t>Perl</w:t>
            </w:r>
          </w:p>
        </w:tc>
        <w:tc>
          <w:tcPr>
            <w:tcW w:w="4681"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ru-RU" w:bidi="ar-SA"/>
              </w:rPr>
              <w:t xml:space="preserve">Интерпретатор языка </w:t>
            </w:r>
            <w:r>
              <w:rPr>
                <w:rFonts w:eastAsia="Times New Roman" w:cs="Times New Roman"/>
                <w:kern w:val="0"/>
                <w:lang w:val="en-US" w:bidi="ar-SA"/>
              </w:rPr>
              <w:t>Perl</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Свободное программное обеспечение</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6.</w:t>
            </w:r>
          </w:p>
        </w:tc>
        <w:tc>
          <w:tcPr>
            <w:tcW w:w="1417"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en-US" w:bidi="ar-SA"/>
              </w:rPr>
              <w:t>NodeJS</w:t>
            </w:r>
          </w:p>
        </w:tc>
        <w:tc>
          <w:tcPr>
            <w:tcW w:w="4681"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ru-RU" w:bidi="ar-SA"/>
              </w:rPr>
              <w:t xml:space="preserve">Интерпретатор языка </w:t>
            </w:r>
            <w:r>
              <w:rPr>
                <w:rFonts w:eastAsia="Times New Roman" w:cs="Times New Roman"/>
                <w:kern w:val="0"/>
                <w:lang w:val="en-US" w:bidi="ar-SA"/>
              </w:rPr>
              <w:t>NodeJS</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Свободное программное обеспечение</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7.</w:t>
            </w:r>
          </w:p>
        </w:tc>
        <w:tc>
          <w:tcPr>
            <w:tcW w:w="1417"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en-US" w:bidi="ar-SA"/>
              </w:rPr>
              <w:t>OpenJDK</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en-US" w:bidi="ar-SA"/>
              </w:rPr>
              <w:t>JAVA</w:t>
            </w:r>
            <w:r>
              <w:rPr>
                <w:rFonts w:eastAsia="Times New Roman" w:cs="Times New Roman"/>
                <w:kern w:val="0"/>
                <w:lang w:val="ru-RU" w:bidi="ar-SA"/>
              </w:rPr>
              <w:t>-машина</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Свободное программное обеспечение</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8.</w:t>
            </w:r>
          </w:p>
        </w:tc>
        <w:tc>
          <w:tcPr>
            <w:tcW w:w="1417"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en-US" w:bidi="ar-SA"/>
              </w:rPr>
              <w:t>Postfix</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Сервер рассылки почтовых уведомлений</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Свободное программное обеспечение</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9.</w:t>
            </w:r>
          </w:p>
        </w:tc>
        <w:tc>
          <w:tcPr>
            <w:tcW w:w="1417"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en-US" w:bidi="ar-SA"/>
              </w:rPr>
              <w:t>Ofelia</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Планировщик заданий</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Свободное программное обеспечение</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10.</w:t>
            </w:r>
          </w:p>
        </w:tc>
        <w:tc>
          <w:tcPr>
            <w:tcW w:w="1417"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en-US" w:bidi="ar-SA"/>
              </w:rPr>
              <w:t>Sphinxsearch</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Индексатор</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Свободное программное обеспечение</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11.</w:t>
            </w:r>
          </w:p>
        </w:tc>
        <w:tc>
          <w:tcPr>
            <w:tcW w:w="1417"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СПО САСДУЭ</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Основная подсистема САСДУЭ</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12.</w:t>
            </w:r>
          </w:p>
        </w:tc>
        <w:tc>
          <w:tcPr>
            <w:tcW w:w="1417"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ru-RU" w:bidi="ar-SA"/>
              </w:rPr>
              <w:t xml:space="preserve">СПО </w:t>
            </w:r>
            <w:r>
              <w:rPr>
                <w:rFonts w:eastAsia="Times New Roman" w:cs="Times New Roman"/>
                <w:kern w:val="0"/>
                <w:lang w:val="en-US" w:bidi="ar-SA"/>
              </w:rPr>
              <w:t>JasperServer</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Модуль печати отчётов</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w:t>
            </w:r>
          </w:p>
        </w:tc>
      </w:tr>
      <w:tr>
        <w:trPr/>
        <w:tc>
          <w:tcPr>
            <w:tcW w:w="813"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13.</w:t>
            </w:r>
          </w:p>
        </w:tc>
        <w:tc>
          <w:tcPr>
            <w:tcW w:w="1417" w:type="dxa"/>
            <w:tcBorders/>
            <w:vAlign w:val="center"/>
          </w:tcPr>
          <w:p>
            <w:pPr>
              <w:pStyle w:val="Style44"/>
              <w:widowControl/>
              <w:suppressAutoHyphens w:val="true"/>
              <w:spacing w:lineRule="auto" w:line="240" w:before="0" w:after="0"/>
              <w:ind w:hanging="0"/>
              <w:contextualSpacing w:val="false"/>
              <w:rPr>
                <w:lang w:val="en-US"/>
              </w:rPr>
            </w:pPr>
            <w:r>
              <w:rPr>
                <w:rFonts w:eastAsia="Times New Roman" w:cs="Times New Roman"/>
                <w:kern w:val="0"/>
                <w:lang w:val="ru-RU" w:bidi="ar-SA"/>
              </w:rPr>
              <w:t xml:space="preserve">СПО </w:t>
            </w:r>
            <w:r>
              <w:rPr>
                <w:rFonts w:eastAsia="Times New Roman" w:cs="Times New Roman"/>
                <w:kern w:val="0"/>
                <w:lang w:val="en-US" w:bidi="ar-SA"/>
              </w:rPr>
              <w:t>Signature</w:t>
            </w:r>
          </w:p>
        </w:tc>
        <w:tc>
          <w:tcPr>
            <w:tcW w:w="4681"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Сервис подписывания и проверки электронных сообщений</w:t>
            </w:r>
          </w:p>
        </w:tc>
        <w:tc>
          <w:tcPr>
            <w:tcW w:w="3224" w:type="dxa"/>
            <w:tcBorders/>
            <w:vAlign w:val="center"/>
          </w:tcPr>
          <w:p>
            <w:pPr>
              <w:pStyle w:val="Style44"/>
              <w:widowControl/>
              <w:suppressAutoHyphens w:val="true"/>
              <w:spacing w:lineRule="auto" w:line="240" w:before="0" w:after="0"/>
              <w:ind w:hanging="0"/>
              <w:contextualSpacing w:val="false"/>
              <w:rPr>
                <w:rFonts w:ascii="Times New Roman" w:hAnsi="Times New Roman" w:eastAsia="Times New Roman" w:cs="Times New Roman"/>
                <w:kern w:val="0"/>
                <w:lang w:val="ru-RU" w:bidi="ar-SA"/>
              </w:rPr>
            </w:pPr>
            <w:r>
              <w:rPr>
                <w:rFonts w:eastAsia="Times New Roman" w:cs="Times New Roman"/>
                <w:kern w:val="0"/>
                <w:lang w:val="ru-RU" w:bidi="ar-SA"/>
              </w:rPr>
              <w:t>-</w:t>
            </w:r>
          </w:p>
        </w:tc>
      </w:tr>
    </w:tbl>
    <w:p>
      <w:pPr>
        <w:pStyle w:val="Normal"/>
        <w:spacing w:lineRule="auto" w:line="240"/>
        <w:rPr/>
      </w:pPr>
      <w:r>
        <w:rPr/>
      </w:r>
    </w:p>
    <w:p>
      <w:pPr>
        <w:pStyle w:val="26"/>
        <w:spacing w:lineRule="auto" w:line="240"/>
        <w:ind w:firstLine="709" w:start="0"/>
        <w:rPr>
          <w:rFonts w:ascii="Times New Roman" w:hAnsi="Times New Roman"/>
        </w:rPr>
      </w:pPr>
      <w:bookmarkStart w:id="89" w:name="__RefHeading___Toc33518_3559854210"/>
      <w:bookmarkStart w:id="90" w:name="_Toc215755877"/>
      <w:bookmarkStart w:id="91" w:name="_Toc177129077"/>
      <w:bookmarkEnd w:id="89"/>
      <w:r>
        <w:rPr>
          <w:rFonts w:ascii="Times New Roman" w:hAnsi="Times New Roman"/>
        </w:rPr>
        <w:t>Сведения о регистрации Системы в Реестре информационных систем Московской области</w:t>
      </w:r>
      <w:bookmarkEnd w:id="90"/>
      <w:bookmarkEnd w:id="91"/>
    </w:p>
    <w:p>
      <w:pPr>
        <w:pStyle w:val="Style44"/>
        <w:spacing w:lineRule="auto" w:line="240"/>
        <w:rPr/>
      </w:pPr>
      <w:r>
        <w:rPr/>
        <w:t>Системе присвоен учетный/регистрационный номер 103-Р в Реестре информационных систем Московской области, актуализацию которого осуществляет Министерство государственного управления, информационных технологий и связи Московской области в соответствии с Постановлением Губернатора Московской области от 02.03.2010 № 21-ПГ «Об учете и регистрации информационных систем Московской области».</w:t>
      </w:r>
    </w:p>
    <w:p>
      <w:pPr>
        <w:pStyle w:val="15"/>
        <w:spacing w:lineRule="auto" w:line="240" w:before="0" w:after="0"/>
        <w:ind w:firstLine="709" w:start="0"/>
        <w:rPr>
          <w:rFonts w:ascii="Times New Roman" w:hAnsi="Times New Roman"/>
        </w:rPr>
      </w:pPr>
      <w:bookmarkStart w:id="92" w:name="__RefHeading___Toc33520_3559854210"/>
      <w:bookmarkStart w:id="93" w:name="_Toc177129078"/>
      <w:bookmarkStart w:id="94" w:name="_Ref192582809"/>
      <w:bookmarkStart w:id="95" w:name="_Toc215755878"/>
      <w:bookmarkEnd w:id="92"/>
      <w:r>
        <w:rPr>
          <w:rFonts w:ascii="Times New Roman" w:hAnsi="Times New Roman"/>
        </w:rPr>
        <w:t>Требования к составу Услуг, результатам, срокам и этапам их выполнения</w:t>
      </w:r>
      <w:bookmarkEnd w:id="93"/>
      <w:bookmarkEnd w:id="94"/>
      <w:bookmarkEnd w:id="95"/>
    </w:p>
    <w:p>
      <w:pPr>
        <w:pStyle w:val="120"/>
        <w:spacing w:lineRule="auto" w:line="276" w:before="119" w:after="240"/>
        <w:ind w:firstLine="709" w:start="0"/>
        <w:contextualSpacing/>
        <w:jc w:val="both"/>
        <w:rPr/>
      </w:pPr>
      <w:r>
        <w:rPr/>
        <w:t>Состав услуг, которые должен оказать Исполнитель, их ожидаемые результаты, сроки и этапы выполнения приведены в Календарном плане (Приложение 1 к настоящему ТЗ).</w:t>
      </w:r>
    </w:p>
    <w:p>
      <w:pPr>
        <w:pStyle w:val="15"/>
        <w:spacing w:lineRule="auto" w:line="240" w:before="0" w:after="0"/>
        <w:ind w:firstLine="709" w:start="0"/>
        <w:rPr>
          <w:rFonts w:ascii="Times New Roman" w:hAnsi="Times New Roman"/>
          <w:szCs w:val="24"/>
        </w:rPr>
      </w:pPr>
      <w:bookmarkStart w:id="96" w:name="__RefHeading___Toc33522_3559854210"/>
      <w:bookmarkStart w:id="97" w:name="_Toc177129079"/>
      <w:bookmarkStart w:id="98" w:name="_Toc215755879"/>
      <w:bookmarkEnd w:id="96"/>
      <w:r>
        <w:rPr>
          <w:rFonts w:ascii="Times New Roman" w:hAnsi="Times New Roman"/>
          <w:szCs w:val="24"/>
        </w:rPr>
        <w:t>Требования к оказанию Услуг</w:t>
      </w:r>
      <w:bookmarkEnd w:id="97"/>
      <w:bookmarkEnd w:id="98"/>
    </w:p>
    <w:p>
      <w:pPr>
        <w:pStyle w:val="26"/>
        <w:spacing w:lineRule="auto" w:line="240"/>
        <w:ind w:firstLine="709" w:start="0"/>
        <w:rPr>
          <w:rFonts w:ascii="Times New Roman" w:hAnsi="Times New Roman"/>
          <w:szCs w:val="24"/>
        </w:rPr>
      </w:pPr>
      <w:bookmarkStart w:id="99" w:name="__RefHeading___Toc33524_3559854210"/>
      <w:bookmarkStart w:id="100" w:name="_Toc215755880"/>
      <w:bookmarkStart w:id="101" w:name="_Toc177129080"/>
      <w:bookmarkEnd w:id="99"/>
      <w:r>
        <w:rPr>
          <w:rFonts w:ascii="Times New Roman" w:hAnsi="Times New Roman"/>
          <w:szCs w:val="24"/>
        </w:rPr>
        <w:t>Общие требования к оказанию услуг</w:t>
      </w:r>
      <w:bookmarkEnd w:id="100"/>
      <w:bookmarkEnd w:id="101"/>
    </w:p>
    <w:p>
      <w:pPr>
        <w:pStyle w:val="120"/>
        <w:spacing w:before="0" w:after="0"/>
        <w:ind w:firstLine="709" w:start="0"/>
        <w:contextualSpacing/>
        <w:jc w:val="both"/>
        <w:rPr/>
      </w:pPr>
      <w:r>
        <w:rPr/>
        <w:t>Оказание услуг должно осуществляться в соответствии с действующим законодательством Российской Федерации и Московской области, в том числе требованиями распоряжения Министерства государственного управления, информационных технологий и связи Московской области от 08.07.2016 № 10-49/РВ «О размещении информационных систем на вычислительных ресурсах Единой инфраструктуры технологического обеспечения Правительства Московской области». Исполнитель должен выполнить все процедуры и подготовить соответствующие документы, необходимые для выделения и использования ресурсов ЕИТО, предусмотренные вышеуказанным распоряжением.</w:t>
      </w:r>
    </w:p>
    <w:p>
      <w:pPr>
        <w:pStyle w:val="120"/>
        <w:spacing w:before="0" w:after="0"/>
        <w:ind w:firstLine="709" w:start="0"/>
        <w:contextualSpacing/>
        <w:jc w:val="both"/>
        <w:rPr/>
      </w:pPr>
      <w:r>
        <w:rPr/>
        <w:t>В рамках оказания услуг Исполнитель должен организовать работу СТП, состоящей из профильных специалистов Исполнителя для оказания услуг, описанных в п. 5.4ТЗ.</w:t>
      </w:r>
    </w:p>
    <w:p>
      <w:pPr>
        <w:pStyle w:val="120"/>
        <w:spacing w:before="0" w:after="0"/>
        <w:ind w:firstLine="709" w:start="0"/>
        <w:contextualSpacing/>
        <w:jc w:val="both"/>
        <w:rPr/>
      </w:pPr>
      <w:r>
        <w:rPr/>
        <w:t>Все обращения пользователей Системы, поступающие в СТП, подлежат обязательной регистрации в СУТП, с присвоением УИН.</w:t>
      </w:r>
    </w:p>
    <w:p>
      <w:pPr>
        <w:pStyle w:val="120"/>
        <w:spacing w:before="0" w:after="0"/>
        <w:ind w:firstLine="709" w:start="0"/>
        <w:contextualSpacing/>
        <w:jc w:val="both"/>
        <w:rPr/>
      </w:pPr>
      <w:r>
        <w:rPr/>
        <w:t>Оказываемые услуги не должны нарушать существующую модель угроз Системы и организационно-распорядительные документы в сфере информационной безопасности.</w:t>
      </w:r>
    </w:p>
    <w:p>
      <w:pPr>
        <w:pStyle w:val="120"/>
        <w:spacing w:before="0" w:after="0"/>
        <w:ind w:firstLine="709" w:start="0"/>
        <w:contextualSpacing/>
        <w:jc w:val="both"/>
        <w:rPr/>
      </w:pPr>
      <w:r>
        <w:rPr/>
        <w:t>Услуги должны оказываться в течение всего срока оказания услуг, определенного в Календарном плане (Приложение 1 к ТЗ). Параметры режима оказания услуг приведены в (</w:t>
      </w:r>
      <w:r>
        <w:rPr/>
        <w:fldChar w:fldCharType="begin"/>
      </w:r>
      <w:r>
        <w:rPr/>
        <w:instrText xml:space="preserve"> REF _Ref192512804 \h </w:instrText>
      </w:r>
      <w:r>
        <w:rPr/>
        <w:fldChar w:fldCharType="separate"/>
      </w:r>
      <w:r>
        <w:rPr/>
        <w:t>Таблица 13</w:t>
      </w:r>
      <w:r>
        <w:rPr/>
        <w:fldChar w:fldCharType="end"/>
      </w:r>
      <w:r>
        <w:rPr/>
        <w:t>).</w:t>
      </w:r>
    </w:p>
    <w:p>
      <w:pPr>
        <w:pStyle w:val="120"/>
        <w:spacing w:before="0" w:after="0"/>
        <w:ind w:firstLine="709" w:start="0"/>
        <w:contextualSpacing/>
        <w:jc w:val="both"/>
        <w:rPr/>
      </w:pPr>
      <w:r>
        <w:rPr/>
        <w:t>Исполнитель обязан обеспечить безопасность персональных данных при их обработке с использованием средств защиты информации (в том числе, шифровальных (криптографических), средств предотвращения несанкционированного доступа, утечки информации по техническим каналам и т.п.).</w:t>
      </w:r>
    </w:p>
    <w:p>
      <w:pPr>
        <w:pStyle w:val="120"/>
        <w:spacing w:before="0" w:after="0"/>
        <w:ind w:firstLine="709" w:start="0"/>
        <w:contextualSpacing/>
        <w:jc w:val="both"/>
        <w:rPr/>
      </w:pPr>
      <w:r>
        <w:rPr/>
        <w:t>Исполнитель гарантирует качество и безопасность оказываемых услуг в соответствии с действующими стандартами и правилами, утвержденными на данный вид услуг, а также в соответствии сТЗ.</w:t>
      </w:r>
    </w:p>
    <w:p>
      <w:pPr>
        <w:pStyle w:val="120"/>
        <w:spacing w:before="0" w:after="0"/>
        <w:ind w:firstLine="709" w:start="0"/>
        <w:contextualSpacing/>
        <w:jc w:val="both"/>
        <w:rPr/>
      </w:pPr>
      <w:r>
        <w:rPr/>
        <w:t>Перечень результатов оказания услуг приведен в Календарном плане (Приложение 1 к ТЗ).</w:t>
      </w:r>
    </w:p>
    <w:p>
      <w:pPr>
        <w:pStyle w:val="120"/>
        <w:spacing w:before="0" w:after="0"/>
        <w:ind w:firstLine="709" w:start="0"/>
        <w:contextualSpacing/>
        <w:jc w:val="both"/>
        <w:rPr/>
      </w:pPr>
      <w:r>
        <w:rPr/>
      </w:r>
    </w:p>
    <w:p>
      <w:pPr>
        <w:pStyle w:val="26"/>
        <w:spacing w:lineRule="auto" w:line="240" w:before="0" w:after="120"/>
        <w:ind w:firstLine="709" w:start="0"/>
        <w:rPr>
          <w:rFonts w:ascii="Times New Roman" w:hAnsi="Times New Roman"/>
          <w:szCs w:val="24"/>
        </w:rPr>
      </w:pPr>
      <w:bookmarkStart w:id="102" w:name="__RefHeading___Toc33526_3559854210"/>
      <w:bookmarkStart w:id="103" w:name="_Toc215755881"/>
      <w:bookmarkStart w:id="104" w:name="_Ref192582848"/>
      <w:bookmarkStart w:id="105" w:name="_Ref192582835"/>
      <w:bookmarkStart w:id="106" w:name="_Toc177129081"/>
      <w:bookmarkEnd w:id="102"/>
      <w:r>
        <w:rPr>
          <w:rFonts w:ascii="Times New Roman" w:hAnsi="Times New Roman"/>
          <w:szCs w:val="24"/>
        </w:rPr>
        <w:t>Требования к составу услуг и режиму их оказания</w:t>
      </w:r>
      <w:bookmarkEnd w:id="103"/>
      <w:bookmarkEnd w:id="104"/>
      <w:bookmarkEnd w:id="105"/>
      <w:bookmarkEnd w:id="106"/>
    </w:p>
    <w:p>
      <w:pPr>
        <w:pStyle w:val="Style44"/>
        <w:tabs>
          <w:tab w:val="clear" w:pos="708"/>
          <w:tab w:val="left" w:pos="6973" w:leader="none"/>
          <w:tab w:val="left" w:pos="7067" w:leader="none"/>
        </w:tabs>
        <w:spacing w:lineRule="auto" w:line="240" w:before="0" w:after="120"/>
        <w:contextualSpacing w:val="false"/>
        <w:rPr/>
      </w:pPr>
      <w:r>
        <w:rPr/>
        <w:t>Параметры режима оказания услуг приведены в (</w:t>
      </w:r>
      <w:r>
        <w:rPr/>
        <w:fldChar w:fldCharType="begin"/>
      </w:r>
      <w:r>
        <w:rPr/>
        <w:instrText xml:space="preserve"> REF _Ref192512804 \h </w:instrText>
      </w:r>
      <w:r>
        <w:rPr/>
        <w:fldChar w:fldCharType="separate"/>
      </w:r>
      <w:r>
        <w:rPr/>
        <w:t>Таблица 13</w:t>
      </w:r>
      <w:r>
        <w:rPr/>
        <w:fldChar w:fldCharType="end"/>
      </w:r>
      <w:r>
        <w:rPr/>
        <w:t>).</w:t>
      </w:r>
    </w:p>
    <w:p>
      <w:pPr>
        <w:pStyle w:val="Caption"/>
        <w:rPr>
          <w:i w:val="false"/>
          <w:i w:val="false"/>
          <w:iCs w:val="false"/>
          <w:color w:val="auto"/>
          <w:sz w:val="24"/>
          <w:szCs w:val="24"/>
        </w:rPr>
      </w:pPr>
      <w:bookmarkStart w:id="107" w:name="_Ref192512804"/>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13</w:t>
      </w:r>
      <w:r>
        <w:rPr>
          <w:sz w:val="24"/>
          <w:i w:val="false"/>
          <w:szCs w:val="24"/>
          <w:iCs w:val="false"/>
          <w:color w:val="auto"/>
        </w:rPr>
        <w:fldChar w:fldCharType="end"/>
      </w:r>
      <w:bookmarkEnd w:id="107"/>
      <w:r>
        <w:rPr>
          <w:i w:val="false"/>
          <w:iCs w:val="false"/>
          <w:color w:val="auto"/>
          <w:sz w:val="24"/>
          <w:szCs w:val="24"/>
        </w:rPr>
        <w:t xml:space="preserve"> – Параметры режима оказания услуг.</w:t>
      </w:r>
    </w:p>
    <w:tbl>
      <w:tblPr>
        <w:tblW w:w="9930" w:type="dxa"/>
        <w:jc w:val="start"/>
        <w:tblInd w:w="109" w:type="dxa"/>
        <w:tblLayout w:type="fixed"/>
        <w:tblCellMar>
          <w:top w:w="0" w:type="dxa"/>
          <w:start w:w="108" w:type="dxa"/>
          <w:bottom w:w="0" w:type="dxa"/>
          <w:end w:w="108" w:type="dxa"/>
        </w:tblCellMar>
        <w:tblLook w:val="04a0" w:noHBand="0" w:noVBand="1" w:firstColumn="1" w:lastRow="0" w:lastColumn="0" w:firstRow="1"/>
      </w:tblPr>
      <w:tblGrid>
        <w:gridCol w:w="3733"/>
        <w:gridCol w:w="6196"/>
      </w:tblGrid>
      <w:tr>
        <w:trPr>
          <w:tblHeader w:val="true"/>
        </w:trPr>
        <w:tc>
          <w:tcPr>
            <w:tcW w:w="37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57" w:end="-57"/>
              <w:jc w:val="center"/>
              <w:rPr>
                <w:rFonts w:eastAsia="MS Mincho"/>
                <w:b/>
                <w:bCs/>
                <w:sz w:val="24"/>
                <w:szCs w:val="24"/>
                <w:lang w:eastAsia="ko-KR"/>
              </w:rPr>
            </w:pPr>
            <w:r>
              <w:rPr>
                <w:rFonts w:eastAsia="MS Mincho"/>
                <w:b/>
                <w:bCs/>
                <w:sz w:val="24"/>
                <w:szCs w:val="24"/>
                <w:lang w:eastAsia="ko-KR"/>
              </w:rPr>
              <w:t>Параметр</w:t>
            </w:r>
          </w:p>
        </w:tc>
        <w:tc>
          <w:tcPr>
            <w:tcW w:w="61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57" w:end="-57"/>
              <w:jc w:val="center"/>
              <w:rPr>
                <w:rFonts w:eastAsia="MS Mincho"/>
                <w:b/>
                <w:bCs/>
                <w:sz w:val="24"/>
                <w:szCs w:val="24"/>
                <w:lang w:eastAsia="ko-KR"/>
              </w:rPr>
            </w:pPr>
            <w:r>
              <w:rPr>
                <w:rFonts w:eastAsia="MS Mincho"/>
                <w:b/>
                <w:bCs/>
                <w:sz w:val="24"/>
                <w:szCs w:val="24"/>
                <w:lang w:eastAsia="ko-KR"/>
              </w:rPr>
              <w:t>Значение (время московское)</w:t>
            </w:r>
          </w:p>
        </w:tc>
      </w:tr>
      <w:tr>
        <w:trPr>
          <w:trHeight w:val="493" w:hRule="atLeast"/>
        </w:trPr>
        <w:tc>
          <w:tcPr>
            <w:tcW w:w="37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start"/>
              <w:rPr>
                <w:rFonts w:eastAsia="MS Mincho"/>
                <w:bCs/>
                <w:sz w:val="24"/>
                <w:szCs w:val="24"/>
                <w:lang w:eastAsia="ko-KR"/>
              </w:rPr>
            </w:pPr>
            <w:r>
              <w:rPr>
                <w:rFonts w:eastAsia="MS Mincho"/>
                <w:bCs/>
                <w:sz w:val="24"/>
                <w:szCs w:val="24"/>
                <w:lang w:eastAsia="ko-KR"/>
              </w:rPr>
              <w:t>Режим работы Системы</w:t>
            </w:r>
          </w:p>
        </w:tc>
        <w:tc>
          <w:tcPr>
            <w:tcW w:w="61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rPr>
                <w:bCs/>
                <w:sz w:val="24"/>
                <w:szCs w:val="24"/>
                <w:lang w:eastAsia="ko-KR"/>
              </w:rPr>
            </w:pPr>
            <w:r>
              <w:rPr>
                <w:rFonts w:eastAsia="MS Mincho"/>
                <w:bCs/>
                <w:sz w:val="24"/>
                <w:szCs w:val="24"/>
                <w:lang w:eastAsia="ko-KR"/>
              </w:rPr>
              <w:t>24×7</w:t>
            </w:r>
          </w:p>
        </w:tc>
      </w:tr>
      <w:tr>
        <w:trPr>
          <w:trHeight w:val="493" w:hRule="atLeast"/>
        </w:trPr>
        <w:tc>
          <w:tcPr>
            <w:tcW w:w="37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start"/>
              <w:rPr>
                <w:rFonts w:eastAsia="MS Mincho"/>
                <w:b/>
                <w:bCs/>
                <w:sz w:val="24"/>
                <w:szCs w:val="24"/>
                <w:lang w:eastAsia="ko-KR"/>
              </w:rPr>
            </w:pPr>
            <w:r>
              <w:rPr>
                <w:rFonts w:eastAsia="MS Mincho"/>
                <w:bCs/>
                <w:sz w:val="24"/>
                <w:szCs w:val="24"/>
                <w:lang w:eastAsia="ko-KR"/>
              </w:rPr>
              <w:t>Рабочее время</w:t>
            </w:r>
          </w:p>
        </w:tc>
        <w:tc>
          <w:tcPr>
            <w:tcW w:w="61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rPr>
                <w:b/>
                <w:bCs/>
                <w:sz w:val="24"/>
                <w:szCs w:val="24"/>
                <w:lang w:eastAsia="ko-KR"/>
              </w:rPr>
            </w:pPr>
            <w:r>
              <w:rPr>
                <w:bCs/>
                <w:sz w:val="24"/>
                <w:szCs w:val="24"/>
                <w:lang w:eastAsia="ko-KR"/>
              </w:rPr>
              <w:t>09:00 – 18:00 по рабочим дням (в соответствии с Трудовым кодексом Российской Федерации)</w:t>
            </w:r>
          </w:p>
        </w:tc>
      </w:tr>
      <w:tr>
        <w:trPr/>
        <w:tc>
          <w:tcPr>
            <w:tcW w:w="37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start"/>
              <w:rPr>
                <w:rFonts w:eastAsia="MS Mincho"/>
                <w:b/>
                <w:bCs/>
                <w:sz w:val="24"/>
                <w:szCs w:val="24"/>
                <w:lang w:eastAsia="ko-KR"/>
              </w:rPr>
            </w:pPr>
            <w:r>
              <w:rPr>
                <w:rFonts w:eastAsia="MS Mincho"/>
                <w:bCs/>
                <w:sz w:val="24"/>
                <w:szCs w:val="24"/>
                <w:lang w:eastAsia="ko-KR"/>
              </w:rPr>
              <w:t>*Сервисное окно</w:t>
            </w:r>
          </w:p>
        </w:tc>
        <w:tc>
          <w:tcPr>
            <w:tcW w:w="61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rPr>
                <w:bCs/>
                <w:sz w:val="24"/>
                <w:szCs w:val="24"/>
                <w:lang w:eastAsia="ko-KR"/>
              </w:rPr>
            </w:pPr>
            <w:r>
              <w:rPr>
                <w:bCs/>
                <w:sz w:val="24"/>
                <w:szCs w:val="24"/>
                <w:lang w:eastAsia="ko-KR"/>
              </w:rPr>
              <w:t>с 20:00 до 07:00 часов по рабочим дням (в соответствии с Трудовым кодексом Российской Федерации), круглосуточно – по выходным.</w:t>
            </w:r>
          </w:p>
          <w:p>
            <w:pPr>
              <w:pStyle w:val="Normal"/>
              <w:spacing w:lineRule="auto" w:line="240" w:before="0" w:after="0"/>
              <w:ind w:hanging="0" w:start="0"/>
              <w:rPr>
                <w:bCs/>
                <w:sz w:val="24"/>
                <w:szCs w:val="24"/>
                <w:lang w:eastAsia="ko-KR"/>
              </w:rPr>
            </w:pPr>
            <w:r>
              <w:rPr>
                <w:bCs/>
                <w:sz w:val="24"/>
                <w:szCs w:val="24"/>
                <w:lang w:eastAsia="ko-KR"/>
              </w:rPr>
              <w:t>Сервисное окно может быть расширено, по согласованию с Заказчиком, в промежутке с 19:00 до 22:00 по рабочим дням.</w:t>
            </w:r>
          </w:p>
        </w:tc>
      </w:tr>
      <w:tr>
        <w:trPr/>
        <w:tc>
          <w:tcPr>
            <w:tcW w:w="37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start"/>
              <w:rPr>
                <w:rFonts w:eastAsia="MS Mincho"/>
                <w:bCs/>
                <w:sz w:val="24"/>
                <w:szCs w:val="24"/>
                <w:lang w:eastAsia="ko-KR"/>
              </w:rPr>
            </w:pPr>
            <w:r>
              <w:rPr>
                <w:rFonts w:eastAsia="MS Mincho"/>
                <w:bCs/>
                <w:sz w:val="24"/>
                <w:szCs w:val="24"/>
                <w:lang w:eastAsia="ko-KR"/>
              </w:rPr>
              <w:t>Максимальное суммарное время недоступности Системы (в месяц)</w:t>
            </w:r>
          </w:p>
        </w:tc>
        <w:tc>
          <w:tcPr>
            <w:tcW w:w="61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rPr>
                <w:bCs/>
                <w:sz w:val="24"/>
                <w:szCs w:val="24"/>
                <w:lang w:eastAsia="ko-KR"/>
              </w:rPr>
            </w:pPr>
            <w:r>
              <w:rPr>
                <w:rFonts w:eastAsia="MS Mincho"/>
                <w:bCs/>
                <w:sz w:val="24"/>
                <w:szCs w:val="24"/>
                <w:lang w:eastAsia="ko-KR"/>
              </w:rPr>
              <w:t>4 часа (без учета времени проведения плановых профилактических работ в период Сервисного окна)</w:t>
            </w:r>
          </w:p>
        </w:tc>
      </w:tr>
    </w:tbl>
    <w:p>
      <w:pPr>
        <w:pStyle w:val="Style44"/>
        <w:spacing w:lineRule="auto" w:line="240" w:before="240" w:after="0"/>
        <w:contextualSpacing/>
        <w:rPr/>
      </w:pPr>
      <w:r>
        <w:rPr/>
        <w:t>*сервисное окно – разрешенное время работ, требующих перевода Системы в сервисный режим.</w:t>
      </w:r>
    </w:p>
    <w:p>
      <w:pPr>
        <w:pStyle w:val="Style44"/>
        <w:spacing w:lineRule="auto" w:line="240" w:before="240" w:after="0"/>
        <w:contextualSpacing/>
        <w:rPr/>
      </w:pPr>
      <w:r>
        <w:rPr/>
      </w:r>
    </w:p>
    <w:p>
      <w:pPr>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134" w:right="851" w:gutter="0" w:header="709" w:top="1134" w:footer="709" w:bottom="1134"/>
          <w:pgNumType w:fmt="decimal"/>
          <w:formProt w:val="false"/>
          <w:textDirection w:val="lrTb"/>
          <w:docGrid w:type="default" w:linePitch="299" w:charSpace="0"/>
        </w:sectPr>
        <w:pStyle w:val="Style44"/>
        <w:spacing w:lineRule="auto" w:line="240" w:before="240" w:after="0"/>
        <w:contextualSpacing/>
        <w:rPr/>
      </w:pPr>
      <w:r>
        <w:rPr/>
        <w:t xml:space="preserve">Исполнитель должен оказывать услуги путем выполнения относящихся к ним операций в его зоне ответственности. </w:t>
      </w:r>
      <w:r>
        <w:rPr/>
        <w:fldChar w:fldCharType="begin"/>
      </w:r>
      <w:r>
        <w:rPr/>
        <w:instrText xml:space="preserve"> REF _Ref192512928 \h </w:instrText>
      </w:r>
      <w:r>
        <w:rPr/>
        <w:fldChar w:fldCharType="separate"/>
      </w:r>
      <w:r>
        <w:rPr/>
        <w:t>Таблица 14</w:t>
      </w:r>
      <w:r>
        <w:rPr/>
        <w:fldChar w:fldCharType="end"/>
      </w:r>
      <w:r>
        <w:rPr/>
        <w:t xml:space="preserve"> содержит перечень услуг, состав относящихся к ним операций в зоне ответственности Исполнителя, общие требования к результатам операций. Там же определены требования к режиму выполнения операций и перечислены контрольные параметры операций. В таблице даны ссылки на подразделы, детально описывающие услуги и операции. Параметры рабочего времени и сервисного окна определены в (</w:t>
      </w:r>
      <w:r>
        <w:rPr/>
        <w:fldChar w:fldCharType="begin"/>
      </w:r>
      <w:r>
        <w:rPr/>
        <w:instrText xml:space="preserve"> REF _Ref192512804 \h </w:instrText>
      </w:r>
      <w:r>
        <w:rPr/>
        <w:fldChar w:fldCharType="separate"/>
      </w:r>
      <w:r>
        <w:rPr/>
        <w:t>Таблица 13</w:t>
      </w:r>
      <w:r>
        <w:rPr/>
        <w:fldChar w:fldCharType="end"/>
      </w:r>
      <w:r>
        <w:rPr/>
        <w:t>).</w:t>
      </w:r>
    </w:p>
    <w:p>
      <w:pPr>
        <w:pStyle w:val="Caption"/>
        <w:rPr>
          <w:i w:val="false"/>
          <w:i w:val="false"/>
          <w:iCs w:val="false"/>
          <w:color w:val="auto"/>
          <w:sz w:val="24"/>
          <w:szCs w:val="24"/>
        </w:rPr>
      </w:pPr>
      <w:bookmarkStart w:id="108" w:name="_Ref192512928"/>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14</w:t>
      </w:r>
      <w:r>
        <w:rPr>
          <w:sz w:val="24"/>
          <w:i w:val="false"/>
          <w:szCs w:val="24"/>
          <w:iCs w:val="false"/>
          <w:color w:val="auto"/>
        </w:rPr>
        <w:fldChar w:fldCharType="end"/>
      </w:r>
      <w:bookmarkEnd w:id="108"/>
      <w:r>
        <w:rPr>
          <w:i w:val="false"/>
          <w:iCs w:val="false"/>
          <w:color w:val="auto"/>
          <w:sz w:val="24"/>
          <w:szCs w:val="24"/>
        </w:rPr>
        <w:t xml:space="preserve"> - Описание услуг и операций, выполняемых Исполнителем.</w:t>
      </w:r>
    </w:p>
    <w:tbl>
      <w:tblPr>
        <w:tblW w:w="4950" w:type="pct"/>
        <w:jc w:val="start"/>
        <w:tblInd w:w="109" w:type="dxa"/>
        <w:tblLayout w:type="fixed"/>
        <w:tblCellMar>
          <w:top w:w="0" w:type="dxa"/>
          <w:start w:w="108" w:type="dxa"/>
          <w:bottom w:w="0" w:type="dxa"/>
          <w:end w:w="108" w:type="dxa"/>
        </w:tblCellMar>
        <w:tblLook w:val="04a0" w:noHBand="0" w:noVBand="1" w:firstColumn="1" w:lastRow="0" w:lastColumn="0" w:firstRow="1"/>
      </w:tblPr>
      <w:tblGrid>
        <w:gridCol w:w="2400"/>
        <w:gridCol w:w="2821"/>
        <w:gridCol w:w="2631"/>
        <w:gridCol w:w="2616"/>
        <w:gridCol w:w="2060"/>
        <w:gridCol w:w="1895"/>
      </w:tblGrid>
      <w:tr>
        <w:trPr>
          <w:tblHeader w:val="true"/>
          <w:cantSplit w:val="true"/>
        </w:trPr>
        <w:tc>
          <w:tcPr>
            <w:tcW w:w="2400" w:type="dxa"/>
            <w:tcBorders>
              <w:top w:val="single" w:sz="4" w:space="0" w:color="000000"/>
              <w:start w:val="single" w:sz="4" w:space="0" w:color="000000"/>
              <w:bottom w:val="single" w:sz="4" w:space="0" w:color="000000"/>
              <w:end w:val="single" w:sz="4" w:space="0" w:color="000000"/>
            </w:tcBorders>
            <w:vAlign w:val="center"/>
          </w:tcPr>
          <w:p>
            <w:pPr>
              <w:pStyle w:val="Normal"/>
              <w:keepNext w:val="true"/>
              <w:spacing w:lineRule="auto" w:line="240" w:before="0" w:after="0"/>
              <w:ind w:hanging="0" w:start="-57" w:end="-57"/>
              <w:jc w:val="center"/>
              <w:rPr/>
            </w:pPr>
            <w:r>
              <w:rPr>
                <w:rFonts w:eastAsia="MS Mincho"/>
                <w:b/>
                <w:bCs/>
                <w:sz w:val="24"/>
                <w:szCs w:val="24"/>
                <w:lang w:eastAsia="ko-KR"/>
              </w:rPr>
              <w:t>Услуга</w:t>
            </w:r>
          </w:p>
        </w:tc>
        <w:tc>
          <w:tcPr>
            <w:tcW w:w="2821" w:type="dxa"/>
            <w:tcBorders>
              <w:top w:val="single" w:sz="4" w:space="0" w:color="000000"/>
              <w:start w:val="single" w:sz="4" w:space="0" w:color="000000"/>
              <w:bottom w:val="single" w:sz="4" w:space="0" w:color="000000"/>
              <w:end w:val="single" w:sz="4" w:space="0" w:color="000000"/>
            </w:tcBorders>
            <w:vAlign w:val="center"/>
          </w:tcPr>
          <w:p>
            <w:pPr>
              <w:pStyle w:val="Normal"/>
              <w:keepNext w:val="true"/>
              <w:spacing w:lineRule="auto" w:line="240" w:before="0" w:after="0"/>
              <w:ind w:hanging="0" w:start="-57" w:end="-57"/>
              <w:jc w:val="center"/>
              <w:rPr/>
            </w:pPr>
            <w:r>
              <w:rPr>
                <w:rFonts w:eastAsia="MS Mincho"/>
                <w:b/>
                <w:bCs/>
                <w:sz w:val="24"/>
                <w:szCs w:val="24"/>
                <w:lang w:eastAsia="ko-KR"/>
              </w:rPr>
              <w:t>Вид работ</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keepNext w:val="true"/>
              <w:spacing w:lineRule="auto" w:line="240" w:before="0" w:after="0"/>
              <w:ind w:hanging="0" w:start="-57" w:end="-57"/>
              <w:jc w:val="center"/>
              <w:rPr/>
            </w:pPr>
            <w:r>
              <w:rPr>
                <w:rFonts w:eastAsia="MS Mincho"/>
                <w:b/>
                <w:bCs/>
                <w:sz w:val="24"/>
                <w:szCs w:val="24"/>
                <w:lang w:eastAsia="ko-KR"/>
              </w:rPr>
              <w:t>Операция</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keepNext w:val="true"/>
              <w:spacing w:lineRule="auto" w:line="240" w:before="0" w:after="0"/>
              <w:ind w:hanging="0" w:start="-57" w:end="-57"/>
              <w:jc w:val="center"/>
              <w:rPr/>
            </w:pPr>
            <w:r>
              <w:rPr>
                <w:rFonts w:eastAsia="MS Mincho"/>
                <w:b/>
                <w:bCs/>
                <w:sz w:val="24"/>
                <w:szCs w:val="24"/>
                <w:lang w:eastAsia="ko-KR"/>
              </w:rPr>
              <w:t>Результат операции</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keepNext w:val="true"/>
              <w:spacing w:lineRule="auto" w:line="240" w:before="0" w:after="0"/>
              <w:ind w:hanging="0" w:start="-57" w:end="-57"/>
              <w:jc w:val="center"/>
              <w:rPr/>
            </w:pPr>
            <w:r>
              <w:rPr>
                <w:rFonts w:eastAsia="MS Mincho"/>
                <w:b/>
                <w:bCs/>
                <w:sz w:val="24"/>
                <w:szCs w:val="24"/>
                <w:lang w:eastAsia="ko-KR"/>
              </w:rPr>
              <w:t>Режим выполнения</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keepNext w:val="true"/>
              <w:spacing w:lineRule="auto" w:line="240" w:before="0" w:after="0"/>
              <w:ind w:hanging="0" w:start="-57" w:end="-57"/>
              <w:jc w:val="center"/>
              <w:rPr/>
            </w:pPr>
            <w:r>
              <w:rPr>
                <w:rFonts w:eastAsia="MS Mincho"/>
                <w:b/>
                <w:bCs/>
                <w:sz w:val="24"/>
                <w:szCs w:val="24"/>
                <w:lang w:eastAsia="ko-KR"/>
              </w:rPr>
              <w:t>Контрольные параметры</w:t>
            </w:r>
          </w:p>
        </w:tc>
      </w:tr>
      <w:tr>
        <w:trPr>
          <w:cantSplit w:val="true"/>
        </w:trPr>
        <w:tc>
          <w:tcPr>
            <w:tcW w:w="24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pPr>
            <w:r>
              <w:rPr>
                <w:rFonts w:eastAsia="MS Mincho"/>
                <w:bCs/>
                <w:sz w:val="24"/>
                <w:szCs w:val="24"/>
                <w:lang w:eastAsia="ko-KR"/>
              </w:rPr>
              <w:t>Консультирование пользователей</w:t>
            </w:r>
          </w:p>
        </w:tc>
        <w:tc>
          <w:tcPr>
            <w:tcW w:w="28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Консультирование пользователей</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Прием обращений по почте</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Запись в Журнал обращений</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24х</w:t>
            </w:r>
            <w:r>
              <w:rPr>
                <w:rFonts w:eastAsia="MS Mincho"/>
                <w:bCs/>
                <w:sz w:val="24"/>
                <w:szCs w:val="24"/>
                <w:lang w:val="en-US" w:eastAsia="ko-KR"/>
              </w:rPr>
              <w:t>7</w:t>
            </w:r>
          </w:p>
        </w:tc>
        <w:tc>
          <w:tcPr>
            <w:tcW w:w="18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Контрольные сроки указаны в таблице 23</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Регистрация обращений с присвоением УИН</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Запись в Журнал обращений</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Рабочее время</w:t>
            </w:r>
          </w:p>
        </w:tc>
        <w:tc>
          <w:tcPr>
            <w:tcW w:w="1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Классификация обращений</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Запись в Журнал обращений</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Рабочее время</w:t>
            </w:r>
          </w:p>
        </w:tc>
        <w:tc>
          <w:tcPr>
            <w:tcW w:w="1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Исполнение обращений, отправка ответов пользователям</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Запись в Журнал обращений</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Рабочее время</w:t>
            </w:r>
          </w:p>
        </w:tc>
        <w:tc>
          <w:tcPr>
            <w:tcW w:w="1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82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Инструктаж пользователей</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Дистанционный групповой инструктаж пользователей (вебинар)</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Отчет о проведении инструктажа.</w:t>
            </w:r>
          </w:p>
          <w:p>
            <w:pPr>
              <w:pStyle w:val="Normal"/>
              <w:spacing w:lineRule="auto" w:line="240" w:before="0" w:after="0"/>
              <w:ind w:hanging="0" w:start="0"/>
              <w:jc w:val="center"/>
              <w:rPr/>
            </w:pPr>
            <w:r>
              <w:rPr>
                <w:rFonts w:eastAsia="MS Mincho"/>
                <w:bCs/>
                <w:sz w:val="24"/>
                <w:szCs w:val="24"/>
                <w:lang w:eastAsia="ko-KR"/>
              </w:rPr>
              <w:t>Запись проведенного инструктажа на электронном носителе (запись визуальной и аудиоинформации, в том числе вопросов пользователей и ответов на них)</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По обращению; в рабочее время</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82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bookmarkStart w:id="109" w:name="_Hlk175379038"/>
            <w:r>
              <w:rPr>
                <w:rFonts w:eastAsia="MS Mincho"/>
                <w:bCs/>
                <w:sz w:val="24"/>
                <w:szCs w:val="24"/>
                <w:lang w:eastAsia="ko-KR"/>
              </w:rPr>
              <w:t>Наполнение Базы знаний актуальной информацией</w:t>
            </w:r>
            <w:bookmarkEnd w:id="109"/>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Внесение новых ответов на наиболее часто задаваемые пользователями вопросы в Базу знаний, и передача актуализированной Базы знаний Заказчику</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Актуализированная База знаний</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По завершении каждого этапа Договора</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w:t>
            </w:r>
          </w:p>
        </w:tc>
      </w:tr>
      <w:tr>
        <w:trPr>
          <w:trHeight w:val="2208" w:hRule="atLeast"/>
          <w:cantSplit w:val="true"/>
        </w:trPr>
        <w:tc>
          <w:tcPr>
            <w:tcW w:w="24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Обслуживание Системы</w:t>
            </w:r>
          </w:p>
        </w:tc>
        <w:tc>
          <w:tcPr>
            <w:tcW w:w="28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Обслуживание ОС/ОПО/СПО Системы</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Установка обновлений ОС/ОПО/СПО Системы</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Запись в Журнал обслуживания Системы.</w:t>
            </w:r>
          </w:p>
          <w:p>
            <w:pPr>
              <w:pStyle w:val="Normal"/>
              <w:spacing w:lineRule="auto" w:line="240" w:before="0" w:after="0"/>
              <w:ind w:hanging="0" w:start="0"/>
              <w:jc w:val="center"/>
              <w:rPr/>
            </w:pPr>
            <w:r>
              <w:rPr>
                <w:rFonts w:eastAsia="MS Mincho"/>
                <w:bCs/>
                <w:sz w:val="24"/>
                <w:szCs w:val="24"/>
                <w:lang w:eastAsia="ko-KR"/>
              </w:rPr>
              <w:t>Установлена обновленная версия ОС/ОПО/СПО Системы, работоспособность обновленного ОС/ОПО/СПО Системы проверена.</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По мере выпуска обновлений производителями ОПО/СПО в сервисное окно, установка обновлений ОС (при необходимости)</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Контрольные сроки указаны в таблице 23</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Внесение изменений в настройки ОС/ОПО/СПО Системы</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Запись в Журнал обслуживания Системы о том, что ОС/ОПО/СПО Системы настроено в соответствии с требованиями.</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По обращениям либо по результатам мониторинга в сервисное окно</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Контрольные сроки указаны в таблице 23</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Регламентное обслуживание ОС/ОПО/СПО Системы</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 xml:space="preserve">Запись в </w:t>
            </w:r>
            <w:bookmarkStart w:id="110" w:name="_Hlk175215654"/>
            <w:r>
              <w:rPr>
                <w:rFonts w:eastAsia="MS Mincho"/>
                <w:bCs/>
                <w:sz w:val="24"/>
                <w:szCs w:val="24"/>
                <w:lang w:eastAsia="ko-KR"/>
              </w:rPr>
              <w:t>Журнал обслуживания Системы</w:t>
            </w:r>
            <w:bookmarkEnd w:id="110"/>
            <w:r>
              <w:rPr>
                <w:rFonts w:eastAsia="MS Mincho"/>
                <w:bCs/>
                <w:sz w:val="24"/>
                <w:szCs w:val="24"/>
                <w:lang w:eastAsia="ko-KR"/>
              </w:rPr>
              <w:t xml:space="preserve"> о выполнении регламентных процедур обслуживания ОС/ОПО/СПО Системы.</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 соответствии с рекомендациями производителей ОС/ОПО/СПО в сервисное окно (при необходимости)</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w:t>
            </w:r>
          </w:p>
        </w:tc>
      </w:tr>
      <w:tr>
        <w:trPr>
          <w:cantSplit w:val="true"/>
        </w:trPr>
        <w:tc>
          <w:tcPr>
            <w:tcW w:w="24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Резервное копирование ВМ и баз данных Системы</w:t>
            </w:r>
          </w:p>
        </w:tc>
        <w:tc>
          <w:tcPr>
            <w:tcW w:w="282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Разработка и согласование с Заказчиком Регламента резервного копирования в соответствии с требованиями распоряжения Министерства государственного управления, информационных технологий и связи Московской области от 08.07.2016 № 10-49/РВ «О размещении информационных систем на вычислительных ресурсах Единой инфраструктуры технологического обеспечения Правительства Московской области»</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Разработка Регламента резервного копирования, и настройка параметров резервного копирования</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Регламент резервного копирования.</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 течение контрольного срока</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10 рабочих дней с даты заключения Договора</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82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Внесение и согласование изменений в Регламент резервного копирования</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Внесение изменений в Регламент резервного копирования, изменение параметров резервного копирования</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Регламент резервного копирования</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По обращению</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Контрольные сроки указаны в таблице 23</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82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Резервное копирование</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Резервное копирование и проверка целостности резервных копий</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Резервная копия ВМ.</w:t>
            </w:r>
          </w:p>
          <w:p>
            <w:pPr>
              <w:pStyle w:val="Normal"/>
              <w:spacing w:lineRule="auto" w:line="240" w:before="0" w:after="0"/>
              <w:ind w:hanging="0" w:start="0"/>
              <w:jc w:val="center"/>
              <w:rPr/>
            </w:pPr>
            <w:r>
              <w:rPr>
                <w:rFonts w:eastAsia="MS Mincho"/>
                <w:bCs/>
                <w:sz w:val="24"/>
                <w:szCs w:val="24"/>
                <w:lang w:eastAsia="ko-KR"/>
              </w:rPr>
              <w:t>Запись в Журнал резервного копирования и проверки целостности резервных копий.</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 сервисное окно</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Выполняется регулярно в соответствии с регламентом Резервного копирования</w:t>
            </w:r>
          </w:p>
        </w:tc>
      </w:tr>
      <w:tr>
        <w:trPr>
          <w:cantSplit w:val="true"/>
        </w:trPr>
        <w:tc>
          <w:tcPr>
            <w:tcW w:w="24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Восстановление работоспособности Системы при возникновении инцидентов</w:t>
            </w:r>
          </w:p>
        </w:tc>
        <w:tc>
          <w:tcPr>
            <w:tcW w:w="28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Мониторинг Системы</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Разработка плана мониторинга, и настройка сервера мониторинга</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План мониторинга.</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 течение контрольного срока</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10 рабочих дней с даты заключения Договора</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Внесение изменений в План мониторинга и изменение параметров мониторинга Системы</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План мониторинга.</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По обращению</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Контрольные сроки указаны в таблице 23</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Мониторинг Системы</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Отчет о работоспособности Системы;</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Круглосуточно, ежедневно, автоматически</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w:t>
            </w:r>
          </w:p>
        </w:tc>
      </w:tr>
      <w:tr>
        <w:trPr>
          <w:trHeight w:val="981" w:hRule="atLeast"/>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8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pPr>
            <w:r>
              <w:rPr>
                <w:rFonts w:eastAsia="MS Mincho"/>
                <w:bCs/>
                <w:sz w:val="24"/>
                <w:szCs w:val="24"/>
                <w:lang w:eastAsia="ko-KR"/>
              </w:rPr>
              <w:t>Устранение инцидентов</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Восстановление работоспособности Системы при инцидентах критического приоритета</w:t>
            </w:r>
          </w:p>
        </w:tc>
        <w:tc>
          <w:tcPr>
            <w:tcW w:w="26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Восстановлена работоспособность Системы, пользователи могут исполнять свои функции в полном объеме. Запись в Отчет о недоступности Системы (при возникновении факта недоступности Системы);</w:t>
            </w:r>
          </w:p>
          <w:p>
            <w:pPr>
              <w:pStyle w:val="Normal"/>
              <w:spacing w:lineRule="auto" w:line="240" w:before="0" w:after="0"/>
              <w:ind w:hanging="0" w:start="0"/>
              <w:jc w:val="center"/>
              <w:rPr/>
            </w:pPr>
            <w:r>
              <w:rPr>
                <w:rFonts w:eastAsia="MS Mincho"/>
                <w:bCs/>
                <w:sz w:val="24"/>
                <w:szCs w:val="24"/>
                <w:lang w:eastAsia="ko-KR"/>
              </w:rPr>
              <w:t>Запись в Журнал обращений.</w:t>
            </w:r>
          </w:p>
        </w:tc>
        <w:tc>
          <w:tcPr>
            <w:tcW w:w="20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По обращению либо по данным мониторинга, в рабочее время</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Контрольные сроки указаны в таблице 23</w:t>
            </w:r>
          </w:p>
        </w:tc>
      </w:tr>
      <w:tr>
        <w:trPr>
          <w:trHeight w:val="930" w:hRule="atLeast"/>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Восстановление функций Системы при инцидентах высокого приоритета</w:t>
            </w:r>
          </w:p>
        </w:tc>
        <w:tc>
          <w:tcPr>
            <w:tcW w:w="26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0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Контрольные сроки указаны в таблице 23</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Устранение инцидентов нормального приоритета</w:t>
            </w:r>
          </w:p>
        </w:tc>
        <w:tc>
          <w:tcPr>
            <w:tcW w:w="26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20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MS Mincho"/>
                <w:bCs/>
                <w:sz w:val="24"/>
                <w:szCs w:val="24"/>
                <w:lang w:eastAsia="ko-KR"/>
              </w:rPr>
            </w:pPr>
            <w:r>
              <w:rPr>
                <w:rFonts w:eastAsia="MS Mincho"/>
                <w:bCs/>
                <w:sz w:val="24"/>
                <w:szCs w:val="24"/>
                <w:lang w:eastAsia="ko-KR"/>
              </w:rPr>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Контрольные сроки указаны в таблице 23</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82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0"/>
              <w:jc w:val="center"/>
              <w:rPr/>
            </w:pPr>
            <w:r>
              <w:rPr>
                <w:rFonts w:eastAsia="MS Mincho"/>
                <w:bCs/>
                <w:sz w:val="24"/>
                <w:szCs w:val="24"/>
                <w:lang w:eastAsia="ko-KR"/>
              </w:rPr>
              <w:t>Устранение дефектов</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Устранение дефектов</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Доработанное СПО и/или доработанная документация технического проекта и рабочая документация;</w:t>
            </w:r>
          </w:p>
          <w:p>
            <w:pPr>
              <w:pStyle w:val="Normal"/>
              <w:spacing w:lineRule="auto" w:line="240" w:before="0" w:after="0"/>
              <w:ind w:hanging="0" w:start="0"/>
              <w:jc w:val="center"/>
              <w:rPr/>
            </w:pPr>
            <w:r>
              <w:rPr>
                <w:rFonts w:eastAsia="MS Mincho"/>
                <w:bCs/>
                <w:sz w:val="24"/>
                <w:szCs w:val="24"/>
                <w:lang w:eastAsia="ko-KR"/>
              </w:rPr>
              <w:t>Запись в Журнал обращений.</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По обращению</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Контрольные сроки указаны в таблице 23</w:t>
            </w:r>
          </w:p>
        </w:tc>
      </w:tr>
      <w:tr>
        <w:trPr>
          <w:cantSplit w:val="true"/>
        </w:trPr>
        <w:tc>
          <w:tcPr>
            <w:tcW w:w="2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rFonts w:eastAsia="MS Mincho"/>
                <w:bCs/>
                <w:sz w:val="24"/>
                <w:szCs w:val="24"/>
                <w:lang w:eastAsia="ko-KR"/>
              </w:rPr>
            </w:pPr>
            <w:r>
              <w:rPr>
                <w:rFonts w:eastAsia="MS Mincho"/>
                <w:bCs/>
                <w:sz w:val="24"/>
                <w:szCs w:val="24"/>
                <w:lang w:eastAsia="ko-KR"/>
              </w:rPr>
            </w:r>
          </w:p>
        </w:tc>
        <w:tc>
          <w:tcPr>
            <w:tcW w:w="282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 w:val="left" w:pos="425" w:leader="none"/>
              </w:tabs>
              <w:spacing w:lineRule="auto" w:line="240" w:before="0" w:after="0"/>
              <w:ind w:hanging="0" w:start="29"/>
              <w:jc w:val="center"/>
              <w:rPr/>
            </w:pPr>
            <w:r>
              <w:rPr>
                <w:rFonts w:eastAsia="MS Mincho"/>
                <w:bCs/>
                <w:sz w:val="24"/>
                <w:szCs w:val="24"/>
                <w:lang w:eastAsia="ko-KR"/>
              </w:rPr>
              <w:t>Анализ данных, поиск и устранение противоречий данных</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Анализ данных, устранение выявленных противоречий</w:t>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Описание выявленных проблем и предлагаемого решения;</w:t>
            </w:r>
          </w:p>
          <w:p>
            <w:pPr>
              <w:pStyle w:val="Normal"/>
              <w:spacing w:lineRule="auto" w:line="240" w:before="0" w:after="0"/>
              <w:ind w:hanging="0" w:start="0"/>
              <w:jc w:val="center"/>
              <w:rPr/>
            </w:pPr>
            <w:r>
              <w:rPr>
                <w:rFonts w:eastAsia="MS Mincho"/>
                <w:bCs/>
                <w:sz w:val="24"/>
                <w:szCs w:val="24"/>
                <w:lang w:eastAsia="ko-KR"/>
              </w:rPr>
              <w:t>Запись в Журнал обращений.</w:t>
            </w:r>
          </w:p>
        </w:tc>
        <w:tc>
          <w:tcPr>
            <w:tcW w:w="2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По обращению</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Т2 устанавливается по согласованию с Заказчиком</w:t>
            </w:r>
          </w:p>
        </w:tc>
      </w:tr>
    </w:tbl>
    <w:p>
      <w:pPr>
        <w:sectPr>
          <w:headerReference w:type="even" r:id="rId19"/>
          <w:headerReference w:type="default" r:id="rId20"/>
          <w:headerReference w:type="first" r:id="rId21"/>
          <w:footerReference w:type="even" r:id="rId22"/>
          <w:footerReference w:type="default" r:id="rId23"/>
          <w:footerReference w:type="first" r:id="rId24"/>
          <w:type w:val="nextPage"/>
          <w:pgSz w:orient="landscape" w:w="16838" w:h="11906"/>
          <w:pgMar w:left="1134" w:right="1134" w:gutter="0" w:header="709" w:top="1134" w:footer="709" w:bottom="851"/>
          <w:pgNumType w:fmt="decimal"/>
          <w:formProt w:val="false"/>
          <w:textDirection w:val="lrTb"/>
          <w:docGrid w:type="default" w:linePitch="299" w:charSpace="0"/>
        </w:sectPr>
        <w:pStyle w:val="Style44"/>
        <w:spacing w:lineRule="auto" w:line="240" w:before="240" w:after="0"/>
        <w:contextualSpacing/>
        <w:rPr/>
      </w:pPr>
      <w:r>
        <w:rPr/>
        <w:t>В отдельных случаях по согласованию с Заказчиком контрольные сроки выполнения операций (Т2) могут быть увеличены. Под рабочим часом понимается час рабочего времени, определенного в таблице 13.</w:t>
      </w:r>
    </w:p>
    <w:p>
      <w:pPr>
        <w:pStyle w:val="33"/>
        <w:tabs>
          <w:tab w:val="clear" w:pos="1560"/>
        </w:tabs>
        <w:spacing w:lineRule="auto" w:line="240" w:before="0" w:after="0"/>
        <w:ind w:firstLine="709" w:start="0"/>
        <w:rPr>
          <w:rFonts w:ascii="Times New Roman" w:hAnsi="Times New Roman"/>
        </w:rPr>
      </w:pPr>
      <w:bookmarkStart w:id="111" w:name="__RefHeading___Toc33528_3559854210"/>
      <w:bookmarkStart w:id="112" w:name="_Toc215755882"/>
      <w:bookmarkStart w:id="113" w:name="_Toc177129082"/>
      <w:bookmarkEnd w:id="111"/>
      <w:r>
        <w:rPr>
          <w:rFonts w:ascii="Times New Roman" w:hAnsi="Times New Roman"/>
        </w:rPr>
        <w:t>Параметры производительности СПО</w:t>
      </w:r>
      <w:bookmarkEnd w:id="112"/>
      <w:bookmarkEnd w:id="113"/>
    </w:p>
    <w:p>
      <w:pPr>
        <w:pStyle w:val="120"/>
        <w:spacing w:before="119" w:after="240"/>
        <w:ind w:firstLine="709" w:start="0"/>
        <w:contextualSpacing/>
        <w:jc w:val="both"/>
        <w:rPr/>
      </w:pPr>
      <w:r>
        <w:rPr/>
        <w:t>Параметры производительности СПО Системы должны соответствовать показателям назначения СПО указанным в (</w:t>
      </w:r>
      <w:r>
        <w:rPr/>
        <w:fldChar w:fldCharType="begin"/>
      </w:r>
      <w:r>
        <w:rPr/>
        <w:instrText xml:space="preserve"> REF _Ref192513958 \h </w:instrText>
      </w:r>
      <w:r>
        <w:rPr/>
        <w:fldChar w:fldCharType="separate"/>
      </w:r>
      <w:r>
        <w:rPr/>
        <w:t>Таблица 15</w:t>
      </w:r>
      <w:r>
        <w:rPr/>
        <w:fldChar w:fldCharType="end"/>
      </w:r>
      <w:r>
        <w:rPr/>
        <w:t>).</w:t>
      </w:r>
    </w:p>
    <w:p>
      <w:pPr>
        <w:pStyle w:val="Caption"/>
        <w:rPr>
          <w:i w:val="false"/>
          <w:i w:val="false"/>
          <w:iCs w:val="false"/>
          <w:color w:val="auto"/>
          <w:sz w:val="24"/>
          <w:szCs w:val="24"/>
        </w:rPr>
      </w:pPr>
      <w:bookmarkStart w:id="114" w:name="_Ref192513958"/>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15</w:t>
      </w:r>
      <w:r>
        <w:rPr>
          <w:sz w:val="24"/>
          <w:i w:val="false"/>
          <w:szCs w:val="24"/>
          <w:iCs w:val="false"/>
          <w:color w:val="auto"/>
        </w:rPr>
        <w:fldChar w:fldCharType="end"/>
      </w:r>
      <w:bookmarkEnd w:id="114"/>
      <w:r>
        <w:rPr>
          <w:i w:val="false"/>
          <w:iCs w:val="false"/>
          <w:color w:val="auto"/>
          <w:sz w:val="24"/>
          <w:szCs w:val="24"/>
        </w:rPr>
        <w:t xml:space="preserve"> – Показатели назначения СПО.</w:t>
      </w:r>
    </w:p>
    <w:tbl>
      <w:tblPr>
        <w:tblStyle w:val="-3"/>
        <w:tblW w:w="5000" w:type="pct"/>
        <w:jc w:val="center"/>
        <w:tblInd w:w="0" w:type="dxa"/>
        <w:tblLayout w:type="fixed"/>
        <w:tblCellMar>
          <w:top w:w="28" w:type="dxa"/>
          <w:start w:w="57" w:type="dxa"/>
          <w:bottom w:w="28" w:type="dxa"/>
          <w:end w:w="57" w:type="dxa"/>
        </w:tblCellMar>
        <w:tblLook w:val="04a0" w:noHBand="0" w:noVBand="1" w:firstColumn="1" w:lastRow="0" w:lastColumn="0" w:firstRow="1"/>
      </w:tblPr>
      <w:tblGrid>
        <w:gridCol w:w="598"/>
        <w:gridCol w:w="4514"/>
        <w:gridCol w:w="1347"/>
        <w:gridCol w:w="1784"/>
        <w:gridCol w:w="1678"/>
      </w:tblGrid>
      <w:tr>
        <w:trPr>
          <w:tblHeader w:val="true"/>
          <w:cnfStyle w:val="100000000000" w:firstRow="1" w:lastRow="0" w:firstColumn="0" w:lastColumn="0" w:oddVBand="0" w:evenVBand="0" w:oddHBand="0" w:evenHBand="0" w:firstRowFirstColumn="0" w:firstRowLastColumn="0" w:lastRowFirstColumn="0" w:lastRowLastColumn="0"/>
        </w:trPr>
        <w:tc>
          <w:tcPr>
            <w:tcW w:w="598" w:type="dxa"/>
            <w:tcBorders/>
            <w:shd w:color="auto" w:fill="auto" w:val="clear"/>
            <w:vAlign w:val="center"/>
          </w:tcPr>
          <w:p>
            <w:pPr>
              <w:pStyle w:val="Normal"/>
              <w:keepLines/>
              <w:widowControl/>
              <w:suppressAutoHyphens w:val="true"/>
              <w:spacing w:lineRule="auto" w:line="276" w:before="0" w:after="0"/>
              <w:ind w:hanging="0" w:start="0" w:end="23"/>
              <w:jc w:val="center"/>
              <w:rPr>
                <w:rFonts w:eastAsia="Calibri"/>
              </w:rPr>
            </w:pPr>
            <w:r>
              <w:rPr>
                <w:rFonts w:eastAsia="Calibri" w:cs="Times New Roman"/>
                <w:b/>
                <w:i w:val="false"/>
                <w:kern w:val="0"/>
                <w:sz w:val="24"/>
                <w:szCs w:val="24"/>
                <w:lang w:val="ru-RU" w:bidi="ar-SA"/>
              </w:rPr>
              <w:t xml:space="preserve">№ </w:t>
            </w:r>
            <w:r>
              <w:rPr>
                <w:rFonts w:eastAsia="Calibri" w:cs="Times New Roman"/>
                <w:b/>
                <w:i w:val="false"/>
                <w:kern w:val="0"/>
                <w:sz w:val="24"/>
                <w:szCs w:val="24"/>
                <w:lang w:val="ru-RU" w:bidi="ar-SA"/>
              </w:rPr>
              <w:t>п/п</w:t>
            </w:r>
          </w:p>
        </w:tc>
        <w:tc>
          <w:tcPr>
            <w:tcW w:w="4514" w:type="dxa"/>
            <w:tcBorders/>
            <w:shd w:color="auto" w:fill="auto" w:val="clear"/>
            <w:vAlign w:val="center"/>
          </w:tcPr>
          <w:p>
            <w:pPr>
              <w:pStyle w:val="Normal"/>
              <w:keepLines/>
              <w:widowControl/>
              <w:suppressAutoHyphens w:val="true"/>
              <w:spacing w:lineRule="auto" w:line="276" w:before="0" w:after="0"/>
              <w:ind w:hanging="0" w:start="0" w:end="23"/>
              <w:jc w:val="center"/>
              <w:rPr>
                <w:rFonts w:eastAsia="Calibri"/>
              </w:rPr>
            </w:pPr>
            <w:r>
              <w:rPr>
                <w:rFonts w:eastAsia="Calibri" w:cs="Times New Roman"/>
                <w:b/>
                <w:i w:val="false"/>
                <w:kern w:val="0"/>
                <w:sz w:val="24"/>
                <w:szCs w:val="24"/>
                <w:lang w:val="ru-RU" w:bidi="ar-SA"/>
              </w:rPr>
              <w:t>Наименование показателя</w:t>
            </w:r>
          </w:p>
        </w:tc>
        <w:tc>
          <w:tcPr>
            <w:tcW w:w="1347" w:type="dxa"/>
            <w:tcBorders/>
            <w:shd w:color="auto" w:fill="auto" w:val="clear"/>
            <w:vAlign w:val="center"/>
          </w:tcPr>
          <w:p>
            <w:pPr>
              <w:pStyle w:val="Normal"/>
              <w:keepLines/>
              <w:widowControl/>
              <w:suppressAutoHyphens w:val="true"/>
              <w:spacing w:lineRule="auto" w:line="276" w:before="0" w:after="0"/>
              <w:ind w:hanging="0" w:start="0" w:end="23"/>
              <w:jc w:val="center"/>
              <w:rPr>
                <w:rFonts w:eastAsia="Calibri"/>
              </w:rPr>
            </w:pPr>
            <w:r>
              <w:rPr>
                <w:rFonts w:eastAsia="Calibri" w:cs="Times New Roman"/>
                <w:b/>
                <w:i w:val="false"/>
                <w:kern w:val="0"/>
                <w:sz w:val="24"/>
                <w:szCs w:val="24"/>
                <w:lang w:val="ru-RU" w:bidi="ar-SA"/>
              </w:rPr>
              <w:t>Условие</w:t>
            </w:r>
          </w:p>
        </w:tc>
        <w:tc>
          <w:tcPr>
            <w:tcW w:w="1784" w:type="dxa"/>
            <w:tcBorders/>
            <w:shd w:color="auto" w:fill="auto" w:val="clear"/>
            <w:vAlign w:val="center"/>
          </w:tcPr>
          <w:p>
            <w:pPr>
              <w:pStyle w:val="Normal"/>
              <w:keepLines/>
              <w:widowControl/>
              <w:suppressAutoHyphens w:val="true"/>
              <w:spacing w:lineRule="auto" w:line="276" w:before="0" w:after="0"/>
              <w:ind w:hanging="0" w:start="0" w:end="23"/>
              <w:jc w:val="center"/>
              <w:rPr>
                <w:rFonts w:eastAsia="Calibri"/>
              </w:rPr>
            </w:pPr>
            <w:r>
              <w:rPr>
                <w:rFonts w:eastAsia="Calibri" w:cs="Times New Roman"/>
                <w:b/>
                <w:i w:val="false"/>
                <w:kern w:val="0"/>
                <w:sz w:val="24"/>
                <w:szCs w:val="24"/>
                <w:lang w:val="ru-RU" w:bidi="ar-SA"/>
              </w:rPr>
              <w:t>Эталонное значение</w:t>
            </w:r>
          </w:p>
        </w:tc>
        <w:tc>
          <w:tcPr>
            <w:tcW w:w="1678" w:type="dxa"/>
            <w:tcBorders/>
            <w:shd w:color="auto" w:fill="auto" w:val="clear"/>
            <w:vAlign w:val="center"/>
          </w:tcPr>
          <w:p>
            <w:pPr>
              <w:pStyle w:val="Normal"/>
              <w:keepLines/>
              <w:widowControl/>
              <w:suppressAutoHyphens w:val="true"/>
              <w:spacing w:lineRule="auto" w:line="276" w:before="0" w:after="0"/>
              <w:ind w:hanging="0" w:start="0" w:end="23"/>
              <w:jc w:val="center"/>
              <w:rPr>
                <w:rFonts w:eastAsia="Calibri"/>
              </w:rPr>
            </w:pPr>
            <w:r>
              <w:rPr>
                <w:rFonts w:eastAsia="Calibri" w:cs="Times New Roman"/>
                <w:b/>
                <w:i w:val="false"/>
                <w:kern w:val="0"/>
                <w:sz w:val="24"/>
                <w:szCs w:val="24"/>
                <w:lang w:val="ru-RU" w:bidi="ar-SA"/>
              </w:rPr>
              <w:t>Единица измерения</w:t>
            </w:r>
          </w:p>
        </w:tc>
      </w:tr>
      <w:tr>
        <w:trPr/>
        <w:tc>
          <w:tcPr>
            <w:tcW w:w="598" w:type="dxa"/>
            <w:tcBorders/>
            <w:vAlign w:val="center"/>
          </w:tcPr>
          <w:p>
            <w:pPr>
              <w:pStyle w:val="Normal"/>
              <w:widowControl/>
              <w:numPr>
                <w:ilvl w:val="0"/>
                <w:numId w:val="22"/>
              </w:numPr>
              <w:suppressAutoHyphens w:val="true"/>
              <w:spacing w:lineRule="auto" w:line="240" w:before="0" w:after="0"/>
              <w:ind w:end="23"/>
              <w:jc w:val="center"/>
              <w:rPr>
                <w:rFonts w:eastAsia="Calibri"/>
                <w:color w:val="000000"/>
                <w:sz w:val="24"/>
                <w:szCs w:val="24"/>
              </w:rPr>
            </w:pPr>
            <w:r>
              <w:rPr>
                <w:rFonts w:eastAsia="Calibri"/>
                <w:color w:val="000000"/>
                <w:sz w:val="24"/>
                <w:szCs w:val="24"/>
              </w:rPr>
            </w:r>
          </w:p>
        </w:tc>
        <w:tc>
          <w:tcPr>
            <w:tcW w:w="4514"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Максимальное число запросов, одновременно направляемых пользователями к пользовательским интерфейсам Системы, в секунду</w:t>
            </w:r>
          </w:p>
        </w:tc>
        <w:tc>
          <w:tcPr>
            <w:tcW w:w="1347"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равно</w:t>
            </w:r>
          </w:p>
        </w:tc>
        <w:tc>
          <w:tcPr>
            <w:tcW w:w="1784"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500</w:t>
            </w:r>
          </w:p>
        </w:tc>
        <w:tc>
          <w:tcPr>
            <w:tcW w:w="1678"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запросов</w:t>
            </w:r>
          </w:p>
        </w:tc>
      </w:tr>
      <w:tr>
        <w:trPr/>
        <w:tc>
          <w:tcPr>
            <w:tcW w:w="598" w:type="dxa"/>
            <w:tcBorders/>
            <w:vAlign w:val="center"/>
          </w:tcPr>
          <w:p>
            <w:pPr>
              <w:pStyle w:val="Normal"/>
              <w:widowControl/>
              <w:numPr>
                <w:ilvl w:val="0"/>
                <w:numId w:val="22"/>
              </w:numPr>
              <w:suppressAutoHyphens w:val="true"/>
              <w:spacing w:lineRule="auto" w:line="240" w:before="0" w:after="0"/>
              <w:ind w:end="23"/>
              <w:jc w:val="center"/>
              <w:rPr>
                <w:rFonts w:eastAsia="Calibri"/>
                <w:color w:val="000000"/>
                <w:sz w:val="24"/>
                <w:szCs w:val="24"/>
              </w:rPr>
            </w:pPr>
            <w:r>
              <w:rPr>
                <w:rFonts w:eastAsia="Calibri"/>
                <w:color w:val="000000"/>
                <w:sz w:val="24"/>
                <w:szCs w:val="24"/>
              </w:rPr>
            </w:r>
          </w:p>
        </w:tc>
        <w:tc>
          <w:tcPr>
            <w:tcW w:w="4514"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Время отклика пользовательских интерфейсов Системы на запрос пользователя при максимальном числе запросов</w:t>
            </w:r>
          </w:p>
        </w:tc>
        <w:tc>
          <w:tcPr>
            <w:tcW w:w="1347"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не более</w:t>
            </w:r>
          </w:p>
        </w:tc>
        <w:tc>
          <w:tcPr>
            <w:tcW w:w="1784"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3</w:t>
            </w:r>
          </w:p>
        </w:tc>
        <w:tc>
          <w:tcPr>
            <w:tcW w:w="1678"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сек</w:t>
            </w:r>
          </w:p>
        </w:tc>
      </w:tr>
      <w:tr>
        <w:trPr/>
        <w:tc>
          <w:tcPr>
            <w:tcW w:w="598" w:type="dxa"/>
            <w:tcBorders/>
            <w:vAlign w:val="center"/>
          </w:tcPr>
          <w:p>
            <w:pPr>
              <w:pStyle w:val="Normal"/>
              <w:widowControl/>
              <w:numPr>
                <w:ilvl w:val="0"/>
                <w:numId w:val="22"/>
              </w:numPr>
              <w:suppressAutoHyphens w:val="true"/>
              <w:spacing w:lineRule="auto" w:line="240" w:before="0" w:after="0"/>
              <w:ind w:end="23"/>
              <w:jc w:val="center"/>
              <w:rPr>
                <w:rFonts w:eastAsia="Calibri"/>
                <w:color w:val="000000"/>
                <w:sz w:val="24"/>
                <w:szCs w:val="24"/>
              </w:rPr>
            </w:pPr>
            <w:r>
              <w:rPr>
                <w:rFonts w:eastAsia="Calibri"/>
                <w:color w:val="000000"/>
                <w:sz w:val="24"/>
                <w:szCs w:val="24"/>
              </w:rPr>
            </w:r>
          </w:p>
        </w:tc>
        <w:tc>
          <w:tcPr>
            <w:tcW w:w="4514"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Пиковое число запросов пользователей в сутки</w:t>
            </w:r>
          </w:p>
        </w:tc>
        <w:tc>
          <w:tcPr>
            <w:tcW w:w="1347"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равно</w:t>
            </w:r>
          </w:p>
        </w:tc>
        <w:tc>
          <w:tcPr>
            <w:tcW w:w="1784"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100000</w:t>
            </w:r>
          </w:p>
        </w:tc>
        <w:tc>
          <w:tcPr>
            <w:tcW w:w="1678"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запросов</w:t>
            </w:r>
          </w:p>
        </w:tc>
      </w:tr>
      <w:tr>
        <w:trPr/>
        <w:tc>
          <w:tcPr>
            <w:tcW w:w="598" w:type="dxa"/>
            <w:tcBorders/>
            <w:vAlign w:val="center"/>
          </w:tcPr>
          <w:p>
            <w:pPr>
              <w:pStyle w:val="Normal"/>
              <w:widowControl/>
              <w:numPr>
                <w:ilvl w:val="0"/>
                <w:numId w:val="22"/>
              </w:numPr>
              <w:suppressAutoHyphens w:val="true"/>
              <w:spacing w:lineRule="auto" w:line="240" w:before="0" w:after="0"/>
              <w:ind w:end="23"/>
              <w:jc w:val="center"/>
              <w:rPr>
                <w:rFonts w:eastAsia="Calibri"/>
                <w:color w:val="000000"/>
                <w:sz w:val="24"/>
                <w:szCs w:val="24"/>
              </w:rPr>
            </w:pPr>
            <w:r>
              <w:rPr>
                <w:rFonts w:eastAsia="Calibri"/>
                <w:color w:val="000000"/>
                <w:sz w:val="24"/>
                <w:szCs w:val="24"/>
              </w:rPr>
            </w:r>
          </w:p>
        </w:tc>
        <w:tc>
          <w:tcPr>
            <w:tcW w:w="4514"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Система должна обеспечивать сохранение производительности при ежемесячном приросте данных в хранилище</w:t>
            </w:r>
          </w:p>
        </w:tc>
        <w:tc>
          <w:tcPr>
            <w:tcW w:w="1347"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не менее</w:t>
            </w:r>
          </w:p>
        </w:tc>
        <w:tc>
          <w:tcPr>
            <w:tcW w:w="1784"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10</w:t>
            </w:r>
          </w:p>
        </w:tc>
        <w:tc>
          <w:tcPr>
            <w:tcW w:w="1678" w:type="dxa"/>
            <w:tcBorders/>
            <w:vAlign w:val="center"/>
          </w:tcPr>
          <w:p>
            <w:pPr>
              <w:pStyle w:val="Normal"/>
              <w:widowControl/>
              <w:suppressAutoHyphens w:val="true"/>
              <w:spacing w:lineRule="auto" w:line="276" w:before="0" w:after="0"/>
              <w:ind w:hanging="0" w:start="0" w:end="23"/>
              <w:jc w:val="center"/>
              <w:rPr>
                <w:rFonts w:eastAsia="Calibri"/>
              </w:rPr>
            </w:pPr>
            <w:r>
              <w:rPr>
                <w:rFonts w:eastAsia="Calibri" w:cs="Times New Roman"/>
                <w:kern w:val="0"/>
                <w:sz w:val="24"/>
                <w:szCs w:val="24"/>
                <w:lang w:val="ru-RU" w:bidi="ar-SA"/>
              </w:rPr>
              <w:t>ГБ</w:t>
            </w:r>
          </w:p>
        </w:tc>
      </w:tr>
    </w:tbl>
    <w:p>
      <w:pPr>
        <w:pStyle w:val="120"/>
        <w:spacing w:before="0" w:after="0"/>
        <w:ind w:firstLine="709" w:start="0"/>
        <w:contextualSpacing/>
        <w:jc w:val="both"/>
        <w:rPr/>
      </w:pPr>
      <w:r>
        <w:rPr/>
      </w:r>
    </w:p>
    <w:p>
      <w:pPr>
        <w:pStyle w:val="33"/>
        <w:tabs>
          <w:tab w:val="clear" w:pos="1560"/>
        </w:tabs>
        <w:spacing w:lineRule="auto" w:line="240" w:before="0" w:after="0"/>
        <w:ind w:firstLine="709" w:start="0"/>
        <w:rPr>
          <w:rFonts w:ascii="Times New Roman" w:hAnsi="Times New Roman"/>
        </w:rPr>
      </w:pPr>
      <w:bookmarkStart w:id="115" w:name="__RefHeading___Toc33530_3559854210"/>
      <w:bookmarkStart w:id="116" w:name="_Toc215755883"/>
      <w:bookmarkStart w:id="117" w:name="_Toc177129083"/>
      <w:bookmarkEnd w:id="115"/>
      <w:r>
        <w:rPr>
          <w:rFonts w:ascii="Times New Roman" w:hAnsi="Times New Roman"/>
        </w:rPr>
        <w:t>Участники процесса оказания услуг</w:t>
      </w:r>
      <w:bookmarkEnd w:id="116"/>
      <w:bookmarkEnd w:id="117"/>
    </w:p>
    <w:p>
      <w:pPr>
        <w:pStyle w:val="120"/>
        <w:spacing w:before="119" w:after="240"/>
        <w:ind w:firstLine="709" w:start="0"/>
        <w:contextualSpacing/>
        <w:jc w:val="both"/>
        <w:rPr/>
      </w:pPr>
      <w:r>
        <w:rPr/>
        <w:t>Участники процесса оказания услуг указаны в (</w:t>
      </w:r>
      <w:r>
        <w:rPr/>
        <w:fldChar w:fldCharType="begin"/>
      </w:r>
      <w:r>
        <w:rPr/>
        <w:instrText xml:space="preserve"> REF _Ref192514123 \h </w:instrText>
      </w:r>
      <w:r>
        <w:rPr/>
        <w:fldChar w:fldCharType="separate"/>
      </w:r>
      <w:r>
        <w:rPr/>
        <w:t>Таблица 16</w:t>
      </w:r>
      <w:r>
        <w:rPr/>
        <w:fldChar w:fldCharType="end"/>
      </w:r>
      <w:r>
        <w:rPr/>
        <w:t>).</w:t>
      </w:r>
    </w:p>
    <w:p>
      <w:pPr>
        <w:pStyle w:val="Caption"/>
        <w:rPr>
          <w:i w:val="false"/>
          <w:i w:val="false"/>
          <w:iCs w:val="false"/>
          <w:color w:val="auto"/>
          <w:sz w:val="24"/>
          <w:szCs w:val="24"/>
        </w:rPr>
      </w:pPr>
      <w:bookmarkStart w:id="118" w:name="_Ref192514123"/>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16</w:t>
      </w:r>
      <w:r>
        <w:rPr>
          <w:sz w:val="24"/>
          <w:i w:val="false"/>
          <w:szCs w:val="24"/>
          <w:iCs w:val="false"/>
          <w:color w:val="auto"/>
        </w:rPr>
        <w:fldChar w:fldCharType="end"/>
      </w:r>
      <w:bookmarkEnd w:id="118"/>
      <w:r>
        <w:rPr>
          <w:i w:val="false"/>
          <w:iCs w:val="false"/>
          <w:color w:val="auto"/>
          <w:sz w:val="24"/>
          <w:szCs w:val="24"/>
        </w:rPr>
        <w:t xml:space="preserve"> – Участники процесса оказания услуг.</w:t>
      </w:r>
    </w:p>
    <w:tbl>
      <w:tblPr>
        <w:tblW w:w="9965"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2879"/>
        <w:gridCol w:w="7085"/>
      </w:tblGrid>
      <w:tr>
        <w:trPr>
          <w:tblHeader w:val="true"/>
          <w:cantSplit w:val="true"/>
        </w:trPr>
        <w:tc>
          <w:tcPr>
            <w:tcW w:w="28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34" w:end="-57"/>
              <w:jc w:val="center"/>
              <w:rPr/>
            </w:pPr>
            <w:r>
              <w:rPr>
                <w:rFonts w:eastAsia="MS Mincho"/>
                <w:b/>
                <w:bCs/>
                <w:sz w:val="24"/>
                <w:szCs w:val="24"/>
                <w:lang w:eastAsia="ko-KR"/>
              </w:rPr>
              <w:t>Участник</w:t>
            </w:r>
          </w:p>
        </w:tc>
        <w:tc>
          <w:tcPr>
            <w:tcW w:w="70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end="-57"/>
              <w:jc w:val="center"/>
              <w:rPr/>
            </w:pPr>
            <w:r>
              <w:rPr>
                <w:rFonts w:eastAsia="MS Mincho"/>
                <w:b/>
                <w:bCs/>
                <w:sz w:val="24"/>
                <w:szCs w:val="24"/>
                <w:lang w:eastAsia="ko-KR"/>
              </w:rPr>
              <w:t>Описание</w:t>
            </w:r>
          </w:p>
        </w:tc>
      </w:tr>
      <w:tr>
        <w:trPr>
          <w:cantSplit w:val="true"/>
        </w:trPr>
        <w:tc>
          <w:tcPr>
            <w:tcW w:w="28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34"/>
              <w:jc w:val="center"/>
              <w:rPr/>
            </w:pPr>
            <w:r>
              <w:rPr>
                <w:rFonts w:eastAsia="MS Mincho"/>
                <w:bCs/>
                <w:sz w:val="24"/>
                <w:szCs w:val="24"/>
                <w:lang w:eastAsia="ko-KR"/>
              </w:rPr>
              <w:t>Пользователь</w:t>
            </w:r>
          </w:p>
        </w:tc>
        <w:tc>
          <w:tcPr>
            <w:tcW w:w="70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MS Mincho"/>
                <w:bCs/>
                <w:sz w:val="24"/>
                <w:szCs w:val="24"/>
                <w:lang w:eastAsia="ko-KR"/>
              </w:rPr>
              <w:t>Пользователь Системы, выполняющий с помощью нее свои должностные обязанности.</w:t>
            </w:r>
          </w:p>
        </w:tc>
      </w:tr>
      <w:tr>
        <w:trPr>
          <w:cantSplit w:val="true"/>
        </w:trPr>
        <w:tc>
          <w:tcPr>
            <w:tcW w:w="28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34"/>
              <w:jc w:val="center"/>
              <w:rPr/>
            </w:pPr>
            <w:r>
              <w:rPr>
                <w:rFonts w:eastAsia="MS Mincho"/>
                <w:bCs/>
                <w:sz w:val="24"/>
                <w:szCs w:val="24"/>
                <w:lang w:eastAsia="ko-KR"/>
              </w:rPr>
              <w:t>Ответственные представители Заказчика</w:t>
            </w:r>
          </w:p>
        </w:tc>
        <w:tc>
          <w:tcPr>
            <w:tcW w:w="70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MS Mincho"/>
                <w:bCs/>
                <w:sz w:val="24"/>
                <w:szCs w:val="24"/>
                <w:lang w:eastAsia="ko-KR"/>
              </w:rPr>
              <w:t>Сотрудники Заказчика, ответственные за согласование операций по сопровождению Системы.</w:t>
            </w:r>
          </w:p>
        </w:tc>
      </w:tr>
      <w:tr>
        <w:trPr>
          <w:cantSplit w:val="true"/>
        </w:trPr>
        <w:tc>
          <w:tcPr>
            <w:tcW w:w="28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34"/>
              <w:jc w:val="center"/>
              <w:rPr/>
            </w:pPr>
            <w:r>
              <w:rPr>
                <w:rFonts w:eastAsia="MS Mincho"/>
                <w:bCs/>
                <w:sz w:val="24"/>
                <w:szCs w:val="24"/>
                <w:lang w:eastAsia="ko-KR"/>
              </w:rPr>
              <w:t>СТП Исполнителя</w:t>
            </w:r>
          </w:p>
        </w:tc>
        <w:tc>
          <w:tcPr>
            <w:tcW w:w="70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rFonts w:eastAsia="MS Mincho"/>
                <w:bCs/>
                <w:sz w:val="24"/>
                <w:szCs w:val="24"/>
                <w:lang w:eastAsia="ko-KR"/>
              </w:rPr>
              <w:t>Служба технической поддержки Исполнителя, обеспечивающая выполнение операций в зоне ответственности Исполнителя.</w:t>
            </w:r>
          </w:p>
        </w:tc>
      </w:tr>
    </w:tbl>
    <w:p>
      <w:pPr>
        <w:pStyle w:val="Style44"/>
        <w:spacing w:lineRule="auto" w:line="240" w:before="0" w:after="120"/>
        <w:ind w:hanging="1601" w:start="2310"/>
        <w:contextualSpacing w:val="false"/>
        <w:rPr/>
      </w:pPr>
      <w:r>
        <w:rPr/>
      </w:r>
    </w:p>
    <w:p>
      <w:pPr>
        <w:pStyle w:val="33"/>
        <w:tabs>
          <w:tab w:val="clear" w:pos="1560"/>
        </w:tabs>
        <w:spacing w:lineRule="auto" w:line="240" w:before="0" w:after="0"/>
        <w:ind w:firstLine="709" w:start="0"/>
        <w:rPr>
          <w:rFonts w:ascii="Times New Roman" w:hAnsi="Times New Roman"/>
        </w:rPr>
      </w:pPr>
      <w:bookmarkStart w:id="119" w:name="__RefHeading___Toc33532_3559854210"/>
      <w:bookmarkStart w:id="120" w:name="_Toc177129084"/>
      <w:bookmarkStart w:id="121" w:name="_Toc215755884"/>
      <w:bookmarkEnd w:id="119"/>
      <w:r>
        <w:rPr>
          <w:rFonts w:ascii="Times New Roman" w:hAnsi="Times New Roman"/>
        </w:rPr>
        <w:t>Способы поступления обращений</w:t>
      </w:r>
      <w:bookmarkEnd w:id="120"/>
      <w:bookmarkEnd w:id="121"/>
    </w:p>
    <w:p>
      <w:pPr>
        <w:pStyle w:val="120"/>
        <w:spacing w:before="119" w:after="0"/>
        <w:ind w:firstLine="709" w:start="0"/>
        <w:contextualSpacing/>
        <w:jc w:val="both"/>
        <w:rPr/>
      </w:pPr>
      <w:r>
        <w:rPr/>
        <w:t>СТП Исполнителя должна обеспечить обработку обращений, поступающих по следующим каналам:</w:t>
      </w:r>
    </w:p>
    <w:p>
      <w:pPr>
        <w:pStyle w:val="Style44"/>
        <w:spacing w:lineRule="auto" w:line="240"/>
        <w:rPr/>
      </w:pPr>
      <w:r>
        <w:rPr/>
        <w:t>•</w:t>
      </w:r>
      <w:r>
        <w:rPr/>
        <w:tab/>
        <w:t>по телефону в случае недоступности СУТП или использовании СУТП Исполнителя;</w:t>
      </w:r>
    </w:p>
    <w:p>
      <w:pPr>
        <w:pStyle w:val="Style44"/>
        <w:spacing w:lineRule="auto" w:line="240"/>
        <w:rPr/>
      </w:pPr>
      <w:r>
        <w:rPr/>
        <w:t>•</w:t>
      </w:r>
      <w:r>
        <w:rPr/>
        <w:tab/>
        <w:t>по электронной почте в случае недоступности СУТП или использовании СУТП Исполнителя;</w:t>
      </w:r>
    </w:p>
    <w:p>
      <w:pPr>
        <w:pStyle w:val="Style44"/>
        <w:spacing w:lineRule="auto" w:line="240"/>
        <w:rPr/>
      </w:pPr>
      <w:r>
        <w:rPr/>
        <w:t>•</w:t>
      </w:r>
      <w:r>
        <w:rPr/>
        <w:tab/>
        <w:t>через портал самообслуживания – support.mosreg.ru в случае использования СУТП Заказчика.</w:t>
      </w:r>
    </w:p>
    <w:p>
      <w:pPr>
        <w:pStyle w:val="Style44"/>
        <w:spacing w:lineRule="auto" w:line="240"/>
        <w:rPr/>
      </w:pPr>
      <w:r>
        <w:rPr/>
      </w:r>
    </w:p>
    <w:p>
      <w:pPr>
        <w:pStyle w:val="33"/>
        <w:tabs>
          <w:tab w:val="clear" w:pos="1560"/>
        </w:tabs>
        <w:spacing w:lineRule="auto" w:line="240" w:before="0" w:after="0"/>
        <w:ind w:firstLine="709" w:start="0"/>
        <w:rPr>
          <w:rFonts w:ascii="Times New Roman" w:hAnsi="Times New Roman"/>
        </w:rPr>
      </w:pPr>
      <w:bookmarkStart w:id="122" w:name="__RefHeading___Toc33534_3559854210"/>
      <w:bookmarkStart w:id="123" w:name="_Toc215755885"/>
      <w:bookmarkStart w:id="124" w:name="_Toc177129085"/>
      <w:bookmarkEnd w:id="122"/>
      <w:r>
        <w:rPr>
          <w:rFonts w:ascii="Times New Roman" w:hAnsi="Times New Roman"/>
        </w:rPr>
        <w:t>Способы и порядок взаимодействия между участниками процесса оказания услуг</w:t>
      </w:r>
      <w:bookmarkEnd w:id="123"/>
      <w:bookmarkEnd w:id="124"/>
    </w:p>
    <w:p>
      <w:pPr>
        <w:pStyle w:val="120"/>
        <w:spacing w:before="119" w:after="0"/>
        <w:ind w:firstLine="709" w:start="0"/>
        <w:contextualSpacing/>
        <w:jc w:val="both"/>
        <w:rPr/>
      </w:pPr>
      <w:r>
        <w:rPr/>
        <w:t>В рамках оказания Услуг предусматривается следующий порядок взаимодействия между участниками процесса оказания услуг.</w:t>
      </w:r>
    </w:p>
    <w:p>
      <w:pPr>
        <w:pStyle w:val="Style44"/>
        <w:spacing w:lineRule="auto" w:line="240"/>
        <w:rPr/>
      </w:pPr>
      <w:r>
        <w:rPr/>
        <w:t>Оказание услуг по технической поддержке и сопровождению Системы должна осуществлять СТП Исполнителя путем взаимодействия с между пользователями Системы и ответственными представителями Заказчика.</w:t>
      </w:r>
    </w:p>
    <w:p>
      <w:pPr>
        <w:pStyle w:val="-3"/>
        <w:rPr/>
      </w:pPr>
      <w:r>
        <w:rPr/>
        <w:t>Процедуры регистрации обращений должны быть организованы Исполнителем совместно с Заказчиком в следующем порядке: после заключения Договора и предоставления Исполнителем Заказчику перечня сотрудников с направлением официального письма, Заказчик предоставляет Исполнителю доступ к Системе управления технической поддержкой Заказчика (СУТП Заказчика) и направляет уведомление об обязательном использовании СУТП Заказчика, либо уведомляет Исполнителя о невозможности использования СУТП Заказчика.</w:t>
      </w:r>
    </w:p>
    <w:p>
      <w:pPr>
        <w:pStyle w:val="-3"/>
        <w:rPr/>
      </w:pPr>
      <w:r>
        <w:rPr/>
        <w:t>Если Заказчик не предоставляет доступа к СУТП Заказчика, либо сообщает о невозможности использования СУТП Заказчика – Исполнитель использует для регистрации обращений пользователей по вопросам эксплуатации Системы СУТП Исполнителя;</w:t>
      </w:r>
    </w:p>
    <w:p>
      <w:pPr>
        <w:pStyle w:val="-3"/>
        <w:rPr/>
      </w:pPr>
      <w:r>
        <w:rPr/>
        <w:t>В случае необходимости использования СУТП Заказчика:</w:t>
      </w:r>
    </w:p>
    <w:p>
      <w:pPr>
        <w:pStyle w:val="ListParagraph"/>
        <w:numPr>
          <w:ilvl w:val="0"/>
          <w:numId w:val="31"/>
        </w:numPr>
        <w:spacing w:lineRule="auto" w:line="276" w:before="0" w:after="0"/>
        <w:contextualSpacing/>
        <w:rPr/>
      </w:pPr>
      <w:r>
        <w:rPr/>
        <w:t>Заказчик определяет дату начала обязательного использования СУТП Заказчика для регистрации обращений пользователей по вопросам эксплуатации Системы (не менее чем через 7 календарных дней после направления Исполнителю уведомления об обязательном использовании СУТП Заказчика);</w:t>
      </w:r>
    </w:p>
    <w:p>
      <w:pPr>
        <w:pStyle w:val="ListParagraph"/>
        <w:numPr>
          <w:ilvl w:val="0"/>
          <w:numId w:val="31"/>
        </w:numPr>
        <w:spacing w:lineRule="auto" w:line="276" w:before="0" w:after="0"/>
        <w:contextualSpacing/>
        <w:rPr/>
      </w:pPr>
      <w:r>
        <w:rPr/>
        <w:t xml:space="preserve">до даты начала обязательного использования СУТП Заказчика, Заказчик оказывает консультационную поддержку специалистов Исполнителя по вопросам эксплуатации СУТП Заказчика, настройки программного обеспечения СУТП Заказчика на рабочих местах специалистов Исполнителя, организации информационного взаимодействия с СУТП Заказчика; </w:t>
      </w:r>
    </w:p>
    <w:p>
      <w:pPr>
        <w:pStyle w:val="ListParagraph"/>
        <w:numPr>
          <w:ilvl w:val="0"/>
          <w:numId w:val="31"/>
        </w:numPr>
        <w:spacing w:lineRule="auto" w:line="276" w:before="0" w:after="0"/>
        <w:contextualSpacing/>
        <w:rPr/>
      </w:pPr>
      <w:r>
        <w:rPr/>
        <w:t>до даты начала использования СУТП Заказчика Исполнитель оказывает услуги консультационной поддержки на базе собственной СУТП. Перенос в СУТП Заказчика сведений об обращениях, зарегистрированных до даты начала обязательного использования СУТП Заказчика, не требуется.</w:t>
      </w:r>
    </w:p>
    <w:p>
      <w:pPr>
        <w:pStyle w:val="-3"/>
        <w:rPr/>
      </w:pPr>
      <w:r>
        <w:rPr/>
        <w:t>Телефонные номера и оборудование для приема, обработки и записи телефонных переговоров предоставляются оператором СУТП. Телефонное оборудование должно обеспечивать входящие и исходящие вызовы на городские и мобильные номера Москвы и Московской области. Телефонный номер должен начинаться одним из следующих набором цифр: 8-800, 8-495, 8-499, 8-498.</w:t>
      </w:r>
    </w:p>
    <w:p>
      <w:pPr>
        <w:pStyle w:val="-3"/>
        <w:rPr/>
      </w:pPr>
      <w:r>
        <w:rPr/>
        <w:t>Оценка качества выполненных работ должна производится в соответствии с Методикой оценки качества оказанных услуг (Приложение А).</w:t>
      </w:r>
    </w:p>
    <w:p>
      <w:pPr>
        <w:pStyle w:val="Normal"/>
        <w:rPr>
          <w:sz w:val="24"/>
          <w:szCs w:val="24"/>
        </w:rPr>
      </w:pPr>
      <w:r>
        <w:rPr>
          <w:sz w:val="24"/>
          <w:szCs w:val="24"/>
        </w:rPr>
        <w:t>СУТП должна:</w:t>
      </w:r>
    </w:p>
    <w:p>
      <w:pPr>
        <w:pStyle w:val="ListParagraph"/>
        <w:numPr>
          <w:ilvl w:val="0"/>
          <w:numId w:val="31"/>
        </w:numPr>
        <w:spacing w:lineRule="auto" w:line="276" w:before="0" w:after="0"/>
        <w:contextualSpacing/>
        <w:rPr/>
      </w:pPr>
      <w:r>
        <w:rPr/>
        <w:t>обеспечивать автоматизированную подготовку отчетности по сопровождению, указанную в разделе (</w:t>
      </w:r>
      <w:r>
        <w:rPr/>
        <w:fldChar w:fldCharType="begin"/>
      </w:r>
      <w:r>
        <w:rPr/>
        <w:instrText xml:space="preserve"> REF _Ref192582809 \r \r \h </w:instrText>
      </w:r>
      <w:r>
        <w:rPr/>
        <w:fldChar w:fldCharType="separate"/>
      </w:r>
      <w:r>
        <w:rPr/>
        <w:t>4</w:t>
      </w:r>
      <w:r>
        <w:rPr/>
        <w:fldChar w:fldCharType="end"/>
      </w:r>
      <w:r>
        <w:rPr/>
        <w:t>) ТЗ;</w:t>
      </w:r>
    </w:p>
    <w:p>
      <w:pPr>
        <w:pStyle w:val="ListParagraph"/>
        <w:numPr>
          <w:ilvl w:val="0"/>
          <w:numId w:val="31"/>
        </w:numPr>
        <w:spacing w:lineRule="auto" w:line="276" w:before="0" w:after="0"/>
        <w:contextualSpacing/>
        <w:rPr/>
      </w:pPr>
      <w:r>
        <w:rPr/>
        <w:t>обеспечивать выполнение функций и задач СТП в соответствии с функциями, определенными в разделе (</w:t>
      </w:r>
      <w:r>
        <w:rPr/>
        <w:fldChar w:fldCharType="begin"/>
      </w:r>
      <w:r>
        <w:rPr/>
        <w:instrText xml:space="preserve"> REF _Ref192582835 \r \r \h </w:instrText>
      </w:r>
      <w:r>
        <w:rPr/>
        <w:fldChar w:fldCharType="separate"/>
      </w:r>
      <w:r>
        <w:rPr/>
        <w:t>5.2</w:t>
      </w:r>
      <w:r>
        <w:rPr/>
        <w:fldChar w:fldCharType="end"/>
      </w:r>
      <w:r>
        <w:rPr/>
        <w:t>) ТЗ;</w:t>
      </w:r>
    </w:p>
    <w:p>
      <w:pPr>
        <w:pStyle w:val="ListParagraph"/>
        <w:numPr>
          <w:ilvl w:val="0"/>
          <w:numId w:val="31"/>
        </w:numPr>
        <w:spacing w:lineRule="auto" w:line="276" w:before="0" w:after="0"/>
        <w:contextualSpacing/>
        <w:rPr/>
      </w:pPr>
      <w:r>
        <w:rPr/>
        <w:t>обеспечивать режим доступности функций в соответствии с режимами, определенными в разделе (</w:t>
      </w:r>
      <w:r>
        <w:rPr/>
        <w:fldChar w:fldCharType="begin"/>
      </w:r>
      <w:r>
        <w:rPr/>
        <w:instrText xml:space="preserve"> REF _Ref192582848 \r \r \h </w:instrText>
      </w:r>
      <w:r>
        <w:rPr/>
        <w:fldChar w:fldCharType="separate"/>
      </w:r>
      <w:r>
        <w:rPr/>
        <w:t>5.2</w:t>
      </w:r>
      <w:r>
        <w:rPr/>
        <w:fldChar w:fldCharType="end"/>
      </w:r>
      <w:r>
        <w:rPr/>
        <w:t>) ТЗ;</w:t>
      </w:r>
    </w:p>
    <w:p>
      <w:pPr>
        <w:pStyle w:val="-3"/>
        <w:rPr/>
      </w:pPr>
      <w:r>
        <w:rPr/>
        <w:t>После заключения Договора должны быть выполнены следующие организационные мероприятия, указанные в подразделах (5.2.4.1 и 5.2.4.2) ТЗ.</w:t>
      </w:r>
    </w:p>
    <w:p>
      <w:pPr>
        <w:pStyle w:val="Style44"/>
        <w:spacing w:lineRule="auto" w:line="240"/>
        <w:rPr/>
      </w:pPr>
      <w:r>
        <w:rPr/>
      </w:r>
    </w:p>
    <w:p>
      <w:pPr>
        <w:pStyle w:val="42"/>
        <w:rPr/>
      </w:pPr>
      <w:r>
        <w:rPr/>
        <w:t>Исполнитель представляет Заказчику после получения уведомления об использовании СУТП Заказчика следующие сведения:</w:t>
      </w:r>
    </w:p>
    <w:p>
      <w:pPr>
        <w:pStyle w:val="-3"/>
        <w:numPr>
          <w:ilvl w:val="0"/>
          <w:numId w:val="32"/>
        </w:numPr>
        <w:ind w:hanging="360" w:start="1503" w:end="23"/>
        <w:rPr/>
      </w:pPr>
      <w:r>
        <w:rPr/>
        <w:t>Контактные данные (адреса электронной почты, контактные телефоны) СТП и ответственных представителей Исполнителя, курирующих оказание услуг по сопровождению Системы;</w:t>
      </w:r>
    </w:p>
    <w:p>
      <w:pPr>
        <w:pStyle w:val="-3"/>
        <w:numPr>
          <w:ilvl w:val="0"/>
          <w:numId w:val="32"/>
        </w:numPr>
        <w:ind w:hanging="360" w:start="1503" w:end="23"/>
        <w:rPr/>
      </w:pPr>
      <w:r>
        <w:rPr/>
        <w:t>контактные данные (ФИО, должность, адреса электронной почты, контактные телефоны) специалистов Исполнителя, ответственных за:</w:t>
      </w:r>
    </w:p>
    <w:p>
      <w:pPr>
        <w:pStyle w:val="-3"/>
        <w:numPr>
          <w:ilvl w:val="0"/>
          <w:numId w:val="32"/>
        </w:numPr>
        <w:ind w:hanging="360" w:start="1503" w:end="23"/>
        <w:rPr/>
      </w:pPr>
      <w:r>
        <w:rPr/>
        <w:t>обслуживание ОПО и СПО;</w:t>
      </w:r>
    </w:p>
    <w:p>
      <w:pPr>
        <w:pStyle w:val="-3"/>
        <w:numPr>
          <w:ilvl w:val="0"/>
          <w:numId w:val="32"/>
        </w:numPr>
        <w:ind w:hanging="360" w:start="1503" w:end="23"/>
        <w:rPr/>
      </w:pPr>
      <w:r>
        <w:rPr/>
        <w:t>мониторинг доступности и работоспособности ОПО с использованием системы мониторинга;</w:t>
      </w:r>
    </w:p>
    <w:p>
      <w:pPr>
        <w:pStyle w:val="-3"/>
        <w:numPr>
          <w:ilvl w:val="0"/>
          <w:numId w:val="32"/>
        </w:numPr>
        <w:ind w:hanging="360" w:start="1503" w:end="23"/>
        <w:rPr/>
      </w:pPr>
      <w:r>
        <w:rPr/>
        <w:t>резервное копирование и проверку целостности резервных копий СПО.</w:t>
      </w:r>
    </w:p>
    <w:p>
      <w:pPr>
        <w:pStyle w:val="-3"/>
        <w:numPr>
          <w:ilvl w:val="0"/>
          <w:numId w:val="32"/>
        </w:numPr>
        <w:ind w:hanging="360" w:start="1503" w:end="23"/>
        <w:rPr/>
      </w:pPr>
      <w:r>
        <w:rPr/>
        <w:t>паспорт для размещения на портале технической поддержки https://support.mosreg.ru  в следующем виде:</w:t>
      </w:r>
    </w:p>
    <w:p>
      <w:pPr>
        <w:pStyle w:val="-3"/>
        <w:numPr>
          <w:ilvl w:val="1"/>
          <w:numId w:val="32"/>
        </w:numPr>
        <w:ind w:hanging="360" w:start="2223" w:end="23"/>
        <w:rPr/>
      </w:pPr>
      <w:r>
        <w:rPr/>
        <w:t>краткое описание услуг (назначение, цели и др.);</w:t>
      </w:r>
    </w:p>
    <w:p>
      <w:pPr>
        <w:pStyle w:val="-3"/>
        <w:numPr>
          <w:ilvl w:val="1"/>
          <w:numId w:val="32"/>
        </w:numPr>
        <w:ind w:hanging="360" w:start="2223" w:end="23"/>
        <w:rPr/>
      </w:pPr>
      <w:r>
        <w:rPr/>
        <w:t>состав услуг (виду услуг, предоставляемые Исполнителем);</w:t>
      </w:r>
    </w:p>
    <w:p>
      <w:pPr>
        <w:pStyle w:val="-3"/>
        <w:numPr>
          <w:ilvl w:val="1"/>
          <w:numId w:val="32"/>
        </w:numPr>
        <w:ind w:hanging="360" w:start="2223" w:end="23"/>
        <w:rPr/>
      </w:pPr>
      <w:r>
        <w:rPr/>
        <w:t>описание услуг (требования к оказываемым Исполнителем услугам).</w:t>
      </w:r>
    </w:p>
    <w:p>
      <w:pPr>
        <w:pStyle w:val="Style44"/>
        <w:rPr/>
      </w:pPr>
      <w:r>
        <w:rPr/>
      </w:r>
    </w:p>
    <w:p>
      <w:pPr>
        <w:pStyle w:val="42"/>
        <w:rPr/>
      </w:pPr>
      <w:r>
        <w:rPr/>
        <w:t>Заказчик представляет Исполнителю в течение 7 (Семи) рабочих дней после получения сведений в соответствии с п. 5.2.4.1 настоящего ТЗ следующие сведения:</w:t>
      </w:r>
    </w:p>
    <w:p>
      <w:pPr>
        <w:pStyle w:val="-3"/>
        <w:numPr>
          <w:ilvl w:val="0"/>
          <w:numId w:val="33"/>
        </w:numPr>
        <w:ind w:hanging="360" w:start="1503" w:end="23"/>
        <w:rPr/>
      </w:pPr>
      <w:r>
        <w:rPr/>
        <w:t>Доступ к системе мониторинга доступности и работоспособности ОПО и СПО;</w:t>
      </w:r>
    </w:p>
    <w:p>
      <w:pPr>
        <w:pStyle w:val="-3"/>
        <w:numPr>
          <w:ilvl w:val="0"/>
          <w:numId w:val="33"/>
        </w:numPr>
        <w:ind w:hanging="360" w:start="1503" w:end="23"/>
        <w:rPr/>
      </w:pPr>
      <w:r>
        <w:rPr/>
        <w:t>контактные данные (ФИО, должность, адреса электронной почты, контактные телефоны) специалистов Заказчика, координирующих вопросы:</w:t>
      </w:r>
    </w:p>
    <w:p>
      <w:pPr>
        <w:pStyle w:val="-3"/>
        <w:numPr>
          <w:ilvl w:val="1"/>
          <w:numId w:val="33"/>
        </w:numPr>
        <w:ind w:hanging="360" w:start="2223" w:end="23"/>
        <w:rPr/>
      </w:pPr>
      <w:r>
        <w:rPr/>
        <w:t>администрирования учетных записей;</w:t>
      </w:r>
    </w:p>
    <w:p>
      <w:pPr>
        <w:pStyle w:val="-3"/>
        <w:numPr>
          <w:ilvl w:val="1"/>
          <w:numId w:val="33"/>
        </w:numPr>
        <w:ind w:hanging="360" w:start="2223" w:end="23"/>
        <w:rPr/>
      </w:pPr>
      <w:r>
        <w:rPr/>
        <w:t>резервного копирования и проверки целостности резервных копий СПО.</w:t>
      </w:r>
    </w:p>
    <w:p>
      <w:pPr>
        <w:pStyle w:val="-3"/>
        <w:numPr>
          <w:ilvl w:val="0"/>
          <w:numId w:val="33"/>
        </w:numPr>
        <w:ind w:hanging="360" w:start="1503" w:end="23"/>
        <w:rPr/>
      </w:pPr>
      <w:r>
        <w:rPr/>
        <w:t>контактные данные (ФИО, должность, адреса электронной почты, контактные телефоны) специалистов Заказчика, ответственных за согласование операций по обслуживанию ОПО и СПО;</w:t>
      </w:r>
    </w:p>
    <w:p>
      <w:pPr>
        <w:pStyle w:val="-3"/>
        <w:numPr>
          <w:ilvl w:val="0"/>
          <w:numId w:val="33"/>
        </w:numPr>
        <w:ind w:hanging="360" w:start="1503" w:end="23"/>
        <w:rPr/>
      </w:pPr>
      <w:r>
        <w:rPr/>
        <w:t>контактные данные (ФИО, должность, адреса электронной почты, контактные телефоны) специалистов Заказчика, ответственных за исполнение обращений пользователей;</w:t>
      </w:r>
    </w:p>
    <w:p>
      <w:pPr>
        <w:pStyle w:val="-3"/>
        <w:numPr>
          <w:ilvl w:val="0"/>
          <w:numId w:val="33"/>
        </w:numPr>
        <w:ind w:hanging="360" w:start="1503" w:end="23"/>
        <w:rPr/>
      </w:pPr>
      <w:r>
        <w:rPr/>
        <w:t>инструкции по работе с СУТП Заказчика;</w:t>
      </w:r>
    </w:p>
    <w:p>
      <w:pPr>
        <w:pStyle w:val="-3"/>
        <w:numPr>
          <w:ilvl w:val="0"/>
          <w:numId w:val="33"/>
        </w:numPr>
        <w:ind w:hanging="360" w:start="1503" w:end="23"/>
        <w:rPr/>
      </w:pPr>
      <w:r>
        <w:rPr/>
        <w:t>вычислительные мощности для резервного копирования (если не предусмотрено иное).</w:t>
      </w:r>
    </w:p>
    <w:p>
      <w:pPr>
        <w:pStyle w:val="26"/>
        <w:spacing w:lineRule="auto" w:line="240"/>
        <w:ind w:firstLine="709" w:start="0"/>
        <w:rPr/>
      </w:pPr>
      <w:bookmarkStart w:id="125" w:name="__RefHeading___Toc33536_3559854210"/>
      <w:bookmarkStart w:id="126" w:name="_Toc215755886"/>
      <w:bookmarkStart w:id="127" w:name="_Toc177129086"/>
      <w:bookmarkEnd w:id="125"/>
      <w:r>
        <w:rPr>
          <w:rFonts w:ascii="Times New Roman" w:hAnsi="Times New Roman"/>
          <w:szCs w:val="24"/>
        </w:rPr>
        <w:t>Требования к организации СТП Исполнителя</w:t>
      </w:r>
      <w:bookmarkEnd w:id="126"/>
      <w:bookmarkEnd w:id="127"/>
    </w:p>
    <w:p>
      <w:pPr>
        <w:pStyle w:val="Style44"/>
        <w:spacing w:lineRule="auto" w:line="240"/>
        <w:rPr/>
      </w:pPr>
      <w:r>
        <w:rPr/>
        <w:t>Для оказания услуг Исполнитель должен организовать службу технической поддержки (далее – СТП Исполнителя). В течение 3 (трех) рабочих дней с даты начала оказания Услуг.</w:t>
      </w:r>
    </w:p>
    <w:p>
      <w:pPr>
        <w:pStyle w:val="Style44"/>
        <w:spacing w:lineRule="auto" w:line="240"/>
        <w:rPr/>
      </w:pPr>
      <w:r>
        <w:rPr/>
        <w:t>Оценка качества оказанных услуг Исполнителем должна производится в соответствии с Методикой оценки качества оказанных услуг по техническому сопровождению Системы (Приложение А к ТЗ).</w:t>
      </w:r>
    </w:p>
    <w:p>
      <w:pPr>
        <w:pStyle w:val="Style44"/>
        <w:spacing w:lineRule="auto" w:line="240"/>
        <w:rPr/>
      </w:pPr>
      <w:r>
        <w:rPr/>
      </w:r>
    </w:p>
    <w:p>
      <w:pPr>
        <w:pStyle w:val="33"/>
        <w:tabs>
          <w:tab w:val="clear" w:pos="1560"/>
        </w:tabs>
        <w:spacing w:lineRule="auto" w:line="240" w:before="0" w:after="0"/>
        <w:ind w:firstLine="709" w:start="0"/>
        <w:rPr>
          <w:rFonts w:ascii="Times New Roman" w:hAnsi="Times New Roman"/>
        </w:rPr>
      </w:pPr>
      <w:bookmarkStart w:id="128" w:name="__RefHeading___Toc33538_3559854210"/>
      <w:bookmarkStart w:id="129" w:name="_Toc215755887"/>
      <w:bookmarkStart w:id="130" w:name="_Toc177129087"/>
      <w:bookmarkEnd w:id="128"/>
      <w:r>
        <w:rPr>
          <w:rFonts w:ascii="Times New Roman" w:hAnsi="Times New Roman"/>
        </w:rPr>
        <w:t>Режимы работы службы технической поддержки пользователей Исполнителя</w:t>
      </w:r>
      <w:bookmarkEnd w:id="129"/>
      <w:bookmarkEnd w:id="130"/>
    </w:p>
    <w:p>
      <w:pPr>
        <w:pStyle w:val="120"/>
        <w:spacing w:before="119" w:after="240"/>
        <w:ind w:firstLine="709" w:start="0"/>
        <w:contextualSpacing/>
        <w:jc w:val="both"/>
        <w:rPr/>
      </w:pPr>
      <w:r>
        <w:rPr/>
        <w:t>Предоставление функций СТП должно осуществляться в соответствии с режимом работы и рабочим временем указанным в (</w:t>
      </w:r>
      <w:r>
        <w:rPr/>
        <w:fldChar w:fldCharType="begin"/>
      </w:r>
      <w:r>
        <w:rPr/>
        <w:instrText xml:space="preserve"> REF _Ref192515503 \h </w:instrText>
      </w:r>
      <w:r>
        <w:rPr/>
        <w:fldChar w:fldCharType="separate"/>
      </w:r>
      <w:r>
        <w:rPr/>
        <w:t>Таблица 17</w:t>
      </w:r>
      <w:r>
        <w:rPr/>
        <w:fldChar w:fldCharType="end"/>
      </w:r>
      <w:r>
        <w:rPr/>
        <w:t>).</w:t>
      </w:r>
    </w:p>
    <w:p>
      <w:pPr>
        <w:pStyle w:val="Caption"/>
        <w:rPr>
          <w:i w:val="false"/>
          <w:i w:val="false"/>
          <w:iCs w:val="false"/>
          <w:color w:val="auto"/>
          <w:sz w:val="24"/>
          <w:szCs w:val="24"/>
        </w:rPr>
      </w:pPr>
      <w:r>
        <w:rPr>
          <w:i w:val="false"/>
          <w:iCs w:val="false"/>
          <w:color w:val="auto"/>
          <w:sz w:val="24"/>
          <w:szCs w:val="24"/>
        </w:rPr>
        <w:t xml:space="preserve"> </w:t>
      </w:r>
      <w:bookmarkStart w:id="131" w:name="_Ref192515503"/>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17</w:t>
      </w:r>
      <w:r>
        <w:rPr>
          <w:sz w:val="24"/>
          <w:i w:val="false"/>
          <w:szCs w:val="24"/>
          <w:iCs w:val="false"/>
          <w:color w:val="auto"/>
        </w:rPr>
        <w:fldChar w:fldCharType="end"/>
      </w:r>
      <w:bookmarkEnd w:id="131"/>
      <w:r>
        <w:rPr>
          <w:i w:val="false"/>
          <w:iCs w:val="false"/>
          <w:color w:val="auto"/>
          <w:sz w:val="24"/>
          <w:szCs w:val="24"/>
        </w:rPr>
        <w:t xml:space="preserve"> – Режимы работы СТП Исполнителя.</w:t>
      </w:r>
    </w:p>
    <w:tbl>
      <w:tblPr>
        <w:tblStyle w:val="-3"/>
        <w:tblW w:w="5000" w:type="pct"/>
        <w:jc w:val="start"/>
        <w:tblInd w:w="0" w:type="dxa"/>
        <w:tblLayout w:type="fixed"/>
        <w:tblCellMar>
          <w:top w:w="28" w:type="dxa"/>
          <w:start w:w="57" w:type="dxa"/>
          <w:bottom w:w="28" w:type="dxa"/>
          <w:end w:w="57" w:type="dxa"/>
        </w:tblCellMar>
        <w:tblLook w:val="04a0" w:noHBand="0" w:noVBand="1" w:firstColumn="1" w:lastRow="0" w:lastColumn="0" w:firstRow="1"/>
      </w:tblPr>
      <w:tblGrid>
        <w:gridCol w:w="662"/>
        <w:gridCol w:w="4737"/>
        <w:gridCol w:w="2263"/>
        <w:gridCol w:w="2258"/>
      </w:tblGrid>
      <w:tr>
        <w:trPr>
          <w:tblHeader w:val="true"/>
          <w:trHeight w:val="20" w:hRule="atLeast"/>
          <w:cnfStyle w:val="100000000000" w:firstRow="1" w:lastRow="0" w:firstColumn="0" w:lastColumn="0" w:oddVBand="0" w:evenVBand="0" w:oddHBand="0" w:evenHBand="0" w:firstRowFirstColumn="0" w:firstRowLastColumn="0" w:lastRowFirstColumn="0" w:lastRowLastColumn="0"/>
        </w:trPr>
        <w:tc>
          <w:tcPr>
            <w:tcW w:w="662" w:type="dxa"/>
            <w:tcBorders/>
            <w:shd w:color="auto" w:fill="auto" w:val="clear"/>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b/>
                <w:i w:val="false"/>
                <w:kern w:val="0"/>
                <w:sz w:val="24"/>
                <w:lang w:val="ru-RU" w:bidi="ar-SA"/>
              </w:rPr>
              <w:t>№</w:t>
            </w:r>
          </w:p>
          <w:p>
            <w:pPr>
              <w:pStyle w:val="Normal"/>
              <w:widowControl/>
              <w:suppressAutoHyphens w:val="true"/>
              <w:spacing w:lineRule="auto" w:line="240" w:before="0" w:after="0"/>
              <w:ind w:hanging="0" w:start="0" w:end="23"/>
              <w:jc w:val="center"/>
              <w:rPr>
                <w:rFonts w:eastAsia="Calibri"/>
              </w:rPr>
            </w:pPr>
            <w:r>
              <w:rPr>
                <w:rFonts w:eastAsia="Calibri" w:cs="Times New Roman"/>
                <w:b/>
                <w:i w:val="false"/>
                <w:kern w:val="0"/>
                <w:sz w:val="24"/>
                <w:lang w:val="ru-RU" w:bidi="ar-SA"/>
              </w:rPr>
              <w:t>п/п</w:t>
            </w:r>
          </w:p>
        </w:tc>
        <w:tc>
          <w:tcPr>
            <w:tcW w:w="4737" w:type="dxa"/>
            <w:tcBorders/>
            <w:shd w:color="auto" w:fill="auto" w:val="clear"/>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b/>
                <w:i w:val="false"/>
                <w:kern w:val="0"/>
                <w:sz w:val="24"/>
                <w:lang w:val="ru-RU" w:bidi="ar-SA"/>
              </w:rPr>
              <w:t>Функция (задача) СТП</w:t>
            </w:r>
          </w:p>
        </w:tc>
        <w:tc>
          <w:tcPr>
            <w:tcW w:w="2263" w:type="dxa"/>
            <w:tcBorders/>
            <w:shd w:color="auto" w:fill="auto" w:val="clear"/>
            <w:vAlign w:val="center"/>
          </w:tcPr>
          <w:p>
            <w:pPr>
              <w:pStyle w:val="Normal"/>
              <w:widowControl/>
              <w:suppressAutoHyphens w:val="true"/>
              <w:spacing w:lineRule="auto" w:line="240" w:before="0" w:after="0"/>
              <w:ind w:hanging="0" w:start="0" w:end="23"/>
              <w:jc w:val="center"/>
              <w:rPr>
                <w:sz w:val="24"/>
              </w:rPr>
            </w:pPr>
            <w:r>
              <w:rPr>
                <w:rFonts w:eastAsia="Calibri" w:cs="Times New Roman"/>
                <w:b/>
                <w:i w:val="false"/>
                <w:kern w:val="0"/>
                <w:sz w:val="24"/>
                <w:lang w:val="ru-RU" w:bidi="ar-SA"/>
              </w:rPr>
              <w:t>Режим доступности функций СТП</w:t>
            </w:r>
          </w:p>
        </w:tc>
        <w:tc>
          <w:tcPr>
            <w:tcW w:w="2258" w:type="dxa"/>
            <w:tcBorders/>
            <w:shd w:color="auto" w:fill="auto" w:val="clear"/>
            <w:vAlign w:val="center"/>
          </w:tcPr>
          <w:p>
            <w:pPr>
              <w:pStyle w:val="Normal"/>
              <w:widowControl/>
              <w:suppressAutoHyphens w:val="true"/>
              <w:spacing w:lineRule="auto" w:line="240" w:before="0" w:after="0"/>
              <w:ind w:hanging="0" w:start="0" w:end="23"/>
              <w:jc w:val="center"/>
              <w:rPr>
                <w:sz w:val="24"/>
              </w:rPr>
            </w:pPr>
            <w:r>
              <w:rPr>
                <w:rFonts w:eastAsia="Calibri" w:cs="Times New Roman"/>
                <w:b/>
                <w:i w:val="false"/>
                <w:kern w:val="0"/>
                <w:sz w:val="24"/>
                <w:lang w:val="ru-RU" w:bidi="ar-SA"/>
              </w:rPr>
              <w:t>Время доступности специалистов СТП</w:t>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1.</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Предоставление СУТП Заказчика (при использовании СУТП Заказчика)</w:t>
            </w:r>
          </w:p>
        </w:tc>
        <w:tc>
          <w:tcPr>
            <w:tcW w:w="2263" w:type="dxa"/>
            <w:tcBorders/>
            <w:vAlign w:val="center"/>
          </w:tcPr>
          <w:p>
            <w:pPr>
              <w:pStyle w:val="Normal"/>
              <w:widowControl/>
              <w:suppressAutoHyphens w:val="true"/>
              <w:spacing w:lineRule="auto" w:line="240" w:before="0" w:after="0"/>
              <w:ind w:hanging="0" w:start="0" w:end="23"/>
              <w:jc w:val="center"/>
              <w:rPr>
                <w:sz w:val="24"/>
              </w:rPr>
            </w:pPr>
            <w:r>
              <w:rPr>
                <w:rFonts w:eastAsia="Calibri" w:cs="Times New Roman"/>
                <w:kern w:val="0"/>
                <w:sz w:val="24"/>
                <w:lang w:val="ru-RU" w:bidi="ar-SA"/>
              </w:rPr>
              <w:t>24×7</w:t>
            </w:r>
          </w:p>
        </w:tc>
        <w:tc>
          <w:tcPr>
            <w:tcW w:w="2258" w:type="dxa"/>
            <w:tcBorders/>
            <w:vAlign w:val="center"/>
          </w:tcPr>
          <w:p>
            <w:pPr>
              <w:pStyle w:val="Normal"/>
              <w:widowControl/>
              <w:suppressAutoHyphens w:val="true"/>
              <w:spacing w:lineRule="auto" w:line="240" w:before="0" w:after="0"/>
              <w:ind w:hanging="0" w:start="0" w:end="23"/>
              <w:jc w:val="center"/>
              <w:rPr>
                <w:sz w:val="24"/>
              </w:rPr>
            </w:pPr>
            <w:r>
              <w:rPr>
                <w:rFonts w:eastAsia="Calibri" w:cs="Times New Roman"/>
                <w:kern w:val="0"/>
                <w:sz w:val="24"/>
                <w:lang w:val="ru-RU" w:bidi="ar-SA"/>
              </w:rPr>
              <w:t>—</w:t>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2.</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Прием обращений по почте Исполнителем</w:t>
            </w:r>
          </w:p>
        </w:tc>
        <w:tc>
          <w:tcPr>
            <w:tcW w:w="2263" w:type="dxa"/>
            <w:vMerge w:val="restart"/>
            <w:tcBorders/>
            <w:vAlign w:val="center"/>
          </w:tcPr>
          <w:p>
            <w:pPr>
              <w:pStyle w:val="Normal"/>
              <w:widowControl/>
              <w:suppressAutoHyphens w:val="true"/>
              <w:spacing w:lineRule="auto" w:line="240" w:before="0" w:after="0"/>
              <w:ind w:hanging="0" w:start="0" w:end="23"/>
              <w:jc w:val="center"/>
              <w:rPr>
                <w:sz w:val="24"/>
              </w:rPr>
            </w:pPr>
            <w:r>
              <w:rPr>
                <w:rFonts w:eastAsia="Calibri" w:cs="Times New Roman"/>
                <w:kern w:val="0"/>
                <w:sz w:val="24"/>
                <w:lang w:val="ru-RU" w:bidi="ar-SA"/>
              </w:rPr>
              <w:t>24×7</w:t>
            </w:r>
          </w:p>
        </w:tc>
        <w:tc>
          <w:tcPr>
            <w:tcW w:w="2258" w:type="dxa"/>
            <w:vMerge w:val="restart"/>
            <w:tcBorders/>
            <w:vAlign w:val="center"/>
          </w:tcPr>
          <w:p>
            <w:pPr>
              <w:pStyle w:val="Normal"/>
              <w:widowControl/>
              <w:suppressAutoHyphens w:val="true"/>
              <w:spacing w:lineRule="auto" w:line="240" w:before="0" w:after="0"/>
              <w:ind w:hanging="0" w:start="0" w:end="23"/>
              <w:jc w:val="center"/>
              <w:rPr>
                <w:sz w:val="24"/>
              </w:rPr>
            </w:pPr>
            <w:r>
              <w:rPr>
                <w:rFonts w:eastAsia="Calibri" w:cs="Times New Roman"/>
                <w:kern w:val="0"/>
                <w:sz w:val="24"/>
                <w:lang w:val="ru-RU" w:bidi="ar-SA"/>
              </w:rPr>
              <w:t>—</w:t>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3.</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Регистрация обращений с присвоением УИН (автоматическая) (При направлении обращений по почте)</w:t>
            </w:r>
          </w:p>
        </w:tc>
        <w:tc>
          <w:tcPr>
            <w:tcW w:w="2263"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c>
          <w:tcPr>
            <w:tcW w:w="2258"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4.</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Прием обращений по телефону</w:t>
            </w:r>
          </w:p>
        </w:tc>
        <w:tc>
          <w:tcPr>
            <w:tcW w:w="2263" w:type="dxa"/>
            <w:vMerge w:val="restart"/>
            <w:tcBorders/>
            <w:vAlign w:val="center"/>
          </w:tcPr>
          <w:p>
            <w:pPr>
              <w:pStyle w:val="Normal"/>
              <w:widowControl/>
              <w:suppressAutoHyphens w:val="true"/>
              <w:spacing w:lineRule="auto" w:line="240" w:before="0" w:after="0"/>
              <w:ind w:hanging="0" w:start="0" w:end="23"/>
              <w:jc w:val="center"/>
              <w:rPr>
                <w:sz w:val="24"/>
              </w:rPr>
            </w:pPr>
            <w:r>
              <w:rPr>
                <w:rFonts w:eastAsia="Calibri" w:cs="Times New Roman"/>
                <w:kern w:val="0"/>
                <w:sz w:val="24"/>
                <w:lang w:val="ru-RU" w:bidi="ar-SA"/>
              </w:rPr>
              <w:t>8×5</w:t>
            </w:r>
          </w:p>
        </w:tc>
        <w:tc>
          <w:tcPr>
            <w:tcW w:w="2258" w:type="dxa"/>
            <w:vMerge w:val="restart"/>
            <w:tcBorders/>
            <w:vAlign w:val="center"/>
          </w:tcPr>
          <w:p>
            <w:pPr>
              <w:pStyle w:val="Normal"/>
              <w:widowControl/>
              <w:suppressAutoHyphens w:val="true"/>
              <w:spacing w:lineRule="auto" w:line="240" w:before="0" w:after="0"/>
              <w:ind w:hanging="357" w:start="0" w:end="23"/>
              <w:jc w:val="center"/>
              <w:rPr>
                <w:sz w:val="24"/>
              </w:rPr>
            </w:pPr>
            <w:r>
              <w:rPr>
                <w:rFonts w:eastAsia="Calibri" w:cs="Times New Roman"/>
                <w:kern w:val="0"/>
                <w:sz w:val="24"/>
                <w:lang w:val="ru-RU" w:bidi="ar-SA"/>
              </w:rPr>
              <w:t>09:00 до 18:00</w:t>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5.</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Классификация обращений</w:t>
            </w:r>
          </w:p>
        </w:tc>
        <w:tc>
          <w:tcPr>
            <w:tcW w:w="2263"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c>
          <w:tcPr>
            <w:tcW w:w="2258"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6.</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Отправка ответов пользователям</w:t>
            </w:r>
          </w:p>
        </w:tc>
        <w:tc>
          <w:tcPr>
            <w:tcW w:w="2263"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c>
          <w:tcPr>
            <w:tcW w:w="2258"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7.</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Исполнение обращений</w:t>
            </w:r>
          </w:p>
        </w:tc>
        <w:tc>
          <w:tcPr>
            <w:tcW w:w="2263"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c>
          <w:tcPr>
            <w:tcW w:w="2258"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8.</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Выполнение операций</w:t>
            </w:r>
          </w:p>
        </w:tc>
        <w:tc>
          <w:tcPr>
            <w:tcW w:w="2263"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c>
          <w:tcPr>
            <w:tcW w:w="2258"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9.</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Выполнение регулярных работ</w:t>
            </w:r>
          </w:p>
        </w:tc>
        <w:tc>
          <w:tcPr>
            <w:tcW w:w="2263" w:type="dxa"/>
            <w:vMerge w:val="restart"/>
            <w:tcBorders/>
            <w:vAlign w:val="center"/>
          </w:tcPr>
          <w:p>
            <w:pPr>
              <w:pStyle w:val="Normal"/>
              <w:widowControl/>
              <w:suppressAutoHyphens w:val="true"/>
              <w:spacing w:lineRule="auto" w:line="240" w:before="0" w:after="0"/>
              <w:ind w:hanging="0" w:start="0" w:end="23"/>
              <w:jc w:val="center"/>
              <w:rPr>
                <w:sz w:val="24"/>
              </w:rPr>
            </w:pPr>
            <w:r>
              <w:rPr>
                <w:rFonts w:eastAsia="Calibri" w:cs="Times New Roman"/>
                <w:kern w:val="0"/>
                <w:sz w:val="24"/>
                <w:lang w:val="ru-RU" w:bidi="ar-SA"/>
              </w:rPr>
              <w:t>24×7</w:t>
            </w:r>
          </w:p>
        </w:tc>
        <w:tc>
          <w:tcPr>
            <w:tcW w:w="2258" w:type="dxa"/>
            <w:tcBorders/>
            <w:vAlign w:val="center"/>
          </w:tcPr>
          <w:p>
            <w:pPr>
              <w:pStyle w:val="Normal"/>
              <w:widowControl/>
              <w:suppressAutoHyphens w:val="true"/>
              <w:spacing w:lineRule="auto" w:line="240" w:before="0" w:after="0"/>
              <w:ind w:hanging="0" w:start="0" w:end="23"/>
              <w:jc w:val="center"/>
              <w:rPr>
                <w:sz w:val="24"/>
              </w:rPr>
            </w:pPr>
            <w:r>
              <w:rPr>
                <w:rFonts w:eastAsia="Calibri" w:cs="Times New Roman"/>
                <w:kern w:val="0"/>
                <w:sz w:val="24"/>
                <w:lang w:val="ru-RU" w:bidi="ar-SA"/>
              </w:rPr>
              <w:t>Сервисное окно (22:00 – 07:00), выходные круглосуточно</w:t>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10.</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Обеспечение доступности Системы</w:t>
            </w:r>
          </w:p>
        </w:tc>
        <w:tc>
          <w:tcPr>
            <w:tcW w:w="2263" w:type="dxa"/>
            <w:vMerge w:val="continue"/>
            <w:tcBorders/>
            <w:vAlign w:val="center"/>
          </w:tcPr>
          <w:p>
            <w:pPr>
              <w:pStyle w:val="Normal"/>
              <w:widowControl/>
              <w:suppressAutoHyphens w:val="true"/>
              <w:spacing w:lineRule="auto" w:line="240" w:before="0" w:after="0"/>
              <w:ind w:hanging="0" w:start="0" w:end="23"/>
              <w:jc w:val="center"/>
              <w:rPr>
                <w:sz w:val="24"/>
              </w:rPr>
            </w:pPr>
            <w:r>
              <w:rPr>
                <w:sz w:val="24"/>
              </w:rPr>
            </w:r>
          </w:p>
        </w:tc>
        <w:tc>
          <w:tcPr>
            <w:tcW w:w="2258" w:type="dxa"/>
            <w:vMerge w:val="restart"/>
            <w:tcBorders/>
            <w:vAlign w:val="center"/>
          </w:tcPr>
          <w:p>
            <w:pPr>
              <w:pStyle w:val="Normal"/>
              <w:widowControl/>
              <w:suppressAutoHyphens w:val="true"/>
              <w:spacing w:lineRule="auto" w:line="240" w:before="0" w:after="0"/>
              <w:ind w:hanging="0" w:start="0" w:end="23"/>
              <w:jc w:val="center"/>
              <w:rPr>
                <w:sz w:val="24"/>
              </w:rPr>
            </w:pPr>
            <w:r>
              <w:rPr>
                <w:rFonts w:eastAsia="Calibri" w:cs="Times New Roman"/>
                <w:kern w:val="0"/>
                <w:sz w:val="24"/>
                <w:lang w:val="ru-RU" w:bidi="ar-SA"/>
              </w:rPr>
              <w:t>—</w:t>
            </w:r>
          </w:p>
        </w:tc>
      </w:tr>
      <w:tr>
        <w:trPr>
          <w:trHeight w:val="20" w:hRule="atLeast"/>
        </w:trPr>
        <w:tc>
          <w:tcPr>
            <w:tcW w:w="662"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color w:val="000000"/>
                <w:kern w:val="0"/>
                <w:sz w:val="24"/>
                <w:lang w:val="ru-RU" w:bidi="ar-SA"/>
              </w:rPr>
              <w:t>11.</w:t>
            </w:r>
          </w:p>
        </w:tc>
        <w:tc>
          <w:tcPr>
            <w:tcW w:w="4737" w:type="dxa"/>
            <w:tcBorders/>
            <w:vAlign w:val="center"/>
          </w:tcPr>
          <w:p>
            <w:pPr>
              <w:pStyle w:val="Normal"/>
              <w:widowControl/>
              <w:suppressAutoHyphens w:val="true"/>
              <w:spacing w:lineRule="auto" w:line="240" w:before="0" w:after="0"/>
              <w:ind w:hanging="0" w:start="0" w:end="23"/>
              <w:jc w:val="center"/>
              <w:rPr>
                <w:rFonts w:eastAsia="Calibri"/>
              </w:rPr>
            </w:pPr>
            <w:r>
              <w:rPr>
                <w:rFonts w:eastAsia="Calibri" w:cs="Times New Roman"/>
                <w:kern w:val="0"/>
                <w:sz w:val="24"/>
                <w:lang w:val="ru-RU" w:bidi="ar-SA"/>
              </w:rPr>
              <w:t>Обеспечение работоспособности (производительности) Системы</w:t>
            </w:r>
          </w:p>
        </w:tc>
        <w:tc>
          <w:tcPr>
            <w:tcW w:w="2263" w:type="dxa"/>
            <w:vMerge w:val="continue"/>
            <w:tcBorders/>
          </w:tcPr>
          <w:p>
            <w:pPr>
              <w:pStyle w:val="Normal"/>
              <w:widowControl/>
              <w:suppressAutoHyphens w:val="true"/>
              <w:spacing w:lineRule="auto" w:line="240" w:before="0" w:after="0"/>
              <w:ind w:hanging="0" w:start="0" w:end="23"/>
              <w:jc w:val="start"/>
              <w:rPr>
                <w:sz w:val="24"/>
              </w:rPr>
            </w:pPr>
            <w:r>
              <w:rPr>
                <w:sz w:val="24"/>
              </w:rPr>
            </w:r>
          </w:p>
        </w:tc>
        <w:tc>
          <w:tcPr>
            <w:tcW w:w="2258" w:type="dxa"/>
            <w:vMerge w:val="continue"/>
            <w:tcBorders/>
          </w:tcPr>
          <w:p>
            <w:pPr>
              <w:pStyle w:val="Normal"/>
              <w:widowControl/>
              <w:suppressAutoHyphens w:val="true"/>
              <w:spacing w:lineRule="auto" w:line="240" w:before="0" w:after="0"/>
              <w:ind w:hanging="0" w:start="0" w:end="23"/>
              <w:jc w:val="start"/>
              <w:rPr>
                <w:sz w:val="24"/>
              </w:rPr>
            </w:pPr>
            <w:r>
              <w:rPr>
                <w:sz w:val="24"/>
              </w:rPr>
            </w:r>
          </w:p>
        </w:tc>
      </w:tr>
    </w:tbl>
    <w:p>
      <w:pPr>
        <w:pStyle w:val="Style44"/>
        <w:spacing w:lineRule="auto" w:line="240"/>
        <w:rPr/>
      </w:pPr>
      <w:r>
        <w:rPr/>
      </w:r>
    </w:p>
    <w:p>
      <w:pPr>
        <w:pStyle w:val="33"/>
        <w:tabs>
          <w:tab w:val="clear" w:pos="1560"/>
        </w:tabs>
        <w:spacing w:lineRule="auto" w:line="240" w:before="0" w:after="0"/>
        <w:ind w:firstLine="709" w:start="0"/>
        <w:rPr>
          <w:rFonts w:ascii="Times New Roman" w:hAnsi="Times New Roman"/>
        </w:rPr>
      </w:pPr>
      <w:bookmarkStart w:id="132" w:name="__RefHeading___Toc33540_3559854210"/>
      <w:bookmarkStart w:id="133" w:name="_Toc215755888"/>
      <w:bookmarkStart w:id="134" w:name="_Toc177129088"/>
      <w:bookmarkEnd w:id="132"/>
      <w:r>
        <w:rPr>
          <w:rFonts w:ascii="Times New Roman" w:hAnsi="Times New Roman"/>
        </w:rPr>
        <w:t>Порядок регистрации и обработки обращений (заявок)</w:t>
      </w:r>
      <w:bookmarkEnd w:id="133"/>
      <w:bookmarkEnd w:id="134"/>
    </w:p>
    <w:p>
      <w:pPr>
        <w:pStyle w:val="120"/>
        <w:spacing w:before="119" w:after="240"/>
        <w:ind w:firstLine="709" w:start="0"/>
        <w:contextualSpacing/>
        <w:jc w:val="both"/>
        <w:rPr/>
      </w:pPr>
      <w:r>
        <w:rPr/>
        <w:t>Обработка обращений должна осуществляется в соответствии с установленным распределением ответственности за выполнение функций СТП Исполнителя, в соответствии с порядком указанным в (</w:t>
      </w:r>
      <w:r>
        <w:rPr/>
        <w:fldChar w:fldCharType="begin"/>
      </w:r>
      <w:r>
        <w:rPr/>
        <w:instrText xml:space="preserve"> REF _Ref192515694 \h </w:instrText>
      </w:r>
      <w:r>
        <w:rPr/>
        <w:fldChar w:fldCharType="separate"/>
      </w:r>
      <w:r>
        <w:rPr/>
        <w:t>Таблица 18</w:t>
      </w:r>
      <w:r>
        <w:rPr/>
        <w:fldChar w:fldCharType="end"/>
      </w:r>
      <w:r>
        <w:rPr/>
        <w:t>).</w:t>
      </w:r>
    </w:p>
    <w:p>
      <w:pPr>
        <w:pStyle w:val="Caption"/>
        <w:rPr>
          <w:i w:val="false"/>
          <w:i w:val="false"/>
          <w:iCs w:val="false"/>
          <w:color w:val="auto"/>
          <w:sz w:val="24"/>
          <w:szCs w:val="24"/>
        </w:rPr>
      </w:pPr>
      <w:bookmarkStart w:id="135" w:name="_Ref192515694"/>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18</w:t>
      </w:r>
      <w:r>
        <w:rPr>
          <w:sz w:val="24"/>
          <w:i w:val="false"/>
          <w:szCs w:val="24"/>
          <w:iCs w:val="false"/>
          <w:color w:val="auto"/>
        </w:rPr>
        <w:fldChar w:fldCharType="end"/>
      </w:r>
      <w:bookmarkEnd w:id="135"/>
      <w:r>
        <w:rPr>
          <w:i w:val="false"/>
          <w:iCs w:val="false"/>
          <w:color w:val="auto"/>
          <w:sz w:val="24"/>
          <w:szCs w:val="24"/>
        </w:rPr>
        <w:t xml:space="preserve"> – Порядок работы с обращениями в рамках функций СТП Исполнителя.</w:t>
      </w:r>
    </w:p>
    <w:tbl>
      <w:tblPr>
        <w:tblStyle w:val="GR1"/>
        <w:tblW w:w="9776"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699"/>
        <w:gridCol w:w="2169"/>
        <w:gridCol w:w="6908"/>
      </w:tblGrid>
      <w:tr>
        <w:trPr>
          <w:tblHeader w:val="true"/>
        </w:trPr>
        <w:tc>
          <w:tcPr>
            <w:tcW w:w="699" w:type="dxa"/>
            <w:tcBorders/>
            <w:vAlign w:val="center"/>
          </w:tcPr>
          <w:p>
            <w:pPr>
              <w:pStyle w:val="Normal"/>
              <w:widowControl/>
              <w:suppressAutoHyphens w:val="true"/>
              <w:spacing w:lineRule="auto" w:line="240" w:before="0" w:after="0"/>
              <w:ind w:hanging="0" w:start="0"/>
              <w:jc w:val="center"/>
              <w:rPr>
                <w:b/>
                <w:sz w:val="24"/>
                <w:szCs w:val="24"/>
                <w:lang w:eastAsia="ru-RU"/>
              </w:rPr>
            </w:pPr>
            <w:r>
              <w:rPr>
                <w:rFonts w:eastAsia="Batang" w:cs="Times New Roman"/>
                <w:b/>
                <w:kern w:val="0"/>
                <w:sz w:val="24"/>
                <w:szCs w:val="24"/>
                <w:lang w:val="ru-RU" w:eastAsia="ru-RU" w:bidi="ar-SA"/>
              </w:rPr>
              <w:t>№</w:t>
            </w:r>
          </w:p>
          <w:p>
            <w:pPr>
              <w:pStyle w:val="Normal"/>
              <w:widowControl/>
              <w:suppressAutoHyphens w:val="true"/>
              <w:spacing w:lineRule="auto" w:line="240" w:before="0" w:after="0"/>
              <w:ind w:hanging="0" w:start="0"/>
              <w:jc w:val="center"/>
              <w:rPr>
                <w:b/>
                <w:sz w:val="24"/>
                <w:szCs w:val="24"/>
                <w:lang w:eastAsia="ru-RU"/>
              </w:rPr>
            </w:pPr>
            <w:r>
              <w:rPr>
                <w:rFonts w:eastAsia="Batang" w:cs="Times New Roman"/>
                <w:b/>
                <w:kern w:val="0"/>
                <w:sz w:val="24"/>
                <w:szCs w:val="24"/>
                <w:lang w:val="ru-RU" w:eastAsia="ru-RU" w:bidi="ar-SA"/>
              </w:rPr>
              <w:t>п.п.</w:t>
            </w:r>
          </w:p>
        </w:tc>
        <w:tc>
          <w:tcPr>
            <w:tcW w:w="2169" w:type="dxa"/>
            <w:tcBorders/>
            <w:vAlign w:val="center"/>
          </w:tcPr>
          <w:p>
            <w:pPr>
              <w:pStyle w:val="Normal"/>
              <w:widowControl/>
              <w:suppressAutoHyphens w:val="true"/>
              <w:spacing w:lineRule="auto" w:line="276" w:before="0" w:after="0"/>
              <w:ind w:hanging="0" w:start="0"/>
              <w:jc w:val="center"/>
              <w:rPr>
                <w:b/>
                <w:sz w:val="24"/>
                <w:szCs w:val="24"/>
              </w:rPr>
            </w:pPr>
            <w:r>
              <w:rPr>
                <w:rFonts w:eastAsia="Batang" w:cs="Times New Roman"/>
                <w:b/>
                <w:kern w:val="0"/>
                <w:sz w:val="24"/>
                <w:szCs w:val="24"/>
                <w:lang w:val="ru-RU" w:bidi="ar-SA"/>
              </w:rPr>
              <w:t>Функция (задача) СТП Исполнителя</w:t>
            </w:r>
          </w:p>
        </w:tc>
        <w:tc>
          <w:tcPr>
            <w:tcW w:w="6908" w:type="dxa"/>
            <w:tcBorders/>
            <w:vAlign w:val="center"/>
          </w:tcPr>
          <w:p>
            <w:pPr>
              <w:pStyle w:val="Normal"/>
              <w:widowControl/>
              <w:suppressAutoHyphens w:val="true"/>
              <w:spacing w:lineRule="auto" w:line="276" w:before="0" w:after="0"/>
              <w:ind w:firstLine="1" w:start="0"/>
              <w:jc w:val="center"/>
              <w:rPr>
                <w:b/>
                <w:sz w:val="24"/>
                <w:szCs w:val="24"/>
              </w:rPr>
            </w:pPr>
            <w:r>
              <w:rPr>
                <w:rFonts w:eastAsia="Batang" w:cs="Times New Roman"/>
                <w:b/>
                <w:kern w:val="0"/>
                <w:sz w:val="24"/>
                <w:szCs w:val="24"/>
                <w:lang w:val="ru-RU" w:bidi="ar-SA"/>
              </w:rPr>
              <w:t>Порядок</w:t>
            </w:r>
          </w:p>
        </w:tc>
      </w:tr>
      <w:tr>
        <w:trPr/>
        <w:tc>
          <w:tcPr>
            <w:tcW w:w="699" w:type="dxa"/>
            <w:vMerge w:val="restart"/>
            <w:tcBorders/>
            <w:vAlign w:val="center"/>
          </w:tcPr>
          <w:p>
            <w:pPr>
              <w:pStyle w:val="Normal"/>
              <w:widowControl/>
              <w:suppressAutoHyphens w:val="true"/>
              <w:spacing w:lineRule="auto" w:line="276" w:before="0" w:after="0"/>
              <w:ind w:hanging="0" w:start="0"/>
              <w:jc w:val="center"/>
              <w:rPr>
                <w:sz w:val="24"/>
                <w:szCs w:val="24"/>
              </w:rPr>
            </w:pPr>
            <w:r>
              <w:rPr>
                <w:rFonts w:eastAsia="Batang" w:cs="Times New Roman"/>
                <w:kern w:val="0"/>
                <w:sz w:val="24"/>
                <w:szCs w:val="24"/>
                <w:lang w:val="ru-RU" w:bidi="ar-SA"/>
              </w:rPr>
              <w:t>1.</w:t>
            </w:r>
          </w:p>
        </w:tc>
        <w:tc>
          <w:tcPr>
            <w:tcW w:w="2169" w:type="dxa"/>
            <w:vMerge w:val="restart"/>
            <w:tcBorders/>
            <w:vAlign w:val="center"/>
          </w:tcPr>
          <w:p>
            <w:pPr>
              <w:pStyle w:val="Normal"/>
              <w:widowControl/>
              <w:suppressAutoHyphens w:val="true"/>
              <w:spacing w:lineRule="auto" w:line="276" w:before="0" w:after="0"/>
              <w:ind w:hanging="0" w:start="0"/>
              <w:rPr>
                <w:sz w:val="24"/>
                <w:szCs w:val="24"/>
              </w:rPr>
            </w:pPr>
            <w:r>
              <w:rPr>
                <w:rFonts w:eastAsia="Batang" w:cs="Times New Roman"/>
                <w:kern w:val="0"/>
                <w:sz w:val="24"/>
                <w:szCs w:val="24"/>
                <w:lang w:val="ru-RU" w:bidi="ar-SA"/>
              </w:rPr>
              <w:t>Прием обращений</w:t>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Прием обращений осуществляется:</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в соответствии с режимом доступности функций СТП, приведенном в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_Ref192515503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17</w:t>
            </w:r>
            <w:r>
              <w:rPr>
                <w:sz w:val="24"/>
                <w:kern w:val="0"/>
                <w:szCs w:val="24"/>
                <w:rFonts w:eastAsia="Batang" w:cs="Times New Roman"/>
                <w:lang w:val="ru-RU" w:bidi="ar-SA"/>
              </w:rPr>
              <w:fldChar w:fldCharType="end"/>
            </w:r>
            <w:r>
              <w:rPr>
                <w:rFonts w:eastAsia="Batang" w:cs="Times New Roman"/>
                <w:kern w:val="0"/>
                <w:sz w:val="24"/>
                <w:szCs w:val="24"/>
                <w:lang w:val="ru-RU" w:bidi="ar-SA"/>
              </w:rPr>
              <w:t>)ТЗ;</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в соответствии с параметрами взаимодействия СТП;</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tcPr>
          <w:p>
            <w:pPr>
              <w:pStyle w:val="Normal"/>
              <w:widowControl/>
              <w:suppressAutoHyphens w:val="true"/>
              <w:spacing w:lineRule="auto" w:line="276" w:before="0" w:after="0"/>
              <w:ind w:hanging="0" w:start="0"/>
              <w:rPr>
                <w:sz w:val="24"/>
                <w:szCs w:val="24"/>
              </w:rPr>
            </w:pPr>
            <w:r>
              <w:rPr>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Для обращений, полученных в выходные и праздничные дни или в нерабочее время, отсчет времени по обработке обращения производится со следующего рабочего дня после получения обращения в соответствии с режимом доступности функций СТП, приведенным в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_Ref192515503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17</w:t>
            </w:r>
            <w:r>
              <w:rPr>
                <w:sz w:val="24"/>
                <w:kern w:val="0"/>
                <w:szCs w:val="24"/>
                <w:rFonts w:eastAsia="Batang" w:cs="Times New Roman"/>
                <w:lang w:val="ru-RU" w:bidi="ar-SA"/>
              </w:rPr>
              <w:fldChar w:fldCharType="end"/>
            </w:r>
            <w:r>
              <w:rPr>
                <w:rFonts w:eastAsia="Batang" w:cs="Times New Roman"/>
                <w:kern w:val="0"/>
                <w:sz w:val="24"/>
                <w:szCs w:val="24"/>
                <w:lang w:val="ru-RU" w:bidi="ar-SA"/>
              </w:rPr>
              <w:t>)ТЗ.</w:t>
            </w:r>
          </w:p>
        </w:tc>
      </w:tr>
      <w:tr>
        <w:trPr>
          <w:trHeight w:val="1418" w:hRule="atLeast"/>
        </w:trPr>
        <w:tc>
          <w:tcPr>
            <w:tcW w:w="699" w:type="dxa"/>
            <w:vMerge w:val="restart"/>
            <w:tcBorders/>
            <w:vAlign w:val="center"/>
          </w:tcPr>
          <w:p>
            <w:pPr>
              <w:pStyle w:val="Normal"/>
              <w:widowControl/>
              <w:suppressAutoHyphens w:val="true"/>
              <w:spacing w:lineRule="auto" w:line="276" w:before="0" w:after="0"/>
              <w:ind w:hanging="0" w:start="0"/>
              <w:jc w:val="center"/>
              <w:rPr>
                <w:sz w:val="24"/>
                <w:szCs w:val="24"/>
              </w:rPr>
            </w:pPr>
            <w:r>
              <w:rPr>
                <w:rFonts w:eastAsia="Batang" w:cs="Times New Roman"/>
                <w:kern w:val="0"/>
                <w:sz w:val="24"/>
                <w:szCs w:val="24"/>
                <w:lang w:val="ru-RU" w:bidi="ar-SA"/>
              </w:rPr>
              <w:t>2.</w:t>
            </w:r>
          </w:p>
        </w:tc>
        <w:tc>
          <w:tcPr>
            <w:tcW w:w="2169" w:type="dxa"/>
            <w:vMerge w:val="restart"/>
            <w:tcBorders/>
          </w:tcPr>
          <w:p>
            <w:pPr>
              <w:pStyle w:val="Normal"/>
              <w:widowControl/>
              <w:suppressAutoHyphens w:val="true"/>
              <w:spacing w:lineRule="auto" w:line="276" w:before="0" w:after="0"/>
              <w:ind w:hanging="0" w:start="0"/>
              <w:jc w:val="start"/>
              <w:rPr>
                <w:sz w:val="24"/>
                <w:szCs w:val="24"/>
              </w:rPr>
            </w:pPr>
            <w:r>
              <w:rPr>
                <w:rFonts w:eastAsia="Batang" w:cs="Times New Roman"/>
                <w:kern w:val="0"/>
                <w:sz w:val="24"/>
                <w:szCs w:val="24"/>
                <w:lang w:val="ru-RU" w:bidi="ar-SA"/>
              </w:rPr>
              <w:t>Регистрация обращений с присвоением УИН</w:t>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 рамках регистрации обращения осуществляется:</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 опрос Инициатора обращения о сути возникшей проблемы (при обращении по телефону);</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регистрация обращения по форме, указанной в п. 5.3.7ТЗ;</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информирование Инициатора обращения о номере обращения, зарегистрированном в СУТП;</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первичная классификация обращения, согласно Таблице 21.</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tcPr>
          <w:p>
            <w:pPr>
              <w:pStyle w:val="Normal"/>
              <w:widowControl/>
              <w:suppressAutoHyphens w:val="true"/>
              <w:spacing w:lineRule="auto" w:line="276" w:before="0" w:after="0"/>
              <w:ind w:hanging="0" w:start="0"/>
              <w:rPr>
                <w:sz w:val="24"/>
                <w:szCs w:val="24"/>
              </w:rPr>
            </w:pPr>
            <w:r>
              <w:rPr>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Регистрации подлежат все обращения пользователей в СУТП.</w:t>
            </w:r>
          </w:p>
        </w:tc>
      </w:tr>
      <w:tr>
        <w:trPr>
          <w:trHeight w:val="2866" w:hRule="atLeast"/>
        </w:trPr>
        <w:tc>
          <w:tcPr>
            <w:tcW w:w="699" w:type="dxa"/>
            <w:tcBorders/>
            <w:vAlign w:val="center"/>
          </w:tcPr>
          <w:p>
            <w:pPr>
              <w:pStyle w:val="Normal"/>
              <w:widowControl/>
              <w:suppressAutoHyphens w:val="true"/>
              <w:spacing w:lineRule="auto" w:line="276" w:before="0" w:after="0"/>
              <w:ind w:hanging="0" w:start="0"/>
              <w:jc w:val="center"/>
              <w:rPr>
                <w:sz w:val="24"/>
                <w:szCs w:val="24"/>
              </w:rPr>
            </w:pPr>
            <w:r>
              <w:rPr>
                <w:rFonts w:eastAsia="Batang" w:cs="Times New Roman"/>
                <w:kern w:val="0"/>
                <w:sz w:val="24"/>
                <w:szCs w:val="24"/>
                <w:lang w:val="ru-RU" w:bidi="ar-SA"/>
              </w:rPr>
              <w:t>3.</w:t>
            </w:r>
          </w:p>
        </w:tc>
        <w:tc>
          <w:tcPr>
            <w:tcW w:w="2169" w:type="dxa"/>
            <w:tcBorders/>
            <w:vAlign w:val="center"/>
          </w:tcPr>
          <w:p>
            <w:pPr>
              <w:pStyle w:val="Normal"/>
              <w:widowControl/>
              <w:suppressAutoHyphens w:val="true"/>
              <w:spacing w:lineRule="auto" w:line="276" w:before="0" w:after="0"/>
              <w:ind w:hanging="0" w:start="0"/>
              <w:jc w:val="center"/>
              <w:rPr>
                <w:rFonts w:ascii="Calibri" w:hAnsi="Calibri" w:eastAsia="Batang"/>
              </w:rPr>
            </w:pPr>
            <w:r>
              <w:rPr>
                <w:rFonts w:eastAsia="Batang" w:cs="Times New Roman"/>
                <w:kern w:val="0"/>
                <w:sz w:val="24"/>
                <w:szCs w:val="24"/>
                <w:lang w:val="ru-RU" w:bidi="ar-SA"/>
              </w:rPr>
              <w:t>Классификация обращения</w:t>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 рамках классификации обращения осуществляется проверка и окончательное определение:</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типа оказания услуг, согласно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_Ref192512928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14</w:t>
            </w:r>
            <w:r>
              <w:rPr>
                <w:sz w:val="24"/>
                <w:kern w:val="0"/>
                <w:szCs w:val="24"/>
                <w:rFonts w:eastAsia="Batang" w:cs="Times New Roman"/>
                <w:lang w:val="ru-RU" w:bidi="ar-SA"/>
              </w:rPr>
              <w:fldChar w:fldCharType="end"/>
            </w:r>
            <w:r>
              <w:rPr>
                <w:rFonts w:eastAsia="Batang" w:cs="Times New Roman"/>
                <w:kern w:val="0"/>
                <w:sz w:val="24"/>
                <w:szCs w:val="24"/>
                <w:lang w:val="ru-RU" w:bidi="ar-SA"/>
              </w:rPr>
              <w:t>)ТЗ;</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наименование подсистемы Системы;</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выполняемой операции, согласно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_Ref192512928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14</w:t>
            </w:r>
            <w:r>
              <w:rPr>
                <w:sz w:val="24"/>
                <w:kern w:val="0"/>
                <w:szCs w:val="24"/>
                <w:rFonts w:eastAsia="Batang" w:cs="Times New Roman"/>
                <w:lang w:val="ru-RU" w:bidi="ar-SA"/>
              </w:rPr>
              <w:fldChar w:fldCharType="end"/>
            </w:r>
            <w:r>
              <w:rPr>
                <w:rFonts w:eastAsia="Batang" w:cs="Times New Roman"/>
                <w:kern w:val="0"/>
                <w:sz w:val="24"/>
                <w:szCs w:val="24"/>
                <w:lang w:val="ru-RU" w:bidi="ar-SA"/>
              </w:rPr>
              <w:t>)ТЗ;</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приоритета обращения, согласно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_Ref192516398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21</w:t>
            </w:r>
            <w:r>
              <w:rPr>
                <w:sz w:val="24"/>
                <w:kern w:val="0"/>
                <w:szCs w:val="24"/>
                <w:rFonts w:eastAsia="Batang" w:cs="Times New Roman"/>
                <w:lang w:val="ru-RU" w:bidi="ar-SA"/>
              </w:rPr>
              <w:fldChar w:fldCharType="end"/>
            </w:r>
            <w:r>
              <w:rPr>
                <w:rFonts w:eastAsia="Batang" w:cs="Times New Roman"/>
                <w:kern w:val="0"/>
                <w:sz w:val="24"/>
                <w:szCs w:val="24"/>
                <w:lang w:val="ru-RU" w:bidi="ar-SA"/>
              </w:rPr>
              <w:t>)ТЗ;</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приоритета Пользователя, согласно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_Ref192577983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22</w:t>
            </w:r>
            <w:r>
              <w:rPr>
                <w:sz w:val="24"/>
                <w:kern w:val="0"/>
                <w:szCs w:val="24"/>
                <w:rFonts w:eastAsia="Batang" w:cs="Times New Roman"/>
                <w:lang w:val="ru-RU" w:bidi="ar-SA"/>
              </w:rPr>
              <w:fldChar w:fldCharType="end"/>
            </w:r>
            <w:r>
              <w:rPr>
                <w:rFonts w:eastAsia="Batang" w:cs="Times New Roman"/>
                <w:kern w:val="0"/>
                <w:sz w:val="24"/>
                <w:szCs w:val="24"/>
                <w:lang w:val="ru-RU" w:bidi="ar-SA"/>
              </w:rPr>
              <w:t>)ТЗ;</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контрольного срока обработки, согласно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_Ref192577983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22</w:t>
            </w:r>
            <w:r>
              <w:rPr>
                <w:sz w:val="24"/>
                <w:kern w:val="0"/>
                <w:szCs w:val="24"/>
                <w:rFonts w:eastAsia="Batang" w:cs="Times New Roman"/>
                <w:lang w:val="ru-RU" w:bidi="ar-SA"/>
              </w:rPr>
              <w:fldChar w:fldCharType="end"/>
            </w:r>
            <w:r>
              <w:rPr>
                <w:rFonts w:eastAsia="Batang" w:cs="Times New Roman"/>
                <w:kern w:val="0"/>
                <w:sz w:val="24"/>
                <w:szCs w:val="24"/>
                <w:lang w:val="ru-RU" w:bidi="ar-SA"/>
              </w:rPr>
              <w:t>)ТЗ.</w:t>
            </w:r>
          </w:p>
        </w:tc>
      </w:tr>
      <w:tr>
        <w:trPr/>
        <w:tc>
          <w:tcPr>
            <w:tcW w:w="699" w:type="dxa"/>
            <w:vMerge w:val="restart"/>
            <w:tcBorders/>
            <w:vAlign w:val="center"/>
          </w:tcPr>
          <w:p>
            <w:pPr>
              <w:pStyle w:val="Normal"/>
              <w:widowControl/>
              <w:suppressAutoHyphens w:val="true"/>
              <w:spacing w:lineRule="auto" w:line="276" w:before="0" w:after="0"/>
              <w:ind w:hanging="0" w:start="0"/>
              <w:jc w:val="center"/>
              <w:rPr>
                <w:sz w:val="24"/>
                <w:szCs w:val="24"/>
              </w:rPr>
            </w:pPr>
            <w:r>
              <w:rPr>
                <w:rFonts w:eastAsia="Batang" w:cs="Times New Roman"/>
                <w:kern w:val="0"/>
                <w:sz w:val="24"/>
                <w:szCs w:val="24"/>
                <w:lang w:val="ru-RU" w:bidi="ar-SA"/>
              </w:rPr>
              <w:t>4.</w:t>
            </w:r>
          </w:p>
        </w:tc>
        <w:tc>
          <w:tcPr>
            <w:tcW w:w="2169" w:type="dxa"/>
            <w:vMerge w:val="restart"/>
            <w:tcBorders/>
            <w:vAlign w:val="center"/>
          </w:tcPr>
          <w:p>
            <w:pPr>
              <w:pStyle w:val="Normal"/>
              <w:widowControl/>
              <w:suppressAutoHyphens w:val="true"/>
              <w:spacing w:lineRule="auto" w:line="276" w:before="0" w:after="0"/>
              <w:ind w:hanging="0" w:start="0"/>
              <w:jc w:val="center"/>
              <w:rPr>
                <w:rFonts w:ascii="Calibri" w:hAnsi="Calibri" w:eastAsia="Batang"/>
              </w:rPr>
            </w:pPr>
            <w:r>
              <w:rPr>
                <w:rFonts w:eastAsia="Batang" w:cs="Times New Roman"/>
                <w:kern w:val="0"/>
                <w:sz w:val="24"/>
                <w:szCs w:val="24"/>
                <w:lang w:val="ru-RU" w:bidi="ar-SA"/>
              </w:rPr>
              <w:t>Исполнение обращений</w:t>
            </w:r>
          </w:p>
        </w:tc>
        <w:tc>
          <w:tcPr>
            <w:tcW w:w="6908" w:type="dxa"/>
            <w:tcBorders/>
          </w:tcPr>
          <w:p>
            <w:pPr>
              <w:pStyle w:val="Normal"/>
              <w:widowControl/>
              <w:suppressAutoHyphens w:val="true"/>
              <w:spacing w:lineRule="auto" w:line="276" w:before="0" w:after="0"/>
              <w:ind w:firstLine="1" w:start="0"/>
              <w:jc w:val="start"/>
              <w:rPr>
                <w:sz w:val="24"/>
                <w:szCs w:val="24"/>
              </w:rPr>
            </w:pPr>
            <w:r>
              <w:rPr>
                <w:rFonts w:eastAsia="Batang" w:cs="Times New Roman"/>
                <w:kern w:val="0"/>
                <w:sz w:val="24"/>
                <w:szCs w:val="24"/>
                <w:lang w:val="ru-RU" w:bidi="ar-SA"/>
              </w:rPr>
              <w:t>В рамках функции СТП по исполнению обращений производится:</w:t>
            </w:r>
          </w:p>
          <w:p>
            <w:pPr>
              <w:pStyle w:val="Normal"/>
              <w:widowControl/>
              <w:suppressAutoHyphens w:val="true"/>
              <w:spacing w:lineRule="auto" w:line="276" w:before="0" w:after="0"/>
              <w:ind w:firstLine="1" w:start="0"/>
              <w:jc w:val="start"/>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подтверждение правильности классификации обращения;</w:t>
            </w:r>
          </w:p>
          <w:p>
            <w:pPr>
              <w:pStyle w:val="Normal"/>
              <w:widowControl/>
              <w:suppressAutoHyphens w:val="true"/>
              <w:spacing w:lineRule="auto" w:line="276" w:before="0" w:after="0"/>
              <w:ind w:firstLine="1" w:start="0"/>
              <w:jc w:val="start"/>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назначение специалиста, ответственного за обработку обращения;</w:t>
            </w:r>
          </w:p>
          <w:p>
            <w:pPr>
              <w:pStyle w:val="Normal"/>
              <w:widowControl/>
              <w:suppressAutoHyphens w:val="true"/>
              <w:spacing w:lineRule="auto" w:line="276" w:before="0" w:after="0"/>
              <w:ind w:firstLine="1" w:start="0"/>
              <w:jc w:val="start"/>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получение дополнительной информации от Инициатора обращения;</w:t>
            </w:r>
          </w:p>
          <w:p>
            <w:pPr>
              <w:pStyle w:val="Normal"/>
              <w:widowControl/>
              <w:suppressAutoHyphens w:val="true"/>
              <w:spacing w:lineRule="auto" w:line="276" w:before="0" w:after="0"/>
              <w:ind w:firstLine="1" w:start="0"/>
              <w:jc w:val="start"/>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отражение в обращении детальной информации о порядке решения обращения и взаимодействии с Инициатором обращения;</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приостановка и возобновление выполнения обращений;</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установка статуса «Решено» для выполненных операций.</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noBreakHyphen/>
              <w:t xml:space="preserve"> </w:t>
            </w:r>
            <w:r>
              <w:rPr>
                <w:rFonts w:eastAsia="Batang" w:cs="Times New Roman"/>
                <w:kern w:val="0"/>
                <w:sz w:val="24"/>
                <w:szCs w:val="24"/>
                <w:lang w:val="ru-RU" w:bidi="ar-SA"/>
              </w:rPr>
              <w:t>установка статуса обращения «Закрыто» для обращений происходит после оценки выполнения работ Пользователем, либо автоматически по истечении срока, указанного в ГК.</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hanging="0"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Выполнение операции должно начаться в течение времени реакции соответствующего обращения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_Ref192577983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22</w:t>
            </w:r>
            <w:r>
              <w:rPr>
                <w:sz w:val="24"/>
                <w:kern w:val="0"/>
                <w:szCs w:val="24"/>
                <w:rFonts w:eastAsia="Batang" w:cs="Times New Roman"/>
                <w:lang w:val="ru-RU" w:bidi="ar-SA"/>
              </w:rPr>
              <w:fldChar w:fldCharType="end"/>
            </w:r>
            <w:r>
              <w:rPr>
                <w:rFonts w:eastAsia="Batang" w:cs="Times New Roman"/>
                <w:kern w:val="0"/>
                <w:sz w:val="24"/>
                <w:szCs w:val="24"/>
                <w:lang w:val="ru-RU" w:bidi="ar-SA"/>
              </w:rPr>
              <w:t>).</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hanging="0"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 процессе исполнения обращения может потребоваться дополнительная информация или действия Инициатора обращения, необходимые для решения обращения – на период запроса указанных данных исполнение обращения приостанавливается: статус обработки обращения может быть изменен на «Приостановлено»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_Ref192515902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19</w:t>
            </w:r>
            <w:r>
              <w:rPr>
                <w:sz w:val="24"/>
                <w:kern w:val="0"/>
                <w:szCs w:val="24"/>
                <w:rFonts w:eastAsia="Batang" w:cs="Times New Roman"/>
                <w:lang w:val="ru-RU" w:bidi="ar-SA"/>
              </w:rPr>
              <w:fldChar w:fldCharType="end"/>
            </w:r>
            <w:r>
              <w:rPr>
                <w:rFonts w:eastAsia="Batang" w:cs="Times New Roman"/>
                <w:kern w:val="0"/>
                <w:sz w:val="24"/>
                <w:szCs w:val="24"/>
                <w:lang w:val="ru-RU" w:bidi="ar-SA"/>
              </w:rPr>
              <w:t>)</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hanging="0"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Время, в течение которого обращение находится в статусе «Приостановлено», не входит в длительность решения обращения.</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hanging="0"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 случае если обращение находится в статусе «Приостановлено» по причине отсутствия реакции Инициатора обращения более 15 календарных дней, такое обращение переводится в статус «Закрыто» автоматически.</w:t>
            </w:r>
          </w:p>
        </w:tc>
      </w:tr>
      <w:tr>
        <w:trPr/>
        <w:tc>
          <w:tcPr>
            <w:tcW w:w="699" w:type="dxa"/>
            <w:vMerge w:val="restart"/>
            <w:tcBorders/>
            <w:vAlign w:val="center"/>
          </w:tcPr>
          <w:p>
            <w:pPr>
              <w:pStyle w:val="Normal"/>
              <w:widowControl/>
              <w:suppressAutoHyphens w:val="true"/>
              <w:spacing w:lineRule="auto" w:line="276" w:before="0" w:after="0"/>
              <w:ind w:hanging="0" w:start="0"/>
              <w:jc w:val="center"/>
              <w:rPr>
                <w:sz w:val="24"/>
                <w:szCs w:val="24"/>
              </w:rPr>
            </w:pPr>
            <w:r>
              <w:rPr>
                <w:rFonts w:eastAsia="Batang" w:cs="Times New Roman"/>
                <w:kern w:val="0"/>
                <w:sz w:val="24"/>
                <w:szCs w:val="24"/>
                <w:lang w:val="ru-RU" w:bidi="ar-SA"/>
              </w:rPr>
              <w:t>5.</w:t>
            </w:r>
          </w:p>
        </w:tc>
        <w:tc>
          <w:tcPr>
            <w:tcW w:w="2169" w:type="dxa"/>
            <w:vMerge w:val="restart"/>
            <w:tcBorders/>
            <w:vAlign w:val="center"/>
          </w:tcPr>
          <w:p>
            <w:pPr>
              <w:pStyle w:val="Normal"/>
              <w:widowControl/>
              <w:suppressAutoHyphens w:val="true"/>
              <w:spacing w:lineRule="auto" w:line="276" w:before="0" w:after="0"/>
              <w:ind w:hanging="0" w:start="0"/>
              <w:jc w:val="center"/>
              <w:rPr>
                <w:rFonts w:ascii="Calibri" w:hAnsi="Calibri" w:eastAsia="Batang"/>
              </w:rPr>
            </w:pPr>
            <w:r>
              <w:rPr>
                <w:rFonts w:eastAsia="Batang" w:cs="Times New Roman"/>
                <w:kern w:val="0"/>
                <w:sz w:val="24"/>
                <w:szCs w:val="24"/>
                <w:lang w:val="ru-RU" w:bidi="ar-SA"/>
              </w:rPr>
              <w:t>Выполнение операций</w:t>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 рамках функции СТП по выполнению операций осуществляется:</w:t>
            </w:r>
          </w:p>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выполнение операций в соответствии с контрольными сроками, согласно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_Ref192577983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22</w:t>
            </w:r>
            <w:r>
              <w:rPr>
                <w:sz w:val="24"/>
                <w:kern w:val="0"/>
                <w:szCs w:val="24"/>
                <w:rFonts w:eastAsia="Batang" w:cs="Times New Roman"/>
                <w:lang w:val="ru-RU" w:bidi="ar-SA"/>
              </w:rPr>
              <w:fldChar w:fldCharType="end"/>
            </w:r>
            <w:r>
              <w:rPr>
                <w:rFonts w:eastAsia="Batang" w:cs="Times New Roman"/>
                <w:kern w:val="0"/>
                <w:sz w:val="24"/>
                <w:szCs w:val="24"/>
                <w:lang w:val="ru-RU" w:bidi="ar-SA"/>
              </w:rPr>
              <w:t>)ТЗ.</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hanging="0"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 процессе обработки обращения может потребоваться дополнительная информация или действия инициатора обращения, необходимые для решения обращения – на период запроса указанных данных обработка обращения приостанавливается: статус обработки обращения может быть изменен на «Приостановлено» в соответствии с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_Ref192515902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19</w:t>
            </w:r>
            <w:r>
              <w:rPr>
                <w:sz w:val="24"/>
                <w:kern w:val="0"/>
                <w:szCs w:val="24"/>
                <w:rFonts w:eastAsia="Batang" w:cs="Times New Roman"/>
                <w:lang w:val="ru-RU" w:bidi="ar-SA"/>
              </w:rPr>
              <w:fldChar w:fldCharType="end"/>
            </w:r>
            <w:r>
              <w:rPr>
                <w:rFonts w:eastAsia="Batang" w:cs="Times New Roman"/>
                <w:kern w:val="0"/>
                <w:sz w:val="24"/>
                <w:szCs w:val="24"/>
                <w:lang w:val="ru-RU" w:bidi="ar-SA"/>
              </w:rPr>
              <w:t>)ТЗ.</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hanging="0"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Время, в течение которого обращение находится в статусе «Приостановлено» не входит в длительность решения обращения.</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hanging="0"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 случае, если обращение находится в статусе «Приостановлено» по причине отсутствия реакции Инициатора обращения более 15 календарных дней, такое обращение переводится в статус «Решено» автоматически.</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hanging="0"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Перевод обращения в статус «Решено» после окончания выполнения работ по обращению осуществляет СТП Исполнителя.</w:t>
            </w:r>
          </w:p>
        </w:tc>
      </w:tr>
      <w:tr>
        <w:trPr/>
        <w:tc>
          <w:tcPr>
            <w:tcW w:w="699" w:type="dxa"/>
            <w:vMerge w:val="restart"/>
            <w:tcBorders/>
            <w:vAlign w:val="center"/>
          </w:tcPr>
          <w:p>
            <w:pPr>
              <w:pStyle w:val="Normal"/>
              <w:widowControl/>
              <w:suppressAutoHyphens w:val="true"/>
              <w:spacing w:lineRule="auto" w:line="276" w:before="0" w:after="0"/>
              <w:ind w:hanging="0" w:start="0"/>
              <w:jc w:val="center"/>
              <w:rPr>
                <w:sz w:val="24"/>
                <w:szCs w:val="24"/>
              </w:rPr>
            </w:pPr>
            <w:r>
              <w:rPr>
                <w:rFonts w:eastAsia="Batang" w:cs="Times New Roman"/>
                <w:kern w:val="0"/>
                <w:sz w:val="24"/>
                <w:szCs w:val="24"/>
                <w:lang w:val="ru-RU" w:bidi="ar-SA"/>
              </w:rPr>
              <w:t>6.</w:t>
            </w:r>
          </w:p>
        </w:tc>
        <w:tc>
          <w:tcPr>
            <w:tcW w:w="2169" w:type="dxa"/>
            <w:vMerge w:val="restart"/>
            <w:tcBorders/>
            <w:vAlign w:val="center"/>
          </w:tcPr>
          <w:p>
            <w:pPr>
              <w:pStyle w:val="Normal"/>
              <w:widowControl/>
              <w:suppressAutoHyphens w:val="true"/>
              <w:spacing w:lineRule="auto" w:line="276" w:before="0" w:after="0"/>
              <w:ind w:hanging="0" w:start="0"/>
              <w:jc w:val="center"/>
              <w:rPr>
                <w:rFonts w:ascii="Calibri" w:hAnsi="Calibri" w:eastAsia="Batang"/>
              </w:rPr>
            </w:pPr>
            <w:r>
              <w:rPr>
                <w:rFonts w:eastAsia="Batang" w:cs="Times New Roman"/>
                <w:kern w:val="0"/>
                <w:sz w:val="24"/>
                <w:szCs w:val="24"/>
                <w:lang w:val="ru-RU" w:bidi="ar-SA"/>
              </w:rPr>
              <w:t>Выполнение регулярных работ</w:t>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 рамках функции СТП по выполнению регулярных работ осуществляется выполнение операций, предусмотренных работами по техническому сопровождению, приведенных в Таблице 25ТЗ</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hanging="0"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Периодичность проведения регулярных работ будет соответствовать требованиям соответствующего Регламента и требованиям по периодичности регулярных работ, приведенным в Таблице 25ТЗ</w:t>
            </w:r>
          </w:p>
        </w:tc>
      </w:tr>
      <w:tr>
        <w:trPr/>
        <w:tc>
          <w:tcPr>
            <w:tcW w:w="699" w:type="dxa"/>
            <w:vMerge w:val="continue"/>
            <w:tcBorders/>
            <w:vAlign w:val="center"/>
          </w:tcPr>
          <w:p>
            <w:pPr>
              <w:pStyle w:val="Normal"/>
              <w:widowControl/>
              <w:suppressAutoHyphens w:val="true"/>
              <w:spacing w:lineRule="auto" w:line="276" w:before="0" w:after="0"/>
              <w:ind w:hanging="0" w:start="0"/>
              <w:jc w:val="center"/>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hanging="0"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Каждая проводимая операция фиксируется в соответствующем Журнале обслуживания Системы.</w:t>
            </w:r>
          </w:p>
        </w:tc>
      </w:tr>
      <w:tr>
        <w:trPr/>
        <w:tc>
          <w:tcPr>
            <w:tcW w:w="699" w:type="dxa"/>
            <w:vMerge w:val="restart"/>
            <w:tcBorders/>
            <w:vAlign w:val="center"/>
          </w:tcPr>
          <w:p>
            <w:pPr>
              <w:pStyle w:val="Normal"/>
              <w:widowControl/>
              <w:suppressAutoHyphens w:val="true"/>
              <w:spacing w:lineRule="auto" w:line="276" w:before="0" w:after="0"/>
              <w:ind w:hanging="0" w:start="0"/>
              <w:jc w:val="center"/>
              <w:rPr>
                <w:sz w:val="24"/>
                <w:szCs w:val="24"/>
              </w:rPr>
            </w:pPr>
            <w:r>
              <w:rPr>
                <w:rFonts w:eastAsia="Batang" w:cs="Times New Roman"/>
                <w:kern w:val="0"/>
                <w:sz w:val="24"/>
                <w:szCs w:val="24"/>
                <w:lang w:val="ru-RU" w:bidi="ar-SA"/>
              </w:rPr>
              <w:t>7.</w:t>
            </w:r>
          </w:p>
        </w:tc>
        <w:tc>
          <w:tcPr>
            <w:tcW w:w="2169" w:type="dxa"/>
            <w:vMerge w:val="restart"/>
            <w:tcBorders/>
            <w:vAlign w:val="center"/>
          </w:tcPr>
          <w:p>
            <w:pPr>
              <w:pStyle w:val="Normal"/>
              <w:widowControl/>
              <w:suppressAutoHyphens w:val="true"/>
              <w:spacing w:lineRule="auto" w:line="276" w:before="0" w:after="0"/>
              <w:ind w:hanging="0" w:start="0"/>
              <w:jc w:val="center"/>
              <w:rPr>
                <w:rFonts w:ascii="Calibri" w:hAnsi="Calibri" w:eastAsia="Batang"/>
              </w:rPr>
            </w:pPr>
            <w:r>
              <w:rPr>
                <w:rFonts w:eastAsia="Batang" w:cs="Times New Roman"/>
                <w:kern w:val="0"/>
                <w:sz w:val="24"/>
                <w:szCs w:val="24"/>
                <w:lang w:val="ru-RU" w:bidi="ar-SA"/>
              </w:rPr>
              <w:t>Обеспечение доступности и работоспособности Системы</w:t>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В рамках функции СТП по обеспечению доступности и работоспособности Системы осуществляется мониторинг доступности ОС/ОПО и СПО.</w:t>
            </w:r>
          </w:p>
        </w:tc>
      </w:tr>
      <w:tr>
        <w:trPr/>
        <w:tc>
          <w:tcPr>
            <w:tcW w:w="699" w:type="dxa"/>
            <w:vMerge w:val="continue"/>
            <w:tcBorders/>
            <w:vAlign w:val="center"/>
          </w:tcPr>
          <w:p>
            <w:pPr>
              <w:pStyle w:val="Normal"/>
              <w:widowControl/>
              <w:suppressAutoHyphens w:val="true"/>
              <w:spacing w:lineRule="auto" w:line="276" w:before="0" w:after="0"/>
              <w:ind w:firstLine="709" w:start="0"/>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firstLine="709"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По фактам нарушения доступности и работоспособности Системы, обнаруженным Системой мониторинга ОС/ОПО и СПО, представители Исполнителя, ответственные за мониторинг доступности и работоспособности ОС/ОПО и СПО Системы, должны зарегистрировать обращение типа «Инцидент» в течение 30-ти минут после выявления факта недоступности или нарушения работоспособности (производительности) Системы, а также оповестить ответственного представителя Заказчика в течение 30-ти минут после выявления факта нарушения работоспособности (производительности) Системы</w:t>
            </w:r>
          </w:p>
        </w:tc>
      </w:tr>
      <w:tr>
        <w:trPr>
          <w:trHeight w:val="805" w:hRule="atLeast"/>
        </w:trPr>
        <w:tc>
          <w:tcPr>
            <w:tcW w:w="699" w:type="dxa"/>
            <w:vMerge w:val="continue"/>
            <w:tcBorders/>
            <w:vAlign w:val="center"/>
          </w:tcPr>
          <w:p>
            <w:pPr>
              <w:pStyle w:val="Normal"/>
              <w:widowControl/>
              <w:suppressAutoHyphens w:val="true"/>
              <w:spacing w:lineRule="auto" w:line="276" w:before="0" w:after="0"/>
              <w:ind w:firstLine="709" w:start="0"/>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firstLine="709"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Назначение приоритета Инциденту осуществляется ответственным за выполнение функции в соответствии с установленными приоритетами, приведенными в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_Ref192516398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21</w:t>
            </w:r>
            <w:r>
              <w:rPr>
                <w:sz w:val="24"/>
                <w:kern w:val="0"/>
                <w:szCs w:val="24"/>
                <w:rFonts w:eastAsia="Batang" w:cs="Times New Roman"/>
                <w:lang w:val="ru-RU" w:bidi="ar-SA"/>
              </w:rPr>
              <w:fldChar w:fldCharType="end"/>
            </w:r>
            <w:r>
              <w:rPr>
                <w:rFonts w:eastAsia="Batang" w:cs="Times New Roman"/>
                <w:kern w:val="0"/>
                <w:sz w:val="24"/>
                <w:szCs w:val="24"/>
                <w:lang w:val="ru-RU" w:bidi="ar-SA"/>
              </w:rPr>
              <w:t>) ТЗ</w:t>
            </w:r>
          </w:p>
        </w:tc>
      </w:tr>
      <w:tr>
        <w:trPr>
          <w:trHeight w:val="805" w:hRule="atLeast"/>
        </w:trPr>
        <w:tc>
          <w:tcPr>
            <w:tcW w:w="699" w:type="dxa"/>
            <w:vMerge w:val="continue"/>
            <w:tcBorders/>
            <w:vAlign w:val="center"/>
          </w:tcPr>
          <w:p>
            <w:pPr>
              <w:pStyle w:val="Normal"/>
              <w:widowControl/>
              <w:suppressAutoHyphens w:val="true"/>
              <w:spacing w:lineRule="auto" w:line="276" w:before="0" w:after="0"/>
              <w:ind w:firstLine="709" w:start="0"/>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firstLine="709"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Устранение обнаруженного Инцидента осуществляется в соответствии с контрольными сроками, приведенными в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_Ref192577983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22</w:t>
            </w:r>
            <w:r>
              <w:rPr>
                <w:sz w:val="24"/>
                <w:kern w:val="0"/>
                <w:szCs w:val="24"/>
                <w:rFonts w:eastAsia="Batang" w:cs="Times New Roman"/>
                <w:lang w:val="ru-RU" w:bidi="ar-SA"/>
              </w:rPr>
              <w:fldChar w:fldCharType="end"/>
            </w:r>
            <w:r>
              <w:rPr>
                <w:rFonts w:eastAsia="Batang" w:cs="Times New Roman"/>
                <w:kern w:val="0"/>
                <w:sz w:val="24"/>
                <w:szCs w:val="24"/>
                <w:lang w:val="ru-RU" w:bidi="ar-SA"/>
              </w:rPr>
              <w:t>) ТЗ</w:t>
            </w:r>
          </w:p>
        </w:tc>
      </w:tr>
      <w:tr>
        <w:trPr>
          <w:trHeight w:val="805" w:hRule="atLeast"/>
        </w:trPr>
        <w:tc>
          <w:tcPr>
            <w:tcW w:w="699" w:type="dxa"/>
            <w:vMerge w:val="continue"/>
            <w:tcBorders/>
            <w:vAlign w:val="center"/>
          </w:tcPr>
          <w:p>
            <w:pPr>
              <w:pStyle w:val="Normal"/>
              <w:widowControl/>
              <w:suppressAutoHyphens w:val="true"/>
              <w:spacing w:lineRule="auto" w:line="276" w:before="0" w:after="0"/>
              <w:ind w:firstLine="709" w:start="0"/>
              <w:rPr>
                <w:sz w:val="24"/>
                <w:szCs w:val="24"/>
              </w:rPr>
            </w:pPr>
            <w:r>
              <w:rPr>
                <w:sz w:val="24"/>
                <w:szCs w:val="24"/>
              </w:rPr>
            </w:r>
          </w:p>
        </w:tc>
        <w:tc>
          <w:tcPr>
            <w:tcW w:w="2169" w:type="dxa"/>
            <w:vMerge w:val="continue"/>
            <w:tcBorders/>
            <w:vAlign w:val="center"/>
          </w:tcPr>
          <w:p>
            <w:pPr>
              <w:pStyle w:val="Normal"/>
              <w:widowControl/>
              <w:suppressAutoHyphens w:val="true"/>
              <w:spacing w:lineRule="auto" w:line="276" w:before="0" w:after="0"/>
              <w:ind w:firstLine="709" w:start="0"/>
              <w:jc w:val="center"/>
              <w:rPr>
                <w:rFonts w:eastAsia="Batang"/>
                <w:sz w:val="24"/>
                <w:szCs w:val="24"/>
              </w:rPr>
            </w:pPr>
            <w:r>
              <w:rPr>
                <w:rFonts w:eastAsia="Batang"/>
                <w:sz w:val="24"/>
                <w:szCs w:val="24"/>
              </w:rPr>
            </w:r>
          </w:p>
        </w:tc>
        <w:tc>
          <w:tcPr>
            <w:tcW w:w="6908" w:type="dxa"/>
            <w:tcBorders/>
          </w:tcPr>
          <w:p>
            <w:pPr>
              <w:pStyle w:val="Normal"/>
              <w:widowControl/>
              <w:suppressAutoHyphens w:val="true"/>
              <w:spacing w:lineRule="auto" w:line="276" w:before="0" w:after="0"/>
              <w:ind w:firstLine="1" w:start="0"/>
              <w:rPr>
                <w:sz w:val="24"/>
                <w:szCs w:val="24"/>
              </w:rPr>
            </w:pPr>
            <w:r>
              <w:rPr>
                <w:rFonts w:eastAsia="Batang" w:cs="Times New Roman"/>
                <w:kern w:val="0"/>
                <w:sz w:val="24"/>
                <w:szCs w:val="24"/>
                <w:lang w:val="ru-RU" w:bidi="ar-SA"/>
              </w:rPr>
              <w:t xml:space="preserve">В случае, если причиной Инцидента является отказ или деградация серверного оборудования, систем хранения данных, сетевого оборудования, каналов передачи данных, систем электропитания и системы управления виртуализацией (а также иные возможные, связанные с ЕИТО), необходимо посредством портала самообслуживания support.mosreg.ru в течение 2 часов с момента регистрации Инцидента создать обращение (https://support.mosreg.ru/remember) в СТП Заказчика (в соответствии с зонами ответственности, приведенными в </w:t>
            </w:r>
            <w:r>
              <w:rPr>
                <w:rFonts w:eastAsia="Batang" w:cs="Times New Roman"/>
                <w:kern w:val="0"/>
                <w:sz w:val="24"/>
                <w:szCs w:val="24"/>
                <w:lang w:val="ru-RU" w:bidi="ar-SA"/>
              </w:rPr>
              <w:fldChar w:fldCharType="begin"/>
            </w:r>
            <w:r>
              <w:rPr>
                <w:sz w:val="24"/>
                <w:kern w:val="0"/>
                <w:szCs w:val="24"/>
                <w:rFonts w:eastAsia="Batang" w:cs="Times New Roman"/>
                <w:lang w:val="ru-RU" w:bidi="ar-SA"/>
              </w:rPr>
              <w:instrText xml:space="preserve"> REF _Ref192582303 \h </w:instrText>
            </w:r>
            <w:r>
              <w:rPr>
                <w:sz w:val="24"/>
                <w:kern w:val="0"/>
                <w:szCs w:val="24"/>
                <w:rFonts w:eastAsia="Batang" w:cs="Times New Roman"/>
                <w:lang w:val="ru-RU" w:bidi="ar-SA"/>
              </w:rPr>
              <w:fldChar w:fldCharType="separate"/>
            </w:r>
            <w:r>
              <w:rPr>
                <w:sz w:val="24"/>
                <w:kern w:val="0"/>
                <w:szCs w:val="24"/>
                <w:rFonts w:eastAsia="Batang" w:cs="Times New Roman"/>
                <w:lang w:val="ru-RU" w:bidi="ar-SA"/>
              </w:rPr>
              <w:t>Таблица 26</w:t>
            </w:r>
            <w:r>
              <w:rPr>
                <w:sz w:val="24"/>
                <w:kern w:val="0"/>
                <w:szCs w:val="24"/>
                <w:rFonts w:eastAsia="Batang" w:cs="Times New Roman"/>
                <w:lang w:val="ru-RU" w:bidi="ar-SA"/>
              </w:rPr>
              <w:fldChar w:fldCharType="end"/>
            </w:r>
            <w:r>
              <w:rPr>
                <w:rFonts w:eastAsia="Batang" w:cs="Times New Roman"/>
                <w:kern w:val="0"/>
                <w:sz w:val="24"/>
                <w:szCs w:val="24"/>
                <w:lang w:val="ru-RU" w:bidi="ar-SA"/>
              </w:rPr>
              <w:t>)</w:t>
            </w:r>
          </w:p>
        </w:tc>
      </w:tr>
    </w:tbl>
    <w:p>
      <w:pPr>
        <w:pStyle w:val="Style44"/>
        <w:spacing w:lineRule="auto" w:line="240"/>
        <w:rPr/>
      </w:pPr>
      <w:r>
        <w:rPr/>
      </w:r>
    </w:p>
    <w:p>
      <w:pPr>
        <w:pStyle w:val="120"/>
        <w:spacing w:before="119" w:after="240"/>
        <w:ind w:firstLine="709" w:start="0"/>
        <w:contextualSpacing/>
        <w:jc w:val="both"/>
        <w:rPr/>
      </w:pPr>
      <w:r>
        <w:rPr/>
        <w:t>На всех стадиях обработки обращений в СУТП должны присваиваться статусы обращений в соответствии с (</w:t>
      </w:r>
      <w:r>
        <w:rPr/>
        <w:fldChar w:fldCharType="begin"/>
      </w:r>
      <w:r>
        <w:rPr/>
        <w:instrText xml:space="preserve"> REF _Ref192515902 \h </w:instrText>
      </w:r>
      <w:r>
        <w:rPr/>
        <w:fldChar w:fldCharType="separate"/>
      </w:r>
      <w:r>
        <w:rPr/>
        <w:t>Таблица 19</w:t>
      </w:r>
      <w:r>
        <w:rPr/>
        <w:fldChar w:fldCharType="end"/>
      </w:r>
      <w:r>
        <w:rPr/>
        <w:t>).</w:t>
      </w:r>
    </w:p>
    <w:p>
      <w:pPr>
        <w:pStyle w:val="Caption"/>
        <w:rPr>
          <w:i w:val="false"/>
          <w:i w:val="false"/>
          <w:iCs w:val="false"/>
          <w:color w:val="auto"/>
          <w:sz w:val="24"/>
          <w:szCs w:val="24"/>
        </w:rPr>
      </w:pPr>
      <w:bookmarkStart w:id="136" w:name="_Ref192515902"/>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19</w:t>
      </w:r>
      <w:r>
        <w:rPr>
          <w:sz w:val="24"/>
          <w:i w:val="false"/>
          <w:szCs w:val="24"/>
          <w:iCs w:val="false"/>
          <w:color w:val="auto"/>
        </w:rPr>
        <w:fldChar w:fldCharType="end"/>
      </w:r>
      <w:bookmarkEnd w:id="136"/>
      <w:r>
        <w:rPr>
          <w:i w:val="false"/>
          <w:iCs w:val="false"/>
          <w:color w:val="auto"/>
          <w:sz w:val="24"/>
          <w:szCs w:val="24"/>
        </w:rPr>
        <w:t xml:space="preserve"> – Статусы обработки обращений.</w:t>
      </w:r>
    </w:p>
    <w:tbl>
      <w:tblPr>
        <w:tblW w:w="9855" w:type="dxa"/>
        <w:jc w:val="start"/>
        <w:tblInd w:w="164" w:type="dxa"/>
        <w:tblLayout w:type="fixed"/>
        <w:tblCellMar>
          <w:top w:w="0" w:type="dxa"/>
          <w:start w:w="108" w:type="dxa"/>
          <w:bottom w:w="0" w:type="dxa"/>
          <w:end w:w="108" w:type="dxa"/>
        </w:tblCellMar>
        <w:tblLook w:val="01e0" w:noHBand="0" w:noVBand="0" w:firstColumn="1" w:lastRow="1" w:lastColumn="1" w:firstRow="1"/>
      </w:tblPr>
      <w:tblGrid>
        <w:gridCol w:w="612"/>
        <w:gridCol w:w="2104"/>
        <w:gridCol w:w="4588"/>
        <w:gridCol w:w="2550"/>
      </w:tblGrid>
      <w:tr>
        <w:trPr>
          <w:tblHeader w:val="true"/>
        </w:trPr>
        <w:tc>
          <w:tcPr>
            <w:tcW w:w="612" w:type="dxa"/>
            <w:tcBorders>
              <w:top w:val="single" w:sz="4" w:space="0" w:color="000000"/>
              <w:start w:val="single" w:sz="4" w:space="0" w:color="000000"/>
              <w:bottom w:val="single" w:sz="4" w:space="0" w:color="000000"/>
              <w:end w:val="single" w:sz="4" w:space="0" w:color="000000"/>
            </w:tcBorders>
            <w:vAlign w:val="center"/>
          </w:tcPr>
          <w:p>
            <w:pPr>
              <w:pStyle w:val="Normal"/>
              <w:keepNext w:val="true"/>
              <w:keepLines/>
              <w:spacing w:lineRule="auto" w:line="240" w:before="0" w:after="0"/>
              <w:ind w:hanging="0" w:start="0"/>
              <w:jc w:val="center"/>
              <w:rPr/>
            </w:pPr>
            <w:r>
              <w:rPr>
                <w:b/>
                <w:sz w:val="24"/>
                <w:szCs w:val="24"/>
                <w:lang w:eastAsia="ru-RU"/>
              </w:rPr>
              <w:t>№</w:t>
            </w:r>
          </w:p>
          <w:p>
            <w:pPr>
              <w:pStyle w:val="Normal"/>
              <w:spacing w:lineRule="auto" w:line="276" w:before="0" w:after="0"/>
              <w:ind w:hanging="0" w:start="0"/>
              <w:jc w:val="center"/>
              <w:rPr/>
            </w:pPr>
            <w:r>
              <w:rPr>
                <w:b/>
                <w:sz w:val="24"/>
                <w:szCs w:val="24"/>
                <w:lang w:eastAsia="ru-RU"/>
              </w:rPr>
              <w:t>п/п</w:t>
            </w:r>
          </w:p>
        </w:tc>
        <w:tc>
          <w:tcPr>
            <w:tcW w:w="2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firstLine="23" w:start="0"/>
              <w:jc w:val="center"/>
              <w:rPr/>
            </w:pPr>
            <w:r>
              <w:rPr>
                <w:b/>
                <w:sz w:val="24"/>
                <w:szCs w:val="24"/>
              </w:rPr>
              <w:t>Наименование статуса</w:t>
            </w:r>
          </w:p>
        </w:tc>
        <w:tc>
          <w:tcPr>
            <w:tcW w:w="45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b/>
                <w:sz w:val="24"/>
                <w:szCs w:val="24"/>
              </w:rPr>
              <w:t>Описание</w:t>
            </w:r>
          </w:p>
        </w:tc>
        <w:tc>
          <w:tcPr>
            <w:tcW w:w="25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b/>
                <w:sz w:val="24"/>
                <w:szCs w:val="24"/>
              </w:rPr>
              <w:t>Последующий статус</w:t>
            </w:r>
          </w:p>
        </w:tc>
      </w:tr>
      <w:tr>
        <w:trPr/>
        <w:tc>
          <w:tcPr>
            <w:tcW w:w="6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1.</w:t>
            </w:r>
          </w:p>
        </w:tc>
        <w:tc>
          <w:tcPr>
            <w:tcW w:w="2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firstLine="23" w:start="0"/>
              <w:jc w:val="center"/>
              <w:rPr/>
            </w:pPr>
            <w:r>
              <w:rPr>
                <w:sz w:val="24"/>
                <w:szCs w:val="24"/>
              </w:rPr>
              <w:t>Зарегистрировано</w:t>
            </w:r>
          </w:p>
        </w:tc>
        <w:tc>
          <w:tcPr>
            <w:tcW w:w="45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В момент поступления заявки автоматически присваивается УИН и статус Зарегистрировано.</w:t>
            </w:r>
          </w:p>
        </w:tc>
        <w:tc>
          <w:tcPr>
            <w:tcW w:w="25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Calibri"/>
                <w:sz w:val="24"/>
                <w:szCs w:val="24"/>
              </w:rPr>
              <w:t>– </w:t>
            </w:r>
            <w:r>
              <w:rPr>
                <w:rFonts w:eastAsia="Calibri"/>
                <w:sz w:val="24"/>
                <w:szCs w:val="24"/>
                <w:lang w:eastAsia="ru-RU"/>
              </w:rPr>
              <w:t>Назначено;</w:t>
            </w:r>
          </w:p>
          <w:p>
            <w:pPr>
              <w:pStyle w:val="Normal"/>
              <w:spacing w:lineRule="auto" w:line="240" w:before="0" w:after="0"/>
              <w:ind w:hanging="0" w:start="0"/>
              <w:jc w:val="center"/>
              <w:rPr/>
            </w:pPr>
            <w:r>
              <w:rPr>
                <w:rFonts w:eastAsia="Calibri"/>
                <w:sz w:val="24"/>
                <w:szCs w:val="24"/>
              </w:rPr>
              <w:t>– </w:t>
            </w:r>
            <w:r>
              <w:rPr>
                <w:rFonts w:eastAsia="Calibri"/>
                <w:sz w:val="24"/>
                <w:szCs w:val="24"/>
                <w:lang w:eastAsia="ru-RU"/>
              </w:rPr>
              <w:t>Приостановлено;</w:t>
            </w:r>
          </w:p>
          <w:p>
            <w:pPr>
              <w:pStyle w:val="Normal"/>
              <w:spacing w:lineRule="auto" w:line="240" w:before="0" w:after="0"/>
              <w:ind w:hanging="0" w:start="0"/>
              <w:jc w:val="center"/>
              <w:rPr/>
            </w:pPr>
            <w:r>
              <w:rPr>
                <w:rFonts w:eastAsia="Calibri"/>
                <w:sz w:val="24"/>
                <w:szCs w:val="24"/>
              </w:rPr>
              <w:t>– </w:t>
            </w:r>
            <w:r>
              <w:rPr>
                <w:rFonts w:eastAsia="Calibri"/>
                <w:sz w:val="24"/>
                <w:szCs w:val="24"/>
                <w:lang w:eastAsia="ru-RU"/>
              </w:rPr>
              <w:t>Закрыто (по несоответствию Договору).</w:t>
            </w:r>
          </w:p>
        </w:tc>
      </w:tr>
      <w:tr>
        <w:trPr/>
        <w:tc>
          <w:tcPr>
            <w:tcW w:w="6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2.</w:t>
            </w:r>
          </w:p>
        </w:tc>
        <w:tc>
          <w:tcPr>
            <w:tcW w:w="2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firstLine="23" w:start="0"/>
              <w:jc w:val="center"/>
              <w:rPr/>
            </w:pPr>
            <w:r>
              <w:rPr>
                <w:sz w:val="24"/>
                <w:szCs w:val="24"/>
              </w:rPr>
              <w:t>Назначено</w:t>
            </w:r>
          </w:p>
        </w:tc>
        <w:tc>
          <w:tcPr>
            <w:tcW w:w="45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Обращение принято. Назначение специалиста, ответственного за обработку обращения</w:t>
            </w:r>
          </w:p>
        </w:tc>
        <w:tc>
          <w:tcPr>
            <w:tcW w:w="25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Calibri"/>
                <w:sz w:val="24"/>
                <w:szCs w:val="24"/>
              </w:rPr>
              <w:t xml:space="preserve">– </w:t>
            </w:r>
            <w:r>
              <w:rPr>
                <w:rFonts w:eastAsia="Calibri"/>
                <w:sz w:val="24"/>
                <w:szCs w:val="24"/>
              </w:rPr>
              <w:t>В работе;</w:t>
            </w:r>
          </w:p>
          <w:p>
            <w:pPr>
              <w:pStyle w:val="Normal"/>
              <w:spacing w:lineRule="auto" w:line="240" w:before="0" w:after="0"/>
              <w:ind w:hanging="0" w:start="0"/>
              <w:jc w:val="center"/>
              <w:rPr/>
            </w:pPr>
            <w:r>
              <w:rPr>
                <w:rFonts w:eastAsia="Calibri"/>
                <w:sz w:val="24"/>
                <w:szCs w:val="24"/>
              </w:rPr>
              <w:t>При наличии оснований, также допустимо присвоение статусов:</w:t>
            </w:r>
          </w:p>
          <w:p>
            <w:pPr>
              <w:pStyle w:val="Normal"/>
              <w:spacing w:lineRule="auto" w:line="240" w:before="0" w:after="0"/>
              <w:ind w:hanging="0" w:start="0"/>
              <w:jc w:val="center"/>
              <w:rPr/>
            </w:pPr>
            <w:r>
              <w:rPr>
                <w:rFonts w:eastAsia="Calibri"/>
                <w:sz w:val="24"/>
                <w:szCs w:val="24"/>
              </w:rPr>
              <w:t xml:space="preserve">– </w:t>
            </w:r>
            <w:r>
              <w:rPr>
                <w:rFonts w:eastAsia="Calibri"/>
                <w:sz w:val="24"/>
                <w:szCs w:val="24"/>
              </w:rPr>
              <w:t>Приостановлено;</w:t>
            </w:r>
          </w:p>
          <w:p>
            <w:pPr>
              <w:pStyle w:val="Normal"/>
              <w:spacing w:lineRule="auto" w:line="240" w:before="0" w:after="0"/>
              <w:ind w:hanging="0" w:start="0"/>
              <w:jc w:val="center"/>
              <w:rPr/>
            </w:pPr>
            <w:r>
              <w:rPr>
                <w:rFonts w:eastAsia="Calibri"/>
                <w:sz w:val="24"/>
                <w:szCs w:val="24"/>
              </w:rPr>
              <w:t xml:space="preserve">– </w:t>
            </w:r>
            <w:r>
              <w:rPr>
                <w:rFonts w:eastAsia="Calibri"/>
                <w:sz w:val="24"/>
                <w:szCs w:val="24"/>
              </w:rPr>
              <w:t>Закрыто (по несоответствию Договору).</w:t>
            </w:r>
          </w:p>
        </w:tc>
      </w:tr>
      <w:tr>
        <w:trPr/>
        <w:tc>
          <w:tcPr>
            <w:tcW w:w="6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3.</w:t>
            </w:r>
          </w:p>
        </w:tc>
        <w:tc>
          <w:tcPr>
            <w:tcW w:w="2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firstLine="23" w:start="0"/>
              <w:jc w:val="center"/>
              <w:rPr/>
            </w:pPr>
            <w:r>
              <w:rPr>
                <w:sz w:val="24"/>
                <w:szCs w:val="24"/>
              </w:rPr>
              <w:t>В работе</w:t>
            </w:r>
          </w:p>
        </w:tc>
        <w:tc>
          <w:tcPr>
            <w:tcW w:w="45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Работы по сути решения обращения уже начаты</w:t>
            </w:r>
          </w:p>
        </w:tc>
        <w:tc>
          <w:tcPr>
            <w:tcW w:w="25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Calibri"/>
                <w:sz w:val="24"/>
                <w:szCs w:val="24"/>
              </w:rPr>
              <w:t>– </w:t>
            </w:r>
            <w:r>
              <w:rPr>
                <w:rFonts w:eastAsia="Calibri"/>
                <w:sz w:val="24"/>
                <w:szCs w:val="24"/>
              </w:rPr>
              <w:t>Решено;</w:t>
            </w:r>
          </w:p>
          <w:p>
            <w:pPr>
              <w:pStyle w:val="Normal"/>
              <w:spacing w:lineRule="auto" w:line="240" w:before="0" w:after="0"/>
              <w:ind w:hanging="0" w:start="0"/>
              <w:jc w:val="center"/>
              <w:rPr/>
            </w:pPr>
            <w:r>
              <w:rPr>
                <w:rFonts w:eastAsia="Calibri"/>
                <w:sz w:val="24"/>
                <w:szCs w:val="24"/>
              </w:rPr>
              <w:t>– </w:t>
            </w:r>
            <w:r>
              <w:rPr>
                <w:rFonts w:eastAsia="Calibri"/>
                <w:sz w:val="24"/>
                <w:szCs w:val="24"/>
              </w:rPr>
              <w:t>Приостановлено;</w:t>
            </w:r>
          </w:p>
        </w:tc>
      </w:tr>
      <w:tr>
        <w:trPr/>
        <w:tc>
          <w:tcPr>
            <w:tcW w:w="6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4.</w:t>
            </w:r>
          </w:p>
        </w:tc>
        <w:tc>
          <w:tcPr>
            <w:tcW w:w="2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firstLine="23" w:start="0"/>
              <w:jc w:val="center"/>
              <w:rPr/>
            </w:pPr>
            <w:r>
              <w:rPr>
                <w:sz w:val="24"/>
                <w:szCs w:val="24"/>
              </w:rPr>
              <w:t>Приостановлено</w:t>
            </w:r>
          </w:p>
        </w:tc>
        <w:tc>
          <w:tcPr>
            <w:tcW w:w="45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Работы по обращению приостановлены. Со стороны инициатора обращения (или ответственного специалиста Заказчика) требуются дополнительные действия/информация.</w:t>
            </w:r>
          </w:p>
          <w:p>
            <w:pPr>
              <w:pStyle w:val="Normal"/>
              <w:spacing w:lineRule="auto" w:line="276" w:before="0" w:after="0"/>
              <w:ind w:hanging="0" w:start="0"/>
              <w:jc w:val="center"/>
              <w:rPr/>
            </w:pPr>
            <w:r>
              <w:rPr>
                <w:sz w:val="24"/>
                <w:szCs w:val="24"/>
              </w:rPr>
              <w:t>Обращение должно быть автоматически закрыто, если в течение 15 календарных дней не поступил ответ/комментарий от инициатора обращения (или ответственного специалиста Заказчика).</w:t>
            </w:r>
          </w:p>
          <w:p>
            <w:pPr>
              <w:pStyle w:val="Normal"/>
              <w:spacing w:lineRule="auto" w:line="276" w:before="0" w:after="0"/>
              <w:ind w:hanging="0" w:start="0"/>
              <w:jc w:val="center"/>
              <w:rPr/>
            </w:pPr>
            <w:r>
              <w:rPr>
                <w:sz w:val="24"/>
                <w:szCs w:val="24"/>
              </w:rPr>
              <w:t>Срок действия приостановки не учитывается в общем сроке обработки обращения.</w:t>
            </w:r>
          </w:p>
        </w:tc>
        <w:tc>
          <w:tcPr>
            <w:tcW w:w="25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Calibri"/>
                <w:sz w:val="24"/>
                <w:szCs w:val="24"/>
              </w:rPr>
              <w:t>– </w:t>
            </w:r>
            <w:r>
              <w:rPr>
                <w:rFonts w:eastAsia="Calibri"/>
                <w:sz w:val="24"/>
                <w:szCs w:val="24"/>
              </w:rPr>
              <w:t>В работе;</w:t>
            </w:r>
          </w:p>
          <w:p>
            <w:pPr>
              <w:pStyle w:val="Normal"/>
              <w:spacing w:lineRule="auto" w:line="240" w:before="0" w:after="0"/>
              <w:ind w:hanging="0" w:start="0"/>
              <w:jc w:val="center"/>
              <w:rPr/>
            </w:pPr>
            <w:r>
              <w:rPr>
                <w:rFonts w:eastAsia="Calibri"/>
                <w:sz w:val="24"/>
                <w:szCs w:val="24"/>
              </w:rPr>
              <w:t>– </w:t>
            </w:r>
            <w:r>
              <w:rPr>
                <w:rFonts w:eastAsia="Calibri"/>
                <w:sz w:val="24"/>
                <w:szCs w:val="24"/>
              </w:rPr>
              <w:t>Решено;</w:t>
            </w:r>
          </w:p>
          <w:p>
            <w:pPr>
              <w:pStyle w:val="Normal"/>
              <w:spacing w:lineRule="auto" w:line="240" w:before="0" w:after="0"/>
              <w:ind w:hanging="0" w:start="0"/>
              <w:jc w:val="center"/>
              <w:rPr/>
            </w:pPr>
            <w:r>
              <w:rPr>
                <w:rFonts w:eastAsia="Calibri"/>
                <w:sz w:val="24"/>
                <w:szCs w:val="24"/>
              </w:rPr>
              <w:t>– </w:t>
            </w:r>
            <w:r>
              <w:rPr>
                <w:rFonts w:eastAsia="Calibri"/>
                <w:sz w:val="24"/>
                <w:szCs w:val="24"/>
              </w:rPr>
              <w:t>Закрыто.</w:t>
            </w:r>
          </w:p>
        </w:tc>
      </w:tr>
      <w:tr>
        <w:trPr/>
        <w:tc>
          <w:tcPr>
            <w:tcW w:w="6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5.</w:t>
            </w:r>
          </w:p>
        </w:tc>
        <w:tc>
          <w:tcPr>
            <w:tcW w:w="2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firstLine="23" w:start="0"/>
              <w:jc w:val="center"/>
              <w:rPr/>
            </w:pPr>
            <w:r>
              <w:rPr>
                <w:sz w:val="24"/>
                <w:szCs w:val="24"/>
              </w:rPr>
              <w:t>Решено</w:t>
            </w:r>
          </w:p>
        </w:tc>
        <w:tc>
          <w:tcPr>
            <w:tcW w:w="45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Обращение решено.</w:t>
            </w:r>
          </w:p>
          <w:p>
            <w:pPr>
              <w:pStyle w:val="Normal"/>
              <w:spacing w:lineRule="auto" w:line="276" w:before="0" w:after="0"/>
              <w:ind w:hanging="0" w:start="0"/>
              <w:jc w:val="center"/>
              <w:rPr/>
            </w:pPr>
            <w:r>
              <w:rPr>
                <w:sz w:val="24"/>
                <w:szCs w:val="24"/>
              </w:rPr>
              <w:t>Если по обращению в статусе «Решено» не подтверждена информация от пользователя о решении данного обращения в течение 15 календарных дней, то сотрудник СТП должен перевести такое обращение в статус «Закрыто»</w:t>
            </w:r>
          </w:p>
        </w:tc>
        <w:tc>
          <w:tcPr>
            <w:tcW w:w="25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Calibri"/>
                <w:sz w:val="24"/>
                <w:szCs w:val="24"/>
              </w:rPr>
              <w:t>– </w:t>
            </w:r>
            <w:r>
              <w:rPr>
                <w:rFonts w:eastAsia="Calibri"/>
                <w:sz w:val="24"/>
                <w:szCs w:val="24"/>
              </w:rPr>
              <w:t>Закрыто;</w:t>
            </w:r>
          </w:p>
          <w:p>
            <w:pPr>
              <w:pStyle w:val="Normal"/>
              <w:spacing w:lineRule="auto" w:line="240" w:before="0" w:after="0"/>
              <w:ind w:hanging="0" w:start="0"/>
              <w:jc w:val="center"/>
              <w:rPr/>
            </w:pPr>
            <w:r>
              <w:rPr>
                <w:rFonts w:eastAsia="Calibri"/>
                <w:sz w:val="24"/>
                <w:szCs w:val="24"/>
              </w:rPr>
              <w:t>– </w:t>
            </w:r>
            <w:r>
              <w:rPr>
                <w:rFonts w:eastAsia="Calibri"/>
                <w:sz w:val="24"/>
                <w:szCs w:val="24"/>
              </w:rPr>
              <w:t>В работе.</w:t>
            </w:r>
          </w:p>
        </w:tc>
      </w:tr>
      <w:tr>
        <w:trPr/>
        <w:tc>
          <w:tcPr>
            <w:tcW w:w="6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6.</w:t>
            </w:r>
          </w:p>
        </w:tc>
        <w:tc>
          <w:tcPr>
            <w:tcW w:w="2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firstLine="23" w:start="0"/>
              <w:jc w:val="center"/>
              <w:rPr/>
            </w:pPr>
            <w:r>
              <w:rPr>
                <w:sz w:val="24"/>
                <w:szCs w:val="24"/>
              </w:rPr>
              <w:t>Закрыто</w:t>
            </w:r>
          </w:p>
        </w:tc>
        <w:tc>
          <w:tcPr>
            <w:tcW w:w="45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pPr>
            <w:r>
              <w:rPr>
                <w:sz w:val="24"/>
                <w:szCs w:val="24"/>
              </w:rPr>
              <w:t>Обращение закрыто.</w:t>
            </w:r>
          </w:p>
          <w:p>
            <w:pPr>
              <w:pStyle w:val="Normal"/>
              <w:spacing w:lineRule="auto" w:line="276" w:before="0" w:after="0"/>
              <w:ind w:hanging="0" w:start="0"/>
              <w:jc w:val="center"/>
              <w:rPr/>
            </w:pPr>
            <w:r>
              <w:rPr>
                <w:sz w:val="24"/>
                <w:szCs w:val="24"/>
              </w:rPr>
              <w:t>Получено подтверждение пользователя о выполнении работ по обращению, закрыто по согласованию с Заказчиком или по наступлению срока автоматического закрытия.</w:t>
            </w:r>
          </w:p>
          <w:p>
            <w:pPr>
              <w:pStyle w:val="Normal"/>
              <w:keepNext w:val="true"/>
              <w:spacing w:lineRule="auto" w:line="240" w:before="0" w:after="0"/>
              <w:ind w:hanging="0" w:start="0"/>
              <w:contextualSpacing/>
              <w:jc w:val="center"/>
              <w:rPr/>
            </w:pPr>
            <w:r>
              <w:rPr>
                <w:bCs/>
                <w:sz w:val="24"/>
                <w:szCs w:val="24"/>
                <w:lang w:eastAsia="ru-RU"/>
              </w:rPr>
              <w:t>В случаях, если:</w:t>
            </w:r>
          </w:p>
          <w:p>
            <w:pPr>
              <w:pStyle w:val="Normal"/>
              <w:keepNext w:val="true"/>
              <w:spacing w:lineRule="auto" w:line="240" w:before="0" w:after="0"/>
              <w:ind w:hanging="0" w:start="0"/>
              <w:contextualSpacing/>
              <w:jc w:val="center"/>
              <w:rPr/>
            </w:pPr>
            <w:r>
              <w:rPr>
                <w:bCs/>
                <w:sz w:val="24"/>
                <w:szCs w:val="24"/>
                <w:lang w:eastAsia="ru-RU"/>
              </w:rPr>
              <w:t>обращение закрывается по согласованию с Заказчиком, статусу присваивается код завершения «Закрыто по согласованию с Заказчиком»;</w:t>
            </w:r>
          </w:p>
          <w:p>
            <w:pPr>
              <w:pStyle w:val="Normal"/>
              <w:keepNext w:val="true"/>
              <w:spacing w:lineRule="auto" w:line="240" w:before="0" w:after="0"/>
              <w:ind w:hanging="0" w:start="0"/>
              <w:contextualSpacing/>
              <w:jc w:val="center"/>
              <w:rPr/>
            </w:pPr>
            <w:r>
              <w:rPr>
                <w:bCs/>
                <w:sz w:val="24"/>
                <w:szCs w:val="24"/>
                <w:lang w:eastAsia="ru-RU"/>
              </w:rPr>
              <w:t>обращение закрывается по несоответствию предмету Договора, статусу присваивается код завершения «Закрыто по несоответствию Договору»;</w:t>
            </w:r>
          </w:p>
          <w:p>
            <w:pPr>
              <w:pStyle w:val="Normal"/>
              <w:keepNext w:val="true"/>
              <w:spacing w:lineRule="auto" w:line="240" w:before="60" w:after="80"/>
              <w:ind w:hanging="0" w:start="0"/>
              <w:contextualSpacing/>
              <w:jc w:val="center"/>
              <w:rPr/>
            </w:pPr>
            <w:r>
              <w:rPr>
                <w:bCs/>
                <w:sz w:val="24"/>
                <w:szCs w:val="24"/>
                <w:lang w:eastAsia="ru-RU"/>
              </w:rPr>
              <w:t>обращение закрывается по наступлению срока автоматического закрытия, статусу присваивается код завершения «Закрыто автоматически».</w:t>
            </w:r>
          </w:p>
          <w:p>
            <w:pPr>
              <w:pStyle w:val="Normal"/>
              <w:keepNext w:val="true"/>
              <w:spacing w:lineRule="auto" w:line="240" w:before="60" w:after="80"/>
              <w:ind w:hanging="0" w:start="0"/>
              <w:contextualSpacing/>
              <w:jc w:val="center"/>
              <w:rPr/>
            </w:pPr>
            <w:r>
              <w:rPr>
                <w:bCs/>
                <w:sz w:val="24"/>
                <w:szCs w:val="24"/>
                <w:lang w:eastAsia="ru-RU"/>
              </w:rPr>
              <w:t>Не позднее, чем за 2 (два) рабочих дня до автоматического закрытия обращения Исполнитель отправляет Инициатору обращения уведомление по электронной почте о скором закрытии обращения.</w:t>
            </w:r>
          </w:p>
        </w:tc>
        <w:tc>
          <w:tcPr>
            <w:tcW w:w="25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firstLine="709" w:start="0"/>
              <w:jc w:val="center"/>
              <w:rPr/>
            </w:pPr>
            <w:r>
              <w:rPr>
                <w:sz w:val="24"/>
                <w:szCs w:val="24"/>
              </w:rPr>
              <w:t>—</w:t>
            </w:r>
          </w:p>
        </w:tc>
      </w:tr>
    </w:tbl>
    <w:p>
      <w:pPr>
        <w:pStyle w:val="Style44"/>
        <w:spacing w:lineRule="auto" w:line="240"/>
        <w:rPr/>
      </w:pPr>
      <w:r>
        <w:rPr/>
      </w:r>
    </w:p>
    <w:p>
      <w:pPr>
        <w:pStyle w:val="33"/>
        <w:tabs>
          <w:tab w:val="clear" w:pos="1560"/>
        </w:tabs>
        <w:spacing w:lineRule="auto" w:line="240" w:before="0" w:after="240"/>
        <w:ind w:firstLine="709" w:start="0"/>
        <w:rPr>
          <w:rFonts w:ascii="Times New Roman" w:hAnsi="Times New Roman"/>
        </w:rPr>
      </w:pPr>
      <w:bookmarkStart w:id="137" w:name="__RefHeading___Toc33542_3559854210"/>
      <w:bookmarkStart w:id="138" w:name="_Toc177129089"/>
      <w:bookmarkStart w:id="139" w:name="_Toc215755889"/>
      <w:bookmarkEnd w:id="137"/>
      <w:r>
        <w:rPr>
          <w:rFonts w:ascii="Times New Roman" w:hAnsi="Times New Roman"/>
        </w:rPr>
        <w:t>Порядок классификации и первичной обработки обращений</w:t>
      </w:r>
      <w:bookmarkEnd w:id="138"/>
      <w:bookmarkEnd w:id="139"/>
    </w:p>
    <w:p>
      <w:pPr>
        <w:pStyle w:val="Style44"/>
        <w:spacing w:lineRule="auto" w:line="240"/>
        <w:rPr/>
      </w:pPr>
      <w:r>
        <w:rPr/>
        <w:t>Зарегистрированное обращение специалист СТП Исполнителя должен классифицировать в соответствии с её категорией и назначить исполнителя в течение 30 рабочих минут с момента регистрации.</w:t>
      </w:r>
    </w:p>
    <w:p>
      <w:pPr>
        <w:pStyle w:val="Style44"/>
        <w:spacing w:lineRule="auto" w:line="240"/>
        <w:rPr/>
      </w:pPr>
      <w:r>
        <w:rPr/>
        <w:t>Классификация обращений должна производиться в соответствии с данными, приведенными в (</w:t>
      </w:r>
      <w:r>
        <w:rPr/>
        <w:fldChar w:fldCharType="begin"/>
      </w:r>
      <w:r>
        <w:rPr/>
        <w:instrText xml:space="preserve"> REF _Ref192516220 \h </w:instrText>
      </w:r>
      <w:r>
        <w:rPr/>
        <w:fldChar w:fldCharType="separate"/>
      </w:r>
      <w:r>
        <w:rPr/>
        <w:t>Таблица 20</w:t>
      </w:r>
      <w:r>
        <w:rPr/>
        <w:fldChar w:fldCharType="end"/>
      </w:r>
      <w:r>
        <w:rPr/>
        <w:t>).</w:t>
      </w:r>
    </w:p>
    <w:p>
      <w:pPr>
        <w:pStyle w:val="Caption"/>
        <w:rPr>
          <w:i w:val="false"/>
          <w:i w:val="false"/>
          <w:iCs w:val="false"/>
          <w:color w:val="auto"/>
          <w:sz w:val="24"/>
          <w:szCs w:val="24"/>
        </w:rPr>
      </w:pPr>
      <w:bookmarkStart w:id="140" w:name="_Ref192516220"/>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20</w:t>
      </w:r>
      <w:r>
        <w:rPr>
          <w:sz w:val="24"/>
          <w:i w:val="false"/>
          <w:szCs w:val="24"/>
          <w:iCs w:val="false"/>
          <w:color w:val="auto"/>
        </w:rPr>
        <w:fldChar w:fldCharType="end"/>
      </w:r>
      <w:bookmarkEnd w:id="140"/>
      <w:r>
        <w:rPr>
          <w:i w:val="false"/>
          <w:iCs w:val="false"/>
          <w:color w:val="auto"/>
          <w:sz w:val="24"/>
          <w:szCs w:val="24"/>
        </w:rPr>
        <w:t xml:space="preserve"> – Классификация обращений пользователей.</w:t>
      </w:r>
    </w:p>
    <w:tbl>
      <w:tblPr>
        <w:tblW w:w="9855"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750"/>
        <w:gridCol w:w="2123"/>
        <w:gridCol w:w="6982"/>
      </w:tblGrid>
      <w:tr>
        <w:trPr>
          <w:tblHeader w:val="true"/>
        </w:trPr>
        <w:tc>
          <w:tcPr>
            <w:tcW w:w="750" w:type="dxa"/>
            <w:tcBorders>
              <w:top w:val="single" w:sz="4" w:space="0" w:color="000000"/>
              <w:start w:val="single" w:sz="4" w:space="0" w:color="000000"/>
              <w:bottom w:val="single" w:sz="4" w:space="0" w:color="000000"/>
              <w:end w:val="single" w:sz="4" w:space="0" w:color="000000"/>
            </w:tcBorders>
            <w:vAlign w:val="center"/>
          </w:tcPr>
          <w:p>
            <w:pPr>
              <w:pStyle w:val="Normal"/>
              <w:keepNext w:val="true"/>
              <w:keepLines/>
              <w:spacing w:lineRule="auto" w:line="276" w:before="0" w:after="0"/>
              <w:ind w:hanging="0" w:start="0"/>
              <w:jc w:val="center"/>
              <w:rPr>
                <w:b/>
                <w:sz w:val="24"/>
                <w:szCs w:val="24"/>
                <w:lang w:eastAsia="ru-RU"/>
              </w:rPr>
            </w:pPr>
            <w:r>
              <w:rPr>
                <w:b/>
                <w:sz w:val="24"/>
                <w:szCs w:val="24"/>
                <w:lang w:eastAsia="ru-RU"/>
              </w:rPr>
              <w:t>№</w:t>
            </w:r>
            <w:r>
              <w:rPr>
                <w:b/>
                <w:sz w:val="24"/>
                <w:szCs w:val="24"/>
                <w:lang w:eastAsia="ru-RU"/>
              </w:rPr>
              <w:br/>
              <w:t>п/п</w:t>
            </w:r>
          </w:p>
        </w:tc>
        <w:tc>
          <w:tcPr>
            <w:tcW w:w="2123" w:type="dxa"/>
            <w:tcBorders>
              <w:top w:val="single" w:sz="4" w:space="0" w:color="000000"/>
              <w:start w:val="single" w:sz="4" w:space="0" w:color="000000"/>
              <w:bottom w:val="single" w:sz="4" w:space="0" w:color="000000"/>
              <w:end w:val="single" w:sz="4" w:space="0" w:color="000000"/>
            </w:tcBorders>
            <w:vAlign w:val="center"/>
          </w:tcPr>
          <w:p>
            <w:pPr>
              <w:pStyle w:val="Normal"/>
              <w:keepNext w:val="true"/>
              <w:keepLines/>
              <w:spacing w:lineRule="auto" w:line="276" w:before="0" w:after="0"/>
              <w:ind w:hanging="0" w:start="0"/>
              <w:jc w:val="center"/>
              <w:rPr>
                <w:b/>
                <w:sz w:val="24"/>
                <w:szCs w:val="24"/>
              </w:rPr>
            </w:pPr>
            <w:r>
              <w:rPr>
                <w:b/>
                <w:sz w:val="24"/>
                <w:szCs w:val="24"/>
              </w:rPr>
              <w:t>Тип обращения</w:t>
            </w:r>
          </w:p>
        </w:tc>
        <w:tc>
          <w:tcPr>
            <w:tcW w:w="6982" w:type="dxa"/>
            <w:tcBorders>
              <w:top w:val="single" w:sz="4" w:space="0" w:color="000000"/>
              <w:start w:val="single" w:sz="4" w:space="0" w:color="000000"/>
              <w:bottom w:val="single" w:sz="4" w:space="0" w:color="000000"/>
              <w:end w:val="single" w:sz="4" w:space="0" w:color="000000"/>
            </w:tcBorders>
            <w:vAlign w:val="center"/>
          </w:tcPr>
          <w:p>
            <w:pPr>
              <w:pStyle w:val="Normal"/>
              <w:keepNext w:val="true"/>
              <w:keepLines/>
              <w:spacing w:lineRule="auto" w:line="276" w:before="0" w:after="0"/>
              <w:ind w:hanging="0" w:start="102"/>
              <w:jc w:val="center"/>
              <w:rPr>
                <w:b/>
                <w:sz w:val="24"/>
                <w:szCs w:val="24"/>
              </w:rPr>
            </w:pPr>
            <w:r>
              <w:rPr>
                <w:b/>
                <w:sz w:val="24"/>
                <w:szCs w:val="24"/>
              </w:rPr>
              <w:t>Основание для классификации</w:t>
            </w:r>
          </w:p>
        </w:tc>
      </w:tr>
      <w:tr>
        <w:trPr/>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sz w:val="24"/>
                <w:szCs w:val="24"/>
              </w:rPr>
            </w:pPr>
            <w:r>
              <w:rPr>
                <w:sz w:val="24"/>
                <w:szCs w:val="24"/>
              </w:rPr>
              <w:t>1</w:t>
            </w:r>
          </w:p>
        </w:tc>
        <w:tc>
          <w:tcPr>
            <w:tcW w:w="21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sz w:val="24"/>
                <w:szCs w:val="24"/>
              </w:rPr>
            </w:pPr>
            <w:r>
              <w:rPr>
                <w:sz w:val="24"/>
                <w:szCs w:val="24"/>
              </w:rPr>
              <w:t>Запрос на консультацию</w:t>
            </w:r>
          </w:p>
        </w:tc>
        <w:tc>
          <w:tcPr>
            <w:tcW w:w="69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102"/>
              <w:rPr>
                <w:sz w:val="24"/>
                <w:szCs w:val="24"/>
              </w:rPr>
            </w:pPr>
            <w:r>
              <w:rPr>
                <w:sz w:val="24"/>
                <w:szCs w:val="24"/>
              </w:rPr>
              <w:t>Сообщение пользователя содержит вопросы, требующие консультации Исполнителя.</w:t>
            </w:r>
          </w:p>
        </w:tc>
      </w:tr>
      <w:tr>
        <w:trPr/>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sz w:val="24"/>
                <w:szCs w:val="24"/>
              </w:rPr>
            </w:pPr>
            <w:r>
              <w:rPr>
                <w:sz w:val="24"/>
                <w:szCs w:val="24"/>
              </w:rPr>
              <w:t>2</w:t>
            </w:r>
          </w:p>
        </w:tc>
        <w:tc>
          <w:tcPr>
            <w:tcW w:w="21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sz w:val="24"/>
                <w:szCs w:val="24"/>
              </w:rPr>
            </w:pPr>
            <w:r>
              <w:rPr>
                <w:sz w:val="24"/>
                <w:szCs w:val="24"/>
              </w:rPr>
              <w:t>Запрос на обслуживание</w:t>
            </w:r>
          </w:p>
        </w:tc>
        <w:tc>
          <w:tcPr>
            <w:tcW w:w="69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102"/>
              <w:rPr>
                <w:sz w:val="24"/>
                <w:szCs w:val="24"/>
              </w:rPr>
            </w:pPr>
            <w:r>
              <w:rPr>
                <w:sz w:val="24"/>
                <w:szCs w:val="24"/>
              </w:rPr>
              <w:t>Сообщение пользователя содержит информацию, требующую одного или нескольких из следующих действий Исполнителя:</w:t>
            </w:r>
          </w:p>
          <w:p>
            <w:pPr>
              <w:pStyle w:val="Normal"/>
              <w:spacing w:lineRule="auto" w:line="276" w:before="0" w:after="0"/>
              <w:ind w:hanging="0" w:start="102"/>
              <w:rPr>
                <w:rFonts w:eastAsia="Calibri"/>
                <w:sz w:val="24"/>
                <w:szCs w:val="24"/>
              </w:rPr>
            </w:pPr>
            <w:r>
              <w:rPr>
                <w:rFonts w:eastAsia="Calibri"/>
                <w:sz w:val="24"/>
                <w:szCs w:val="24"/>
              </w:rPr>
              <w:t>- смена пароля на учетную запись;</w:t>
            </w:r>
          </w:p>
          <w:p>
            <w:pPr>
              <w:pStyle w:val="Normal"/>
              <w:spacing w:lineRule="auto" w:line="276" w:before="0" w:after="0"/>
              <w:ind w:hanging="0" w:start="102"/>
              <w:rPr>
                <w:rFonts w:eastAsia="Calibri"/>
                <w:sz w:val="24"/>
                <w:szCs w:val="24"/>
              </w:rPr>
            </w:pPr>
            <w:r>
              <w:rPr>
                <w:rFonts w:eastAsia="Calibri"/>
                <w:sz w:val="24"/>
                <w:szCs w:val="24"/>
              </w:rPr>
              <w:t>- блокирование учетной записи пользователей;</w:t>
            </w:r>
          </w:p>
          <w:p>
            <w:pPr>
              <w:pStyle w:val="Normal"/>
              <w:spacing w:lineRule="auto" w:line="276" w:before="0" w:after="0"/>
              <w:ind w:hanging="0" w:start="102"/>
              <w:rPr>
                <w:rFonts w:eastAsia="Calibri"/>
                <w:sz w:val="24"/>
                <w:szCs w:val="24"/>
              </w:rPr>
            </w:pPr>
            <w:r>
              <w:rPr>
                <w:rFonts w:eastAsia="Calibri"/>
                <w:sz w:val="24"/>
                <w:szCs w:val="24"/>
              </w:rPr>
              <w:t>- настройка прав доступа к функциям СПО Системы;</w:t>
            </w:r>
          </w:p>
          <w:p>
            <w:pPr>
              <w:pStyle w:val="Normal"/>
              <w:spacing w:lineRule="auto" w:line="276" w:before="0" w:after="0"/>
              <w:ind w:hanging="0" w:start="102"/>
              <w:rPr>
                <w:rFonts w:eastAsia="Calibri"/>
                <w:sz w:val="24"/>
                <w:szCs w:val="24"/>
              </w:rPr>
            </w:pPr>
            <w:r>
              <w:rPr>
                <w:rFonts w:eastAsia="Calibri"/>
                <w:sz w:val="24"/>
                <w:szCs w:val="24"/>
              </w:rPr>
              <w:t>- иные действия, не относимые к консультациям и инцидентам.</w:t>
            </w:r>
          </w:p>
        </w:tc>
      </w:tr>
      <w:tr>
        <w:trPr/>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sz w:val="24"/>
                <w:szCs w:val="24"/>
              </w:rPr>
            </w:pPr>
            <w:r>
              <w:rPr>
                <w:sz w:val="24"/>
                <w:szCs w:val="24"/>
              </w:rPr>
              <w:t>3</w:t>
            </w:r>
          </w:p>
        </w:tc>
        <w:tc>
          <w:tcPr>
            <w:tcW w:w="21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jc w:val="center"/>
              <w:rPr>
                <w:sz w:val="24"/>
                <w:szCs w:val="24"/>
              </w:rPr>
            </w:pPr>
            <w:r>
              <w:rPr>
                <w:sz w:val="24"/>
                <w:szCs w:val="24"/>
              </w:rPr>
              <w:t>Инцидент</w:t>
            </w:r>
          </w:p>
        </w:tc>
        <w:tc>
          <w:tcPr>
            <w:tcW w:w="69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102"/>
              <w:rPr>
                <w:sz w:val="24"/>
                <w:szCs w:val="24"/>
              </w:rPr>
            </w:pPr>
            <w:r>
              <w:rPr>
                <w:sz w:val="24"/>
                <w:szCs w:val="24"/>
              </w:rPr>
              <w:t>Сообщение от пользователя, которое содержит информацию об одном из следующих событий в Системе:</w:t>
            </w:r>
          </w:p>
          <w:p>
            <w:pPr>
              <w:pStyle w:val="Normal"/>
              <w:spacing w:lineRule="auto" w:line="276" w:before="0" w:after="0"/>
              <w:ind w:hanging="0" w:start="102"/>
              <w:rPr>
                <w:rFonts w:eastAsia="Calibri"/>
                <w:sz w:val="24"/>
                <w:szCs w:val="24"/>
              </w:rPr>
            </w:pPr>
            <w:r>
              <w:rPr>
                <w:rFonts w:eastAsia="Calibri"/>
                <w:sz w:val="24"/>
                <w:szCs w:val="24"/>
              </w:rPr>
              <w:t>- недоступность СПО Системы или неработоспособность (в том числе ее некорректное функционирование) одной и более функций СПО Системы, при которых пользователь не может использовать Систему для исполнения своих функций и должностных обязанностей;</w:t>
            </w:r>
          </w:p>
          <w:p>
            <w:pPr>
              <w:pStyle w:val="Normal"/>
              <w:spacing w:lineRule="auto" w:line="276" w:before="0" w:after="0"/>
              <w:ind w:hanging="0" w:start="102"/>
              <w:rPr>
                <w:rFonts w:eastAsia="Calibri"/>
                <w:sz w:val="24"/>
                <w:szCs w:val="24"/>
              </w:rPr>
            </w:pPr>
            <w:r>
              <w:rPr>
                <w:rFonts w:eastAsia="Calibri"/>
                <w:sz w:val="24"/>
                <w:szCs w:val="24"/>
              </w:rPr>
              <w:t>- невозможность информационного обмена с СПО Системы для внешних информационных систем более 15 минут;</w:t>
            </w:r>
          </w:p>
          <w:p>
            <w:pPr>
              <w:pStyle w:val="Normal"/>
              <w:spacing w:lineRule="auto" w:line="276" w:before="0" w:after="0"/>
              <w:ind w:hanging="0" w:start="102"/>
              <w:rPr>
                <w:rFonts w:eastAsia="Calibri"/>
                <w:sz w:val="24"/>
                <w:szCs w:val="24"/>
              </w:rPr>
            </w:pPr>
            <w:r>
              <w:rPr>
                <w:rFonts w:eastAsia="Calibri"/>
                <w:sz w:val="24"/>
                <w:szCs w:val="24"/>
              </w:rPr>
              <w:t>- невозможность использования отдельных функций СПО Системы (в том числе формирования отдельных отчетов);</w:t>
            </w:r>
          </w:p>
          <w:p>
            <w:pPr>
              <w:pStyle w:val="Normal"/>
              <w:spacing w:lineRule="auto" w:line="276" w:before="0" w:after="0"/>
              <w:ind w:hanging="0" w:start="102"/>
              <w:rPr>
                <w:rFonts w:eastAsia="Calibri"/>
                <w:sz w:val="24"/>
                <w:szCs w:val="24"/>
              </w:rPr>
            </w:pPr>
            <w:r>
              <w:rPr>
                <w:rFonts w:eastAsia="Calibri"/>
                <w:sz w:val="24"/>
                <w:szCs w:val="24"/>
              </w:rPr>
              <w:t>- снижение быстродействия СПО Системы (время отклика СПО на действия пользователя превышает контрольные параметры производительности Системы более чем в 2 раза);</w:t>
            </w:r>
          </w:p>
          <w:p>
            <w:pPr>
              <w:pStyle w:val="Normal"/>
              <w:spacing w:lineRule="auto" w:line="276" w:before="0" w:after="0"/>
              <w:ind w:hanging="0" w:start="102"/>
              <w:rPr>
                <w:rFonts w:eastAsia="Calibri"/>
                <w:sz w:val="24"/>
                <w:szCs w:val="24"/>
              </w:rPr>
            </w:pPr>
            <w:r>
              <w:rPr>
                <w:rFonts w:eastAsia="Calibri"/>
                <w:sz w:val="24"/>
                <w:szCs w:val="24"/>
              </w:rPr>
              <w:t>- затруднения в использовании функций СПО Системы, не приводящие к полной невозможности использования функции СПО;</w:t>
            </w:r>
          </w:p>
          <w:p>
            <w:pPr>
              <w:pStyle w:val="Normal"/>
              <w:spacing w:lineRule="auto" w:line="276" w:before="0" w:after="0"/>
              <w:ind w:hanging="0" w:start="102"/>
              <w:rPr>
                <w:rFonts w:eastAsia="Calibri"/>
                <w:sz w:val="24"/>
                <w:szCs w:val="24"/>
              </w:rPr>
            </w:pPr>
            <w:r>
              <w:rPr>
                <w:rFonts w:eastAsia="Calibri"/>
                <w:sz w:val="24"/>
                <w:szCs w:val="24"/>
              </w:rPr>
              <w:t>- снижение быстродействия СПО Системы, при котором время отклика СПО на действия пользователя превышает контрольные параметры производительности менее чем в 2 раза.</w:t>
            </w:r>
          </w:p>
          <w:p>
            <w:pPr>
              <w:pStyle w:val="Normal"/>
              <w:spacing w:lineRule="auto" w:line="276" w:before="0" w:after="0"/>
              <w:ind w:hanging="0" w:start="102"/>
              <w:rPr>
                <w:rFonts w:eastAsia="Calibri"/>
                <w:sz w:val="24"/>
                <w:szCs w:val="24"/>
                <w:lang w:eastAsia="ru-RU"/>
              </w:rPr>
            </w:pPr>
            <w:r>
              <w:rPr>
                <w:rFonts w:eastAsia="Calibri"/>
                <w:sz w:val="24"/>
                <w:szCs w:val="24"/>
              </w:rPr>
              <w:t>-</w:t>
            </w:r>
            <w:r>
              <w:rPr>
                <w:rFonts w:eastAsia="Calibri"/>
                <w:sz w:val="24"/>
                <w:szCs w:val="24"/>
                <w:lang w:eastAsia="ru-RU"/>
              </w:rPr>
              <w:t> запрос, связанный с выполнением доработок по выявленным дефектам (ошибкам) в СПО Системы;</w:t>
            </w:r>
          </w:p>
          <w:p>
            <w:pPr>
              <w:pStyle w:val="Normal"/>
              <w:spacing w:lineRule="auto" w:line="276" w:before="0" w:after="0"/>
              <w:ind w:hanging="0" w:start="102"/>
              <w:rPr>
                <w:rFonts w:eastAsia="Calibri"/>
                <w:sz w:val="24"/>
                <w:szCs w:val="24"/>
              </w:rPr>
            </w:pPr>
            <w:r>
              <w:rPr>
                <w:color w:val="000000"/>
                <w:sz w:val="24"/>
                <w:szCs w:val="24"/>
                <w:lang w:eastAsia="ru-RU"/>
              </w:rPr>
              <w:t xml:space="preserve">- сообщение пользователя содержит информацию </w:t>
              <w:br/>
              <w:t>о некорректной работе функций СПО Системы (дефект/ошибка СПО Системы).</w:t>
            </w:r>
          </w:p>
        </w:tc>
      </w:tr>
    </w:tbl>
    <w:p>
      <w:pPr>
        <w:pStyle w:val="Style44"/>
        <w:spacing w:lineRule="auto" w:line="240"/>
        <w:rPr/>
      </w:pPr>
      <w:r>
        <w:rPr/>
        <w:t>Обращения с типом «Инцидент» могут быть направлены в СТП Исполнителя любым из пользователей Системы и решены в сроки, предусмотренные в (</w:t>
      </w:r>
      <w:r>
        <w:rPr/>
        <w:fldChar w:fldCharType="begin"/>
      </w:r>
      <w:r>
        <w:rPr/>
        <w:instrText xml:space="preserve"> REF _Ref192577983 \h </w:instrText>
      </w:r>
      <w:r>
        <w:rPr/>
        <w:fldChar w:fldCharType="separate"/>
      </w:r>
      <w:r>
        <w:rPr/>
        <w:t>Таблица 22</w:t>
      </w:r>
      <w:r>
        <w:rPr/>
        <w:fldChar w:fldCharType="end"/>
      </w:r>
      <w:r>
        <w:rPr/>
        <w:t>). При возникновении «спорных» обращений с типом «Инцидент» (Инициатор/пользователь считает, что данное обращение должно быть зарегистрировано с типом «Инцидент», Исполнитель считает, что данное обращение должно быть зарегистрировано с другим типом) Исполнитель формирует соответствующий запрос посредством СУТП Исполнителя (с обязательным дублированием сообщения на электронную почту с указанием номера обращения в СУТП Исполнителя) специалисту Заказчика с приложением мотивированного обоснования замены на другой тип, ответственному за согласование операций по обслуживанию ОС/ОПО и СПО Системы в соответствии с пунктом 5.3.ТЗ. На период рассмотрения запроса на согласование изменения типа и приоритета, заявка переводится Исполнителем в статус «Приостановлено» до получения ответа от специалиста Заказчика о сохранении или изменении типа. Специалист Заказчика, ответственный за согласование операций по обслуживанию ОС/ОПО и СПО Системы, осуществляет проверку и согласовывает изменение типа обращения или направляет соответствующий мотивированный отказ.</w:t>
      </w:r>
    </w:p>
    <w:p>
      <w:pPr>
        <w:pStyle w:val="Style44"/>
        <w:spacing w:lineRule="auto" w:line="240"/>
        <w:rPr/>
      </w:pPr>
      <w:r>
        <w:rPr/>
      </w:r>
    </w:p>
    <w:p>
      <w:pPr>
        <w:pStyle w:val="33"/>
        <w:spacing w:lineRule="auto" w:line="240" w:before="0" w:after="0"/>
        <w:ind w:firstLine="709" w:start="0"/>
        <w:rPr>
          <w:rFonts w:ascii="Times New Roman" w:hAnsi="Times New Roman"/>
        </w:rPr>
      </w:pPr>
      <w:bookmarkStart w:id="141" w:name="__RefHeading___Toc33544_3559854210"/>
      <w:bookmarkStart w:id="142" w:name="_Toc215755890"/>
      <w:bookmarkStart w:id="143" w:name="_Toc177129090"/>
      <w:bookmarkEnd w:id="141"/>
      <w:r>
        <w:rPr>
          <w:rFonts w:ascii="Times New Roman" w:hAnsi="Times New Roman"/>
        </w:rPr>
        <w:t>Приоритеты обработки обращений с типом «Инцидент»</w:t>
      </w:r>
      <w:bookmarkEnd w:id="142"/>
      <w:bookmarkEnd w:id="143"/>
    </w:p>
    <w:p>
      <w:pPr>
        <w:pStyle w:val="Style44"/>
        <w:spacing w:lineRule="auto" w:line="240" w:before="240" w:after="0"/>
        <w:contextualSpacing/>
        <w:rPr/>
      </w:pPr>
      <w:r>
        <w:rPr/>
        <w:t>При регистрации заявок с типом «Инцидент» ответственный за выполнение функции СТП назначает приоритет в зависимости от влияния отказа или сбоя на функционирование СПО Системы в соответствии с (</w:t>
      </w:r>
      <w:r>
        <w:rPr/>
        <w:fldChar w:fldCharType="begin"/>
      </w:r>
      <w:r>
        <w:rPr/>
        <w:instrText xml:space="preserve"> REF _Ref192516398 \h </w:instrText>
      </w:r>
      <w:r>
        <w:rPr/>
        <w:fldChar w:fldCharType="separate"/>
      </w:r>
      <w:r>
        <w:rPr/>
        <w:t>Таблица 21</w:t>
      </w:r>
      <w:r>
        <w:rPr/>
        <w:fldChar w:fldCharType="end"/>
      </w:r>
      <w:r>
        <w:rPr/>
        <w:t>).</w:t>
      </w:r>
    </w:p>
    <w:p>
      <w:pPr>
        <w:pStyle w:val="Caption"/>
        <w:rPr>
          <w:i w:val="false"/>
          <w:i w:val="false"/>
          <w:iCs w:val="false"/>
          <w:color w:val="auto"/>
          <w:sz w:val="24"/>
          <w:szCs w:val="24"/>
        </w:rPr>
      </w:pPr>
      <w:bookmarkStart w:id="144" w:name="_Ref192516398"/>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21</w:t>
      </w:r>
      <w:r>
        <w:rPr>
          <w:sz w:val="24"/>
          <w:i w:val="false"/>
          <w:szCs w:val="24"/>
          <w:iCs w:val="false"/>
          <w:color w:val="auto"/>
        </w:rPr>
        <w:fldChar w:fldCharType="end"/>
      </w:r>
      <w:bookmarkEnd w:id="144"/>
      <w:r>
        <w:rPr>
          <w:i w:val="false"/>
          <w:iCs w:val="false"/>
          <w:color w:val="auto"/>
          <w:sz w:val="24"/>
          <w:szCs w:val="24"/>
        </w:rPr>
        <w:t xml:space="preserve"> – Приоритеты обработки обращений с типом «Инцидент».</w:t>
      </w:r>
    </w:p>
    <w:tbl>
      <w:tblPr>
        <w:tblW w:w="9905"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773"/>
        <w:gridCol w:w="2108"/>
        <w:gridCol w:w="7024"/>
      </w:tblGrid>
      <w:tr>
        <w:trPr>
          <w:tblHeader w:val="true"/>
          <w:cantSplit w:val="true"/>
        </w:trPr>
        <w:tc>
          <w:tcPr>
            <w:tcW w:w="773" w:type="dxa"/>
            <w:tcBorders>
              <w:top w:val="single" w:sz="4" w:space="0" w:color="000000"/>
              <w:start w:val="single" w:sz="4" w:space="0" w:color="000000"/>
              <w:bottom w:val="single" w:sz="4" w:space="0" w:color="000000"/>
              <w:end w:val="single" w:sz="4" w:space="0" w:color="000000"/>
            </w:tcBorders>
            <w:vAlign w:val="center"/>
          </w:tcPr>
          <w:p>
            <w:pPr>
              <w:pStyle w:val="Normal"/>
              <w:keepNext w:val="true"/>
              <w:widowControl w:val="false"/>
              <w:spacing w:lineRule="auto" w:line="276" w:before="0" w:after="0"/>
              <w:ind w:hanging="0" w:start="0"/>
              <w:contextualSpacing/>
              <w:jc w:val="center"/>
              <w:rPr>
                <w:b/>
                <w:sz w:val="24"/>
                <w:szCs w:val="24"/>
                <w:lang w:val="x-none" w:eastAsia="x-none"/>
              </w:rPr>
            </w:pPr>
            <w:r>
              <w:rPr>
                <w:b/>
                <w:sz w:val="24"/>
                <w:szCs w:val="24"/>
                <w:lang w:val="x-none" w:eastAsia="x-none"/>
              </w:rPr>
              <w:t>№</w:t>
            </w:r>
            <w:r>
              <w:rPr>
                <w:b/>
                <w:sz w:val="24"/>
                <w:szCs w:val="24"/>
                <w:lang w:val="x-none" w:eastAsia="x-none"/>
              </w:rPr>
              <w:br/>
              <w:t>п/п</w:t>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keepNext w:val="true"/>
              <w:widowControl w:val="false"/>
              <w:spacing w:lineRule="auto" w:line="276" w:before="0" w:after="0"/>
              <w:ind w:hanging="0" w:start="0"/>
              <w:contextualSpacing/>
              <w:jc w:val="center"/>
              <w:rPr>
                <w:b/>
                <w:sz w:val="24"/>
                <w:szCs w:val="24"/>
                <w:lang w:val="x-none" w:eastAsia="x-none"/>
              </w:rPr>
            </w:pPr>
            <w:r>
              <w:rPr>
                <w:b/>
                <w:sz w:val="24"/>
                <w:szCs w:val="24"/>
                <w:lang w:val="x-none" w:eastAsia="x-none"/>
              </w:rPr>
              <w:t>Приоритет</w:t>
            </w:r>
          </w:p>
        </w:tc>
        <w:tc>
          <w:tcPr>
            <w:tcW w:w="7024" w:type="dxa"/>
            <w:tcBorders>
              <w:top w:val="single" w:sz="4" w:space="0" w:color="000000"/>
              <w:start w:val="single" w:sz="4" w:space="0" w:color="000000"/>
              <w:bottom w:val="single" w:sz="4" w:space="0" w:color="000000"/>
              <w:end w:val="single" w:sz="4" w:space="0" w:color="000000"/>
            </w:tcBorders>
            <w:vAlign w:val="center"/>
          </w:tcPr>
          <w:p>
            <w:pPr>
              <w:pStyle w:val="Normal"/>
              <w:keepNext w:val="true"/>
              <w:widowControl w:val="false"/>
              <w:spacing w:lineRule="auto" w:line="276" w:before="0" w:after="0"/>
              <w:ind w:hanging="0" w:start="0"/>
              <w:contextualSpacing/>
              <w:jc w:val="center"/>
              <w:rPr>
                <w:b/>
                <w:sz w:val="24"/>
                <w:szCs w:val="24"/>
                <w:lang w:val="x-none" w:eastAsia="x-none"/>
              </w:rPr>
            </w:pPr>
            <w:r>
              <w:rPr>
                <w:b/>
                <w:sz w:val="24"/>
                <w:szCs w:val="24"/>
                <w:lang w:val="x-none" w:eastAsia="x-none"/>
              </w:rPr>
              <w:t>Описание</w:t>
            </w:r>
          </w:p>
        </w:tc>
      </w:tr>
      <w:tr>
        <w:trPr/>
        <w:tc>
          <w:tcPr>
            <w:tcW w:w="77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76" w:before="0" w:after="0"/>
              <w:ind w:hanging="0" w:start="0"/>
              <w:contextualSpacing/>
              <w:jc w:val="center"/>
              <w:rPr>
                <w:sz w:val="24"/>
                <w:szCs w:val="24"/>
              </w:rPr>
            </w:pPr>
            <w:r>
              <w:rPr>
                <w:sz w:val="24"/>
                <w:szCs w:val="24"/>
              </w:rPr>
              <w:t>1.</w:t>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76" w:before="0" w:after="0"/>
              <w:ind w:hanging="0" w:start="0"/>
              <w:contextualSpacing/>
              <w:jc w:val="center"/>
              <w:rPr/>
            </w:pPr>
            <w:r>
              <w:rPr>
                <w:sz w:val="24"/>
                <w:szCs w:val="24"/>
                <w:lang w:eastAsia="ru-RU"/>
              </w:rPr>
              <w:t>Критичный</w:t>
            </w:r>
          </w:p>
          <w:p>
            <w:pPr>
              <w:pStyle w:val="Normal"/>
              <w:widowControl w:val="false"/>
              <w:spacing w:lineRule="auto" w:line="276" w:before="0" w:after="0"/>
              <w:ind w:hanging="0" w:start="0"/>
              <w:contextualSpacing/>
              <w:jc w:val="center"/>
              <w:rPr/>
            </w:pPr>
            <w:r>
              <w:rPr>
                <w:sz w:val="24"/>
                <w:szCs w:val="24"/>
                <w:lang w:eastAsia="ru-RU"/>
              </w:rPr>
              <w:t>(рассмотрение вне очереди)</w:t>
            </w:r>
          </w:p>
        </w:tc>
        <w:tc>
          <w:tcPr>
            <w:tcW w:w="70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284" w:start="284"/>
              <w:rPr>
                <w:sz w:val="24"/>
                <w:szCs w:val="24"/>
                <w:lang w:eastAsia="ru-RU"/>
              </w:rPr>
            </w:pPr>
            <w:r>
              <w:rPr>
                <w:sz w:val="24"/>
                <w:szCs w:val="24"/>
                <w:lang w:eastAsia="ru-RU"/>
              </w:rPr>
              <w:t>– </w:t>
            </w:r>
            <w:r>
              <w:rPr>
                <w:sz w:val="24"/>
                <w:szCs w:val="24"/>
                <w:lang w:eastAsia="ru-RU"/>
              </w:rPr>
              <w:t>недоступность СПО Системы или неработоспособность всех функций СПО Системы, доступных пользователю;</w:t>
            </w:r>
          </w:p>
          <w:p>
            <w:pPr>
              <w:pStyle w:val="Normal"/>
              <w:widowControl w:val="false"/>
              <w:spacing w:lineRule="auto" w:line="276" w:before="0" w:after="0"/>
              <w:ind w:hanging="284" w:start="284"/>
              <w:contextualSpacing/>
              <w:rPr>
                <w:rFonts w:eastAsia="Batang"/>
                <w:sz w:val="24"/>
                <w:szCs w:val="24"/>
              </w:rPr>
            </w:pPr>
            <w:r>
              <w:rPr>
                <w:rFonts w:eastAsia="Batang"/>
                <w:sz w:val="24"/>
                <w:szCs w:val="24"/>
              </w:rPr>
              <w:t>– </w:t>
            </w:r>
            <w:r>
              <w:rPr>
                <w:rFonts w:eastAsia="Batang"/>
                <w:sz w:val="24"/>
                <w:szCs w:val="24"/>
              </w:rPr>
              <w:t>невозможность информационного обмена с СПО Системы для внешних информационных систем более 15 минут.</w:t>
            </w:r>
          </w:p>
          <w:p>
            <w:pPr>
              <w:pStyle w:val="Normal"/>
              <w:widowControl w:val="false"/>
              <w:spacing w:lineRule="auto" w:line="276" w:before="0" w:after="0"/>
              <w:ind w:hanging="284" w:start="284"/>
              <w:contextualSpacing/>
              <w:rPr>
                <w:rFonts w:eastAsia="Calibri"/>
                <w:iCs/>
                <w:sz w:val="24"/>
                <w:szCs w:val="24"/>
              </w:rPr>
            </w:pPr>
            <w:r>
              <w:rPr>
                <w:rFonts w:eastAsia="Calibri"/>
                <w:iCs/>
                <w:sz w:val="24"/>
                <w:szCs w:val="24"/>
              </w:rPr>
              <w:t>– </w:t>
            </w:r>
            <w:r>
              <w:rPr>
                <w:rFonts w:eastAsia="Calibri"/>
                <w:iCs/>
                <w:sz w:val="24"/>
                <w:szCs w:val="24"/>
              </w:rPr>
              <w:t>невозможно выполнить функции пользователя.</w:t>
            </w:r>
          </w:p>
        </w:tc>
      </w:tr>
      <w:tr>
        <w:trPr/>
        <w:tc>
          <w:tcPr>
            <w:tcW w:w="77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76" w:before="0" w:after="0"/>
              <w:ind w:hanging="0" w:start="0"/>
              <w:contextualSpacing/>
              <w:jc w:val="center"/>
              <w:rPr>
                <w:sz w:val="24"/>
                <w:szCs w:val="24"/>
              </w:rPr>
            </w:pPr>
            <w:r>
              <w:rPr>
                <w:sz w:val="24"/>
                <w:szCs w:val="24"/>
              </w:rPr>
              <w:t>2.</w:t>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76" w:before="0" w:after="0"/>
              <w:ind w:hanging="0" w:start="0"/>
              <w:contextualSpacing/>
              <w:jc w:val="center"/>
              <w:rPr/>
            </w:pPr>
            <w:r>
              <w:rPr>
                <w:sz w:val="24"/>
                <w:szCs w:val="24"/>
                <w:lang w:eastAsia="ru-RU"/>
              </w:rPr>
              <w:t>Высокий</w:t>
            </w:r>
          </w:p>
        </w:tc>
        <w:tc>
          <w:tcPr>
            <w:tcW w:w="70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284" w:start="284"/>
              <w:rPr>
                <w:sz w:val="24"/>
                <w:szCs w:val="24"/>
                <w:lang w:eastAsia="ru-RU"/>
              </w:rPr>
            </w:pPr>
            <w:r>
              <w:rPr>
                <w:sz w:val="24"/>
                <w:szCs w:val="24"/>
                <w:lang w:eastAsia="ru-RU"/>
              </w:rPr>
              <w:t>– </w:t>
            </w:r>
            <w:r>
              <w:rPr>
                <w:sz w:val="24"/>
                <w:szCs w:val="24"/>
                <w:lang w:eastAsia="ru-RU"/>
              </w:rPr>
              <w:t>невозможность использования отдельных функций СПО Системы (в том числе формирования отдельных отчетов);</w:t>
            </w:r>
          </w:p>
          <w:p>
            <w:pPr>
              <w:pStyle w:val="Normal"/>
              <w:widowControl w:val="false"/>
              <w:spacing w:lineRule="auto" w:line="276" w:before="0" w:after="0"/>
              <w:ind w:hanging="284" w:start="284"/>
              <w:contextualSpacing/>
              <w:rPr>
                <w:rFonts w:eastAsia="Batang"/>
                <w:sz w:val="24"/>
                <w:szCs w:val="24"/>
              </w:rPr>
            </w:pPr>
            <w:r>
              <w:rPr>
                <w:rFonts w:eastAsia="Batang"/>
                <w:sz w:val="24"/>
                <w:szCs w:val="24"/>
              </w:rPr>
              <w:t>– </w:t>
            </w:r>
            <w:r>
              <w:rPr>
                <w:rFonts w:eastAsia="Batang"/>
                <w:sz w:val="24"/>
                <w:szCs w:val="24"/>
              </w:rPr>
              <w:t>снижение быстродействия СПО Системы (время отклика СПО на действия пользователя превышает контрольные параметры производительности Системы, указанные в таблице 15 более чем в 2 раза).</w:t>
            </w:r>
          </w:p>
          <w:p>
            <w:pPr>
              <w:pStyle w:val="Normal"/>
              <w:widowControl w:val="false"/>
              <w:spacing w:lineRule="auto" w:line="276" w:before="0" w:after="0"/>
              <w:ind w:hanging="284" w:start="284"/>
              <w:contextualSpacing/>
              <w:rPr>
                <w:rFonts w:eastAsia="Calibri"/>
                <w:i/>
                <w:i/>
                <w:sz w:val="24"/>
                <w:szCs w:val="24"/>
              </w:rPr>
            </w:pPr>
            <w:r>
              <w:rPr>
                <w:rFonts w:eastAsia="Batang"/>
                <w:sz w:val="24"/>
                <w:szCs w:val="24"/>
              </w:rPr>
              <w:t>– </w:t>
            </w:r>
            <w:r>
              <w:rPr>
                <w:rFonts w:eastAsia="Calibri"/>
                <w:iCs/>
                <w:sz w:val="24"/>
                <w:szCs w:val="24"/>
              </w:rPr>
              <w:t>невозможно выполнить часть функций пользователя.</w:t>
            </w:r>
          </w:p>
        </w:tc>
      </w:tr>
      <w:tr>
        <w:trPr/>
        <w:tc>
          <w:tcPr>
            <w:tcW w:w="77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76" w:before="0" w:after="0"/>
              <w:ind w:hanging="0" w:start="0"/>
              <w:contextualSpacing/>
              <w:jc w:val="center"/>
              <w:rPr>
                <w:sz w:val="24"/>
                <w:szCs w:val="24"/>
              </w:rPr>
            </w:pPr>
            <w:r>
              <w:rPr>
                <w:sz w:val="24"/>
                <w:szCs w:val="24"/>
              </w:rPr>
              <w:t>3.</w:t>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276" w:before="0" w:after="0"/>
              <w:ind w:hanging="0" w:start="0"/>
              <w:contextualSpacing/>
              <w:jc w:val="center"/>
              <w:rPr/>
            </w:pPr>
            <w:r>
              <w:rPr>
                <w:sz w:val="24"/>
                <w:szCs w:val="24"/>
                <w:lang w:eastAsia="ru-RU"/>
              </w:rPr>
              <w:t>Стандартный</w:t>
            </w:r>
          </w:p>
        </w:tc>
        <w:tc>
          <w:tcPr>
            <w:tcW w:w="70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284" w:start="284"/>
              <w:rPr>
                <w:sz w:val="24"/>
                <w:szCs w:val="24"/>
                <w:lang w:eastAsia="ru-RU"/>
              </w:rPr>
            </w:pPr>
            <w:r>
              <w:rPr>
                <w:sz w:val="24"/>
                <w:szCs w:val="24"/>
                <w:lang w:eastAsia="ru-RU"/>
              </w:rPr>
              <w:t>– </w:t>
            </w:r>
            <w:r>
              <w:rPr>
                <w:sz w:val="24"/>
                <w:szCs w:val="24"/>
                <w:lang w:eastAsia="ru-RU"/>
              </w:rPr>
              <w:t>затруднения в использовании Системы или отдельных функциональных частей, не связанные с невозможностью выполнения функций пользователя в Системе;</w:t>
            </w:r>
          </w:p>
          <w:p>
            <w:pPr>
              <w:pStyle w:val="Normal"/>
              <w:widowControl w:val="false"/>
              <w:spacing w:lineRule="auto" w:line="276" w:before="0" w:after="0"/>
              <w:ind w:hanging="284" w:start="284"/>
              <w:contextualSpacing/>
              <w:rPr>
                <w:rFonts w:eastAsia="Calibri"/>
                <w:i/>
                <w:i/>
                <w:sz w:val="24"/>
                <w:szCs w:val="24"/>
              </w:rPr>
            </w:pPr>
            <w:r>
              <w:rPr>
                <w:rFonts w:eastAsia="Batang"/>
                <w:sz w:val="24"/>
                <w:szCs w:val="24"/>
              </w:rPr>
              <w:t>– </w:t>
            </w:r>
            <w:r>
              <w:rPr>
                <w:rFonts w:eastAsia="Batang"/>
                <w:sz w:val="24"/>
                <w:szCs w:val="24"/>
              </w:rPr>
              <w:t>снижение быстродействия СПО Системы, при котором время отклика СПО на действия пользователя превышает контрольные параметры производительности, указанные в таблице 15 менее чем в 2 раза.</w:t>
            </w:r>
          </w:p>
        </w:tc>
      </w:tr>
    </w:tbl>
    <w:p>
      <w:pPr>
        <w:pStyle w:val="Style44"/>
        <w:spacing w:lineRule="auto" w:line="240" w:before="0" w:after="120"/>
        <w:ind w:hanging="1601" w:start="2310"/>
        <w:contextualSpacing w:val="false"/>
        <w:rPr/>
      </w:pPr>
      <w:r>
        <w:rPr/>
      </w:r>
    </w:p>
    <w:p>
      <w:pPr>
        <w:pStyle w:val="33"/>
        <w:tabs>
          <w:tab w:val="clear" w:pos="1560"/>
        </w:tabs>
        <w:spacing w:lineRule="auto" w:line="240" w:before="0" w:after="0"/>
        <w:ind w:firstLine="709" w:start="0"/>
        <w:rPr/>
      </w:pPr>
      <w:bookmarkStart w:id="145" w:name="__RefHeading___Toc33546_3559854210"/>
      <w:bookmarkStart w:id="146" w:name="_Toc215755891"/>
      <w:bookmarkStart w:id="147" w:name="_Toc177129092"/>
      <w:bookmarkEnd w:id="145"/>
      <w:r>
        <w:rPr>
          <w:rFonts w:ascii="Times New Roman" w:hAnsi="Times New Roman"/>
        </w:rPr>
        <w:t>Контрольные сроки решения (выполнения) обращений</w:t>
      </w:r>
      <w:bookmarkEnd w:id="146"/>
      <w:bookmarkEnd w:id="147"/>
    </w:p>
    <w:p>
      <w:pPr>
        <w:sectPr>
          <w:headerReference w:type="even" r:id="rId25"/>
          <w:headerReference w:type="default" r:id="rId26"/>
          <w:headerReference w:type="first" r:id="rId27"/>
          <w:footerReference w:type="even" r:id="rId28"/>
          <w:footerReference w:type="default" r:id="rId29"/>
          <w:footerReference w:type="first" r:id="rId30"/>
          <w:type w:val="nextPage"/>
          <w:pgSz w:w="11906" w:h="16838"/>
          <w:pgMar w:left="1134" w:right="851" w:gutter="0" w:header="709" w:top="1134" w:footer="709" w:bottom="1134"/>
          <w:pgNumType w:fmt="decimal"/>
          <w:formProt w:val="false"/>
          <w:textDirection w:val="lrTb"/>
          <w:docGrid w:type="default" w:linePitch="299" w:charSpace="0"/>
        </w:sectPr>
        <w:pStyle w:val="Style44"/>
        <w:spacing w:lineRule="auto" w:line="240" w:before="240" w:after="240"/>
        <w:contextualSpacing/>
        <w:rPr/>
      </w:pPr>
      <w:r>
        <w:rPr/>
        <w:t>СТП Исполнителя должна производить обработку обращений в соответствии с контрольными сроками, указанными в (</w:t>
      </w:r>
      <w:r>
        <w:rPr/>
        <w:fldChar w:fldCharType="begin"/>
      </w:r>
      <w:r>
        <w:rPr/>
        <w:instrText xml:space="preserve"> REF _Ref192577983 \h </w:instrText>
      </w:r>
      <w:r>
        <w:rPr/>
        <w:fldChar w:fldCharType="separate"/>
      </w:r>
      <w:r>
        <w:rPr/>
        <w:t>Таблица 22</w:t>
      </w:r>
      <w:r>
        <w:rPr/>
        <w:fldChar w:fldCharType="end"/>
      </w:r>
      <w:r>
        <w:rPr/>
        <w:t>).</w:t>
      </w:r>
    </w:p>
    <w:p>
      <w:pPr>
        <w:pStyle w:val="Caption"/>
        <w:rPr>
          <w:i w:val="false"/>
          <w:i w:val="false"/>
          <w:iCs w:val="false"/>
          <w:color w:val="auto"/>
          <w:sz w:val="24"/>
          <w:szCs w:val="24"/>
        </w:rPr>
      </w:pPr>
      <w:bookmarkStart w:id="148" w:name="_Ref192577983"/>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22</w:t>
      </w:r>
      <w:r>
        <w:rPr>
          <w:sz w:val="24"/>
          <w:i w:val="false"/>
          <w:szCs w:val="24"/>
          <w:iCs w:val="false"/>
          <w:color w:val="auto"/>
        </w:rPr>
        <w:fldChar w:fldCharType="end"/>
      </w:r>
      <w:bookmarkEnd w:id="148"/>
      <w:r>
        <w:rPr>
          <w:i w:val="false"/>
          <w:iCs w:val="false"/>
          <w:color w:val="auto"/>
          <w:sz w:val="24"/>
          <w:szCs w:val="24"/>
        </w:rPr>
        <w:t xml:space="preserve"> – Контрольные сроки обработки обращений.</w:t>
      </w:r>
    </w:p>
    <w:tbl>
      <w:tblPr>
        <w:tblW w:w="5000" w:type="pct"/>
        <w:jc w:val="start"/>
        <w:tblInd w:w="-34" w:type="dxa"/>
        <w:tblLayout w:type="fixed"/>
        <w:tblCellMar>
          <w:top w:w="0" w:type="dxa"/>
          <w:start w:w="108" w:type="dxa"/>
          <w:bottom w:w="0" w:type="dxa"/>
          <w:end w:w="108" w:type="dxa"/>
        </w:tblCellMar>
        <w:tblLook w:val="01e0" w:noHBand="0" w:noVBand="0" w:firstColumn="1" w:lastRow="1" w:lastColumn="1" w:firstRow="1"/>
      </w:tblPr>
      <w:tblGrid>
        <w:gridCol w:w="1752"/>
        <w:gridCol w:w="2176"/>
        <w:gridCol w:w="2482"/>
        <w:gridCol w:w="2340"/>
        <w:gridCol w:w="692"/>
        <w:gridCol w:w="1942"/>
        <w:gridCol w:w="1384"/>
        <w:gridCol w:w="1800"/>
      </w:tblGrid>
      <w:tr>
        <w:trPr>
          <w:tblHeader w:val="true"/>
          <w:trHeight w:val="338" w:hRule="atLeast"/>
          <w:cantSplit w:val="true"/>
        </w:trPr>
        <w:tc>
          <w:tcPr>
            <w:tcW w:w="175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pPr>
            <w:r>
              <w:rPr>
                <w:b/>
                <w:sz w:val="24"/>
                <w:szCs w:val="24"/>
              </w:rPr>
              <w:t>Тип обращения</w:t>
            </w:r>
          </w:p>
        </w:tc>
        <w:tc>
          <w:tcPr>
            <w:tcW w:w="21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
                <w:sz w:val="24"/>
                <w:szCs w:val="24"/>
              </w:rPr>
              <w:t>Тип оказания услуг</w:t>
            </w:r>
          </w:p>
        </w:tc>
        <w:tc>
          <w:tcPr>
            <w:tcW w:w="4822"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
                <w:sz w:val="24"/>
                <w:szCs w:val="24"/>
              </w:rPr>
              <w:t>Услуги</w:t>
            </w:r>
          </w:p>
        </w:tc>
        <w:tc>
          <w:tcPr>
            <w:tcW w:w="69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Batang"/>
                <w:b/>
                <w:sz w:val="24"/>
              </w:rPr>
              <w:t>Т1, мин</w:t>
            </w:r>
          </w:p>
        </w:tc>
        <w:tc>
          <w:tcPr>
            <w:tcW w:w="5126"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2"/>
              <w:jc w:val="center"/>
              <w:rPr/>
            </w:pPr>
            <w:r>
              <w:rPr>
                <w:b/>
                <w:sz w:val="24"/>
                <w:szCs w:val="24"/>
              </w:rPr>
              <w:t>Т2, мин</w:t>
            </w:r>
            <w:r>
              <w:rPr>
                <w:rStyle w:val="FootnoteReference"/>
                <w:b/>
                <w:sz w:val="24"/>
                <w:szCs w:val="24"/>
              </w:rPr>
              <w:footnoteReference w:id="2"/>
            </w:r>
          </w:p>
        </w:tc>
      </w:tr>
      <w:tr>
        <w:trPr>
          <w:tblHeader w:val="true"/>
          <w:trHeight w:val="465" w:hRule="atLeast"/>
          <w:cantSplit w:val="true"/>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b/>
                <w:sz w:val="24"/>
                <w:szCs w:val="24"/>
              </w:rPr>
            </w:pPr>
            <w:r>
              <w:rPr>
                <w:b/>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b/>
                <w:sz w:val="24"/>
                <w:szCs w:val="24"/>
              </w:rPr>
            </w:pPr>
            <w:r>
              <w:rPr>
                <w:b/>
                <w:sz w:val="24"/>
                <w:szCs w:val="24"/>
              </w:rPr>
            </w:r>
          </w:p>
        </w:tc>
        <w:tc>
          <w:tcPr>
            <w:tcW w:w="4822"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b/>
                <w:sz w:val="24"/>
                <w:szCs w:val="24"/>
              </w:rPr>
            </w:pPr>
            <w:r>
              <w:rPr>
                <w:b/>
                <w:sz w:val="24"/>
                <w:szCs w:val="24"/>
              </w:rPr>
            </w:r>
          </w:p>
        </w:tc>
        <w:tc>
          <w:tcPr>
            <w:tcW w:w="69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b/>
                <w:sz w:val="24"/>
                <w:szCs w:val="24"/>
              </w:rPr>
            </w:pPr>
            <w:r>
              <w:rPr>
                <w:b/>
                <w:sz w:val="24"/>
                <w:szCs w:val="24"/>
              </w:rPr>
            </w:r>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
                <w:sz w:val="24"/>
                <w:szCs w:val="24"/>
              </w:rPr>
              <w:t>Высокий</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
                <w:sz w:val="24"/>
                <w:szCs w:val="24"/>
              </w:rPr>
              <w:t>Средний</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
                <w:sz w:val="24"/>
                <w:szCs w:val="24"/>
              </w:rPr>
              <w:t>Стандартный</w:t>
            </w:r>
          </w:p>
        </w:tc>
      </w:tr>
      <w:tr>
        <w:trPr>
          <w:trHeight w:val="964" w:hRule="atLeast"/>
        </w:trPr>
        <w:tc>
          <w:tcPr>
            <w:tcW w:w="175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pPr>
            <w:r>
              <w:rPr>
                <w:spacing w:val="-6"/>
                <w:sz w:val="24"/>
                <w:szCs w:val="24"/>
              </w:rPr>
              <w:t>Запрос на консультацию</w:t>
            </w:r>
          </w:p>
        </w:tc>
        <w:tc>
          <w:tcPr>
            <w:tcW w:w="21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Консультирование пользователей</w:t>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Консультирование пользователей по вопросам использования функций СПО Системы</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90</w:t>
            </w:r>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180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t>450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t>600</w:t>
            </w:r>
          </w:p>
        </w:tc>
      </w:tr>
      <w:tr>
        <w:trPr>
          <w:trHeight w:val="96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Консультирование Заказчика по вопросам эксплуатации СПО Системы</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30</w:t>
            </w:r>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160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200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r>
      <w:tr>
        <w:trPr>
          <w:trHeight w:val="277"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Консультации пользователей</w:t>
            </w:r>
            <w:r>
              <w:rPr>
                <w:sz w:val="24"/>
                <w:szCs w:val="24"/>
              </w:rPr>
              <w:t>, требующие анализа и изменения настроек системы, аудита пользовательских данных</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75</w:t>
            </w:r>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2160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t>2700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t>4050</w:t>
            </w:r>
          </w:p>
        </w:tc>
      </w:tr>
      <w:tr>
        <w:trPr>
          <w:trHeight w:val="1202" w:hRule="atLeast"/>
        </w:trPr>
        <w:tc>
          <w:tcPr>
            <w:tcW w:w="175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pPr>
            <w:r>
              <w:rPr>
                <w:spacing w:val="-6"/>
                <w:sz w:val="24"/>
                <w:szCs w:val="24"/>
              </w:rPr>
              <w:t>Запрос на обслуживание</w:t>
            </w:r>
          </w:p>
        </w:tc>
        <w:tc>
          <w:tcPr>
            <w:tcW w:w="21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Обслуживание пользователей и ОС/ОПО/СПО Системы</w:t>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firstLine="17" w:start="0"/>
              <w:jc w:val="center"/>
              <w:rPr/>
            </w:pPr>
            <w:r>
              <w:rPr>
                <w:spacing w:val="-6"/>
                <w:sz w:val="24"/>
                <w:szCs w:val="24"/>
              </w:rPr>
              <w:t>Актуализация справочников и классификаторов Системы (из расчета на один справочник или классификатор)</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75</w:t>
            </w:r>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z w:val="24"/>
                <w:szCs w:val="24"/>
              </w:rPr>
              <w:t>1600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109" w:start="0"/>
              <w:jc w:val="center"/>
              <w:rPr/>
            </w:pPr>
            <w:r>
              <w:rPr>
                <w:bCs/>
                <w:sz w:val="24"/>
                <w:szCs w:val="24"/>
              </w:rPr>
              <w:t>недоступно</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357" w:start="0"/>
              <w:jc w:val="center"/>
              <w:rPr/>
            </w:pPr>
            <w:r>
              <w:rPr>
                <w:bCs/>
                <w:sz w:val="24"/>
                <w:szCs w:val="24"/>
              </w:rPr>
              <w:t>недоступно</w:t>
            </w:r>
          </w:p>
        </w:tc>
      </w:tr>
      <w:tr>
        <w:trPr>
          <w:trHeight w:val="96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Установка обновленных версий СПО, из расчета на каждое</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75</w:t>
            </w:r>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z w:val="24"/>
                <w:szCs w:val="24"/>
              </w:rPr>
              <w:t>1920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r>
      <w:tr>
        <w:trPr>
          <w:trHeight w:val="79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Установка обновленных версий ОПО, из расчета на каждое</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75</w:t>
            </w:r>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z w:val="24"/>
                <w:szCs w:val="24"/>
              </w:rPr>
              <w:t>1600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r>
      <w:tr>
        <w:trPr>
          <w:trHeight w:val="79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Установка обновлений на ОС, из расчета на каждую</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75</w:t>
            </w:r>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z w:val="24"/>
                <w:szCs w:val="24"/>
              </w:rPr>
              <w:t>1600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r>
      <w:tr>
        <w:trPr>
          <w:trHeight w:val="79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Внесение изменений в системные настройки СПО Системы, не изменяющие функционал СПО</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bookmarkStart w:id="149" w:name="_Toc184225228"/>
            <w:bookmarkStart w:id="150" w:name="_Toc177129933"/>
            <w:r>
              <w:rPr>
                <w:bCs/>
                <w:sz w:val="24"/>
                <w:szCs w:val="24"/>
              </w:rPr>
              <w:t>30</w:t>
            </w:r>
            <w:bookmarkEnd w:id="149"/>
            <w:bookmarkEnd w:id="150"/>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720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r>
      <w:tr>
        <w:trPr>
          <w:trHeight w:val="79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Внесение изменений в настройки ОПО Системы</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bookmarkStart w:id="151" w:name="_Toc177129934"/>
            <w:bookmarkStart w:id="152" w:name="_Toc184225229"/>
            <w:r>
              <w:rPr>
                <w:bCs/>
                <w:sz w:val="24"/>
                <w:szCs w:val="24"/>
              </w:rPr>
              <w:t>30</w:t>
            </w:r>
            <w:bookmarkEnd w:id="151"/>
            <w:bookmarkEnd w:id="152"/>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720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r>
      <w:tr>
        <w:trPr>
          <w:trHeight w:val="79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Внесение изменений в настройки ОС Системы</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bookmarkStart w:id="153" w:name="_Toc184225230"/>
            <w:bookmarkStart w:id="154" w:name="_Toc177129935"/>
            <w:r>
              <w:rPr>
                <w:bCs/>
                <w:sz w:val="24"/>
                <w:szCs w:val="24"/>
              </w:rPr>
              <w:t>30</w:t>
            </w:r>
            <w:bookmarkEnd w:id="153"/>
            <w:bookmarkEnd w:id="154"/>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720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r>
      <w:tr>
        <w:trPr>
          <w:trHeight w:val="96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Настройка и изменение параметров мониторинга доступности и работоспособности ОС/ОПО/СПО Системы</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bookmarkStart w:id="155" w:name="_Toc184225231"/>
            <w:bookmarkStart w:id="156" w:name="_Toc177129936"/>
            <w:r>
              <w:rPr>
                <w:bCs/>
                <w:sz w:val="24"/>
                <w:szCs w:val="24"/>
              </w:rPr>
              <w:t>30</w:t>
            </w:r>
            <w:bookmarkEnd w:id="155"/>
            <w:bookmarkEnd w:id="156"/>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720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r>
      <w:tr>
        <w:trPr>
          <w:trHeight w:val="96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Настройка и изменение параметров обслуживания ОС/ОПО/СПО Системы</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bookmarkStart w:id="157" w:name="_Toc177129937"/>
            <w:bookmarkStart w:id="158" w:name="_Toc184225232"/>
            <w:r>
              <w:rPr>
                <w:bCs/>
                <w:sz w:val="24"/>
                <w:szCs w:val="24"/>
              </w:rPr>
              <w:t>60</w:t>
            </w:r>
            <w:bookmarkEnd w:id="157"/>
            <w:bookmarkEnd w:id="158"/>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960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r>
      <w:tr>
        <w:trPr>
          <w:trHeight w:val="96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Настройка и изменение параметров резервного копирования ВМ Системы</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bookmarkStart w:id="159" w:name="_Toc184225233"/>
            <w:bookmarkStart w:id="160" w:name="_Toc177129938"/>
            <w:r>
              <w:rPr>
                <w:bCs/>
                <w:sz w:val="24"/>
                <w:szCs w:val="24"/>
              </w:rPr>
              <w:t>60</w:t>
            </w:r>
            <w:bookmarkEnd w:id="159"/>
            <w:bookmarkEnd w:id="160"/>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1920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недоступно</w:t>
            </w:r>
          </w:p>
        </w:tc>
      </w:tr>
      <w:tr>
        <w:trPr>
          <w:trHeight w:val="794"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spacing w:val="-6"/>
                <w:sz w:val="24"/>
                <w:szCs w:val="24"/>
              </w:rPr>
            </w:pPr>
            <w:r>
              <w:rPr>
                <w:spacing w:val="-6"/>
                <w:sz w:val="24"/>
                <w:szCs w:val="24"/>
              </w:rPr>
            </w:r>
          </w:p>
        </w:tc>
        <w:tc>
          <w:tcPr>
            <w:tcW w:w="48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Устранение дефектов в работе СПО Системы</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bookmarkStart w:id="161" w:name="_Toc177129939"/>
            <w:bookmarkStart w:id="162" w:name="_Toc184225234"/>
            <w:r>
              <w:rPr>
                <w:bCs/>
                <w:sz w:val="24"/>
                <w:szCs w:val="24"/>
              </w:rPr>
              <w:t>30</w:t>
            </w:r>
            <w:bookmarkEnd w:id="161"/>
            <w:bookmarkEnd w:id="162"/>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9600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9600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9600</w:t>
            </w:r>
          </w:p>
        </w:tc>
      </w:tr>
      <w:tr>
        <w:trPr>
          <w:trHeight w:val="333" w:hRule="atLeast"/>
        </w:trPr>
        <w:tc>
          <w:tcPr>
            <w:tcW w:w="175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0"/>
              <w:jc w:val="center"/>
              <w:rPr/>
            </w:pPr>
            <w:r>
              <w:rPr>
                <w:spacing w:val="-6"/>
                <w:sz w:val="24"/>
                <w:szCs w:val="24"/>
              </w:rPr>
              <w:t>Инцидент</w:t>
            </w:r>
          </w:p>
        </w:tc>
        <w:tc>
          <w:tcPr>
            <w:tcW w:w="21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Устранение инцидентов</w:t>
            </w:r>
          </w:p>
        </w:tc>
        <w:tc>
          <w:tcPr>
            <w:tcW w:w="248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Восстановление работоспособности Системы</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Критичный</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bookmarkStart w:id="163" w:name="_Toc177129940"/>
            <w:bookmarkStart w:id="164" w:name="_Toc184225235"/>
            <w:r>
              <w:rPr>
                <w:bCs/>
                <w:sz w:val="24"/>
                <w:szCs w:val="24"/>
              </w:rPr>
              <w:t>30</w:t>
            </w:r>
            <w:bookmarkEnd w:id="163"/>
            <w:bookmarkEnd w:id="164"/>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240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440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640</w:t>
            </w:r>
          </w:p>
        </w:tc>
      </w:tr>
      <w:tr>
        <w:trPr>
          <w:trHeight w:val="236"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57"/>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57"/>
              <w:jc w:val="center"/>
              <w:rPr>
                <w:spacing w:val="-6"/>
                <w:sz w:val="24"/>
                <w:szCs w:val="24"/>
              </w:rPr>
            </w:pPr>
            <w:r>
              <w:rPr>
                <w:spacing w:val="-6"/>
                <w:sz w:val="24"/>
                <w:szCs w:val="24"/>
              </w:rPr>
            </w:r>
          </w:p>
        </w:tc>
        <w:tc>
          <w:tcPr>
            <w:tcW w:w="248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57"/>
              <w:jc w:val="center"/>
              <w:rPr>
                <w:spacing w:val="-6"/>
                <w:sz w:val="24"/>
                <w:szCs w:val="24"/>
              </w:rPr>
            </w:pPr>
            <w:r>
              <w:rPr>
                <w:spacing w:val="-6"/>
                <w:sz w:val="24"/>
                <w:szCs w:val="24"/>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7"/>
              <w:jc w:val="center"/>
              <w:rPr/>
            </w:pPr>
            <w:r>
              <w:rPr>
                <w:spacing w:val="-6"/>
                <w:sz w:val="24"/>
                <w:szCs w:val="24"/>
              </w:rPr>
              <w:t>Высокий</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bookmarkStart w:id="165" w:name="_Toc184225236"/>
            <w:bookmarkStart w:id="166" w:name="_Toc177129941"/>
            <w:r>
              <w:rPr>
                <w:bCs/>
                <w:sz w:val="24"/>
                <w:szCs w:val="24"/>
              </w:rPr>
              <w:t>30</w:t>
            </w:r>
            <w:bookmarkEnd w:id="165"/>
            <w:bookmarkEnd w:id="166"/>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480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880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880</w:t>
            </w:r>
          </w:p>
        </w:tc>
      </w:tr>
      <w:tr>
        <w:trPr>
          <w:trHeight w:val="236" w:hRule="atLeast"/>
        </w:trPr>
        <w:tc>
          <w:tcPr>
            <w:tcW w:w="17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57"/>
              <w:jc w:val="center"/>
              <w:rPr>
                <w:spacing w:val="-6"/>
                <w:sz w:val="24"/>
                <w:szCs w:val="24"/>
              </w:rPr>
            </w:pPr>
            <w:r>
              <w:rPr>
                <w:spacing w:val="-6"/>
                <w:sz w:val="24"/>
                <w:szCs w:val="24"/>
              </w:rPr>
            </w:r>
          </w:p>
        </w:tc>
        <w:tc>
          <w:tcPr>
            <w:tcW w:w="21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57"/>
              <w:jc w:val="center"/>
              <w:rPr>
                <w:spacing w:val="-6"/>
                <w:sz w:val="24"/>
                <w:szCs w:val="24"/>
              </w:rPr>
            </w:pPr>
            <w:r>
              <w:rPr>
                <w:spacing w:val="-6"/>
                <w:sz w:val="24"/>
                <w:szCs w:val="24"/>
              </w:rPr>
            </w:r>
          </w:p>
        </w:tc>
        <w:tc>
          <w:tcPr>
            <w:tcW w:w="248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357"/>
              <w:jc w:val="center"/>
              <w:rPr>
                <w:spacing w:val="-6"/>
                <w:sz w:val="24"/>
                <w:szCs w:val="24"/>
              </w:rPr>
            </w:pPr>
            <w:r>
              <w:rPr>
                <w:spacing w:val="-6"/>
                <w:sz w:val="24"/>
                <w:szCs w:val="24"/>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spacing w:val="-6"/>
                <w:sz w:val="24"/>
                <w:szCs w:val="24"/>
              </w:rPr>
              <w:t>Стандартный</w:t>
            </w:r>
          </w:p>
        </w:tc>
        <w:tc>
          <w:tcPr>
            <w:tcW w:w="6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bookmarkStart w:id="167" w:name="_Toc184225237"/>
            <w:bookmarkStart w:id="168" w:name="_Toc177129942"/>
            <w:r>
              <w:rPr>
                <w:bCs/>
                <w:sz w:val="24"/>
                <w:szCs w:val="24"/>
              </w:rPr>
              <w:t>30</w:t>
            </w:r>
            <w:bookmarkEnd w:id="167"/>
            <w:bookmarkEnd w:id="168"/>
          </w:p>
        </w:tc>
        <w:tc>
          <w:tcPr>
            <w:tcW w:w="19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2400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2400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120" w:after="120"/>
              <w:ind w:hanging="0" w:start="0"/>
              <w:jc w:val="center"/>
              <w:rPr/>
            </w:pPr>
            <w:r>
              <w:rPr>
                <w:bCs/>
                <w:sz w:val="24"/>
                <w:szCs w:val="24"/>
              </w:rPr>
              <w:t>2400</w:t>
            </w:r>
          </w:p>
        </w:tc>
      </w:tr>
    </w:tbl>
    <w:p>
      <w:pPr>
        <w:sectPr>
          <w:headerReference w:type="even" r:id="rId31"/>
          <w:headerReference w:type="default" r:id="rId32"/>
          <w:headerReference w:type="first" r:id="rId33"/>
          <w:footerReference w:type="even" r:id="rId34"/>
          <w:footerReference w:type="default" r:id="rId35"/>
          <w:footerReference w:type="first" r:id="rId36"/>
          <w:footnotePr>
            <w:numFmt w:val="decimal"/>
          </w:footnotePr>
          <w:type w:val="nextPage"/>
          <w:pgSz w:orient="landscape" w:w="16838" w:h="11906"/>
          <w:pgMar w:left="1134" w:right="1134" w:gutter="0" w:header="709" w:top="1134" w:footer="709" w:bottom="851"/>
          <w:pgNumType w:fmt="decimal"/>
          <w:formProt w:val="false"/>
          <w:textDirection w:val="lrTb"/>
          <w:docGrid w:type="default" w:linePitch="299" w:charSpace="0"/>
        </w:sectPr>
      </w:pPr>
    </w:p>
    <w:p>
      <w:pPr>
        <w:pStyle w:val="33"/>
        <w:tabs>
          <w:tab w:val="clear" w:pos="1560"/>
        </w:tabs>
        <w:spacing w:lineRule="auto" w:line="240" w:before="0" w:after="0"/>
        <w:ind w:firstLine="709" w:start="0"/>
        <w:rPr>
          <w:rFonts w:ascii="Times New Roman" w:hAnsi="Times New Roman"/>
        </w:rPr>
      </w:pPr>
      <w:bookmarkStart w:id="169" w:name="__RefHeading___Toc33548_3559854210"/>
      <w:bookmarkStart w:id="170" w:name="_Toc215755892"/>
      <w:bookmarkStart w:id="171" w:name="_Toc177129093"/>
      <w:bookmarkEnd w:id="169"/>
      <w:r>
        <w:rPr>
          <w:rFonts w:ascii="Times New Roman" w:hAnsi="Times New Roman"/>
        </w:rPr>
        <w:t>Форма регистрации обращений</w:t>
      </w:r>
      <w:bookmarkEnd w:id="170"/>
      <w:bookmarkEnd w:id="171"/>
    </w:p>
    <w:p>
      <w:pPr>
        <w:pStyle w:val="Style44"/>
        <w:spacing w:lineRule="auto" w:line="240" w:before="240" w:after="0"/>
        <w:contextualSpacing/>
        <w:rPr>
          <w:szCs w:val="28"/>
        </w:rPr>
      </w:pPr>
      <w:r>
        <w:rPr>
          <w:szCs w:val="28"/>
        </w:rPr>
        <w:t>В каждом Обращении, зарегистрированном в СУТП, должна содержаться следующая информация:</w:t>
      </w:r>
    </w:p>
    <w:p>
      <w:pPr>
        <w:pStyle w:val="Normal"/>
        <w:spacing w:lineRule="auto" w:line="240" w:before="120" w:after="120"/>
        <w:ind w:hanging="425" w:start="1134"/>
        <w:contextualSpacing/>
        <w:rPr>
          <w:sz w:val="24"/>
          <w:szCs w:val="32"/>
        </w:rPr>
      </w:pPr>
      <w:r>
        <w:rPr>
          <w:sz w:val="24"/>
          <w:szCs w:val="32"/>
        </w:rPr>
        <w:t>–</w:t>
      </w:r>
      <w:r>
        <w:rPr>
          <w:sz w:val="24"/>
          <w:szCs w:val="32"/>
        </w:rPr>
        <w:tab/>
        <w:t>уникальный идентификатор (номер)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дата и время регистрации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тип обращения в соответствии с (</w:t>
      </w:r>
      <w:r>
        <w:rPr>
          <w:sz w:val="24"/>
          <w:szCs w:val="32"/>
        </w:rPr>
        <w:fldChar w:fldCharType="begin"/>
      </w:r>
      <w:r>
        <w:rPr>
          <w:sz w:val="24"/>
          <w:szCs w:val="32"/>
        </w:rPr>
        <w:instrText xml:space="preserve"> REF _Ref192516220 \h </w:instrText>
      </w:r>
      <w:r>
        <w:rPr>
          <w:sz w:val="24"/>
          <w:szCs w:val="32"/>
        </w:rPr>
        <w:fldChar w:fldCharType="separate"/>
      </w:r>
      <w:r>
        <w:rPr>
          <w:sz w:val="24"/>
          <w:szCs w:val="32"/>
        </w:rPr>
        <w:t>Таблица 20</w:t>
      </w:r>
      <w:r>
        <w:rPr>
          <w:sz w:val="24"/>
          <w:szCs w:val="32"/>
        </w:rPr>
        <w:fldChar w:fldCharType="end"/>
      </w:r>
      <w:r>
        <w:rPr>
          <w:sz w:val="24"/>
          <w:szCs w:val="32"/>
        </w:rPr>
        <w:t>);</w:t>
      </w:r>
    </w:p>
    <w:p>
      <w:pPr>
        <w:pStyle w:val="Normal"/>
        <w:spacing w:lineRule="auto" w:line="240" w:before="120" w:after="120"/>
        <w:ind w:hanging="425" w:start="1134"/>
        <w:contextualSpacing/>
        <w:rPr>
          <w:sz w:val="24"/>
          <w:szCs w:val="32"/>
        </w:rPr>
      </w:pPr>
      <w:r>
        <w:rPr>
          <w:sz w:val="24"/>
          <w:szCs w:val="32"/>
        </w:rPr>
        <w:t>–</w:t>
      </w:r>
      <w:r>
        <w:rPr>
          <w:sz w:val="24"/>
          <w:szCs w:val="32"/>
        </w:rPr>
        <w:tab/>
        <w:t>наименование Услуги в соответствии с (</w:t>
      </w:r>
      <w:r>
        <w:rPr>
          <w:sz w:val="24"/>
          <w:szCs w:val="32"/>
        </w:rPr>
        <w:fldChar w:fldCharType="begin"/>
      </w:r>
      <w:r>
        <w:rPr>
          <w:sz w:val="24"/>
          <w:szCs w:val="32"/>
        </w:rPr>
        <w:instrText xml:space="preserve"> REF _Ref192512928 \h </w:instrText>
      </w:r>
      <w:r>
        <w:rPr>
          <w:sz w:val="24"/>
          <w:szCs w:val="32"/>
        </w:rPr>
        <w:fldChar w:fldCharType="separate"/>
      </w:r>
      <w:r>
        <w:rPr>
          <w:sz w:val="24"/>
          <w:szCs w:val="32"/>
        </w:rPr>
        <w:t>Таблица 14</w:t>
      </w:r>
      <w:r>
        <w:rPr>
          <w:sz w:val="24"/>
          <w:szCs w:val="32"/>
        </w:rPr>
        <w:fldChar w:fldCharType="end"/>
      </w:r>
      <w:r>
        <w:rPr>
          <w:sz w:val="24"/>
          <w:szCs w:val="32"/>
        </w:rPr>
        <w:t>);</w:t>
      </w:r>
    </w:p>
    <w:p>
      <w:pPr>
        <w:pStyle w:val="Normal"/>
        <w:spacing w:lineRule="auto" w:line="240" w:before="120" w:after="120"/>
        <w:ind w:hanging="425" w:start="1134"/>
        <w:contextualSpacing/>
        <w:rPr>
          <w:sz w:val="24"/>
          <w:szCs w:val="32"/>
        </w:rPr>
      </w:pPr>
      <w:r>
        <w:rPr>
          <w:sz w:val="24"/>
          <w:szCs w:val="32"/>
        </w:rPr>
        <w:t>–</w:t>
      </w:r>
      <w:r>
        <w:rPr>
          <w:sz w:val="24"/>
          <w:szCs w:val="32"/>
        </w:rPr>
        <w:tab/>
        <w:t>приоритет Обращения в соответствии с (</w:t>
      </w:r>
      <w:r>
        <w:rPr>
          <w:sz w:val="24"/>
          <w:szCs w:val="32"/>
        </w:rPr>
        <w:fldChar w:fldCharType="begin"/>
      </w:r>
      <w:r>
        <w:rPr>
          <w:sz w:val="24"/>
          <w:szCs w:val="32"/>
        </w:rPr>
        <w:instrText xml:space="preserve"> REF _Ref192516220 \h </w:instrText>
      </w:r>
      <w:r>
        <w:rPr>
          <w:sz w:val="24"/>
          <w:szCs w:val="32"/>
        </w:rPr>
        <w:fldChar w:fldCharType="separate"/>
      </w:r>
      <w:r>
        <w:rPr>
          <w:sz w:val="24"/>
          <w:szCs w:val="32"/>
        </w:rPr>
        <w:t>Таблица 20</w:t>
      </w:r>
      <w:r>
        <w:rPr>
          <w:sz w:val="24"/>
          <w:szCs w:val="32"/>
        </w:rPr>
        <w:fldChar w:fldCharType="end"/>
      </w:r>
      <w:r>
        <w:rPr>
          <w:sz w:val="24"/>
          <w:szCs w:val="32"/>
        </w:rPr>
        <w:t xml:space="preserve"> и </w:t>
      </w:r>
      <w:r>
        <w:rPr>
          <w:sz w:val="24"/>
          <w:szCs w:val="32"/>
        </w:rPr>
        <w:fldChar w:fldCharType="begin"/>
      </w:r>
      <w:r>
        <w:rPr>
          <w:sz w:val="24"/>
          <w:szCs w:val="32"/>
        </w:rPr>
        <w:instrText xml:space="preserve"> REF _Ref192516398 \h </w:instrText>
      </w:r>
      <w:r>
        <w:rPr>
          <w:sz w:val="24"/>
          <w:szCs w:val="32"/>
        </w:rPr>
        <w:fldChar w:fldCharType="separate"/>
      </w:r>
      <w:r>
        <w:rPr>
          <w:sz w:val="24"/>
          <w:szCs w:val="32"/>
        </w:rPr>
        <w:t>Таблица 21</w:t>
      </w:r>
      <w:r>
        <w:rPr>
          <w:sz w:val="24"/>
          <w:szCs w:val="32"/>
        </w:rPr>
        <w:fldChar w:fldCharType="end"/>
      </w:r>
      <w:r>
        <w:rPr>
          <w:sz w:val="24"/>
          <w:szCs w:val="32"/>
        </w:rPr>
        <w:t>);</w:t>
      </w:r>
    </w:p>
    <w:p>
      <w:pPr>
        <w:pStyle w:val="Normal"/>
        <w:spacing w:lineRule="auto" w:line="240" w:before="120" w:after="120"/>
        <w:ind w:hanging="425" w:start="1134"/>
        <w:contextualSpacing/>
        <w:rPr>
          <w:sz w:val="24"/>
          <w:szCs w:val="32"/>
        </w:rPr>
      </w:pPr>
      <w:r>
        <w:rPr>
          <w:sz w:val="24"/>
          <w:szCs w:val="32"/>
        </w:rPr>
        <w:t>–</w:t>
      </w:r>
      <w:r>
        <w:rPr>
          <w:sz w:val="24"/>
          <w:szCs w:val="32"/>
        </w:rPr>
        <w:tab/>
        <w:t>текущий статус обработки Обращения в соответствии с (</w:t>
      </w:r>
      <w:r>
        <w:rPr>
          <w:sz w:val="24"/>
          <w:szCs w:val="32"/>
        </w:rPr>
        <w:fldChar w:fldCharType="begin"/>
      </w:r>
      <w:r>
        <w:rPr>
          <w:sz w:val="24"/>
          <w:szCs w:val="32"/>
        </w:rPr>
        <w:instrText xml:space="preserve"> REF _Ref192515902 \h </w:instrText>
      </w:r>
      <w:r>
        <w:rPr>
          <w:sz w:val="24"/>
          <w:szCs w:val="32"/>
        </w:rPr>
        <w:fldChar w:fldCharType="separate"/>
      </w:r>
      <w:r>
        <w:rPr>
          <w:sz w:val="24"/>
          <w:szCs w:val="32"/>
        </w:rPr>
        <w:t>Таблица 19</w:t>
      </w:r>
      <w:r>
        <w:rPr>
          <w:sz w:val="24"/>
          <w:szCs w:val="32"/>
        </w:rPr>
        <w:fldChar w:fldCharType="end"/>
      </w:r>
      <w:r>
        <w:rPr>
          <w:sz w:val="24"/>
          <w:szCs w:val="32"/>
        </w:rPr>
        <w:t>);</w:t>
      </w:r>
    </w:p>
    <w:p>
      <w:pPr>
        <w:pStyle w:val="Normal"/>
        <w:spacing w:lineRule="auto" w:line="240" w:before="120" w:after="120"/>
        <w:ind w:hanging="425" w:start="1134"/>
        <w:contextualSpacing/>
        <w:rPr>
          <w:sz w:val="24"/>
          <w:szCs w:val="32"/>
        </w:rPr>
      </w:pPr>
      <w:r>
        <w:rPr>
          <w:sz w:val="24"/>
          <w:szCs w:val="32"/>
        </w:rPr>
        <w:t>–</w:t>
      </w:r>
      <w:r>
        <w:rPr>
          <w:sz w:val="24"/>
          <w:szCs w:val="32"/>
        </w:rPr>
        <w:tab/>
        <w:t>организация (название или ИНН) Инициатора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ФИО Инициатора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контактные данные (почта или телефон) Инициатора Обращения.</w:t>
      </w:r>
    </w:p>
    <w:p>
      <w:pPr>
        <w:pStyle w:val="Style44"/>
        <w:spacing w:lineRule="auto" w:line="240"/>
        <w:rPr>
          <w:szCs w:val="32"/>
        </w:rPr>
      </w:pPr>
      <w:r>
        <w:rPr>
          <w:szCs w:val="32"/>
        </w:rPr>
        <w:t>При регистрации Обращения от пользователя Системы, не имеющего права на инициализацию операции, обращение может быть закрыто автоматически с оповещением Инициатора Обращения о необходимости обратиться к Заказчику (обращение закрывается по несоответствию предмету Договора, присваивается код завершения «Закрыто по несоответствию Договору»).</w:t>
      </w:r>
    </w:p>
    <w:p>
      <w:pPr>
        <w:pStyle w:val="Style44"/>
        <w:spacing w:lineRule="auto" w:line="240" w:before="0" w:after="240"/>
        <w:contextualSpacing/>
        <w:rPr>
          <w:szCs w:val="32"/>
        </w:rPr>
      </w:pPr>
      <w:r>
        <w:rPr>
          <w:szCs w:val="32"/>
        </w:rPr>
        <w:t>В обращениях с типом «Инцидент» указывается, в том числе, следующая информация:</w:t>
      </w:r>
    </w:p>
    <w:p>
      <w:pPr>
        <w:pStyle w:val="Normal"/>
        <w:spacing w:lineRule="auto" w:line="240" w:before="0" w:after="0"/>
        <w:ind w:hanging="425" w:start="1134"/>
        <w:contextualSpacing/>
        <w:rPr>
          <w:sz w:val="24"/>
          <w:szCs w:val="32"/>
        </w:rPr>
      </w:pPr>
      <w:r>
        <w:rPr>
          <w:sz w:val="24"/>
          <w:szCs w:val="32"/>
        </w:rPr>
        <w:t>–</w:t>
      </w:r>
      <w:r>
        <w:rPr>
          <w:sz w:val="24"/>
          <w:szCs w:val="32"/>
        </w:rPr>
        <w:tab/>
        <w:t>описание шагов, в результате выполнения, которых произошла ошибка/ проблема (история возникновения);</w:t>
      </w:r>
    </w:p>
    <w:p>
      <w:pPr>
        <w:pStyle w:val="Normal"/>
        <w:spacing w:lineRule="auto" w:line="240" w:before="0" w:after="0"/>
        <w:ind w:hanging="425" w:start="1134"/>
        <w:contextualSpacing/>
        <w:rPr>
          <w:sz w:val="24"/>
          <w:szCs w:val="32"/>
        </w:rPr>
      </w:pPr>
      <w:r>
        <w:rPr>
          <w:sz w:val="24"/>
          <w:szCs w:val="32"/>
        </w:rPr>
        <w:t>–</w:t>
      </w:r>
      <w:r>
        <w:rPr>
          <w:sz w:val="24"/>
          <w:szCs w:val="32"/>
        </w:rPr>
        <w:tab/>
        <w:t>снимки экрана с сообщением об ошибке (при наличии);</w:t>
      </w:r>
    </w:p>
    <w:p>
      <w:pPr>
        <w:pStyle w:val="Normal"/>
        <w:spacing w:lineRule="auto" w:line="240" w:before="0" w:after="120"/>
        <w:ind w:hanging="425" w:start="1134"/>
        <w:contextualSpacing/>
        <w:rPr>
          <w:sz w:val="24"/>
          <w:szCs w:val="32"/>
        </w:rPr>
      </w:pPr>
      <w:r>
        <w:rPr>
          <w:sz w:val="24"/>
          <w:szCs w:val="32"/>
        </w:rPr>
        <w:t>–</w:t>
      </w:r>
      <w:r>
        <w:rPr>
          <w:sz w:val="24"/>
          <w:szCs w:val="32"/>
        </w:rPr>
        <w:tab/>
        <w:t>информация о причинах смены приоритета (при наличии).</w:t>
      </w:r>
    </w:p>
    <w:p>
      <w:pPr>
        <w:pStyle w:val="Style44"/>
        <w:spacing w:lineRule="auto" w:line="240"/>
        <w:rPr>
          <w:szCs w:val="32"/>
        </w:rPr>
      </w:pPr>
      <w:r>
        <w:rPr>
          <w:szCs w:val="32"/>
        </w:rPr>
        <w:t>При необходимости уточнения информации, требуемой для обработки обращения, сотрудник СТП должен оперативно связаться с Инициатором Обращения любым из доступных способов.</w:t>
      </w:r>
    </w:p>
    <w:p>
      <w:pPr>
        <w:pStyle w:val="Style44"/>
        <w:spacing w:lineRule="auto" w:line="240" w:before="240" w:after="0"/>
        <w:contextualSpacing/>
        <w:rPr>
          <w:szCs w:val="32"/>
        </w:rPr>
      </w:pPr>
      <w:r>
        <w:rPr>
          <w:szCs w:val="32"/>
        </w:rPr>
        <w:t>При запросе Исполнителем обращения уточненной информации или невозможности Исполнителя связаться с Инициатором Обращения – Исполнитель может перевести обращение в статус «Приостановлено». При этом делается соответствующая отметка о невозможности Исполнителя связаться с Инициатором Обращения.</w:t>
      </w:r>
    </w:p>
    <w:p>
      <w:pPr>
        <w:pStyle w:val="Style44"/>
        <w:spacing w:lineRule="auto" w:line="240" w:before="240" w:after="0"/>
        <w:contextualSpacing/>
        <w:rPr>
          <w:szCs w:val="32"/>
        </w:rPr>
      </w:pPr>
      <w:r>
        <w:rPr>
          <w:szCs w:val="32"/>
        </w:rPr>
        <w:t>Возможными причинами перевода Обращения в статус «Приостановлено» могут быть необходимость:</w:t>
      </w:r>
    </w:p>
    <w:p>
      <w:pPr>
        <w:pStyle w:val="Normal"/>
        <w:spacing w:lineRule="auto" w:line="240" w:before="120" w:after="120"/>
        <w:ind w:hanging="425" w:start="1134"/>
        <w:contextualSpacing/>
        <w:rPr>
          <w:sz w:val="24"/>
          <w:szCs w:val="32"/>
        </w:rPr>
      </w:pPr>
      <w:r>
        <w:rPr>
          <w:sz w:val="24"/>
          <w:szCs w:val="32"/>
        </w:rPr>
        <w:t>–</w:t>
      </w:r>
      <w:r>
        <w:rPr>
          <w:sz w:val="24"/>
          <w:szCs w:val="32"/>
        </w:rPr>
        <w:tab/>
        <w:t>согласования с ответственными сотрудниками Заказчика выполнения операции или изменения типа и приоритета Обращения согласно п. 5.3.3ТЗ;</w:t>
      </w:r>
    </w:p>
    <w:p>
      <w:pPr>
        <w:pStyle w:val="Normal"/>
        <w:spacing w:lineRule="auto" w:line="240" w:before="120" w:after="120"/>
        <w:ind w:hanging="425" w:start="1134"/>
        <w:contextualSpacing/>
        <w:rPr>
          <w:sz w:val="24"/>
          <w:szCs w:val="32"/>
        </w:rPr>
      </w:pPr>
      <w:r>
        <w:rPr>
          <w:sz w:val="24"/>
          <w:szCs w:val="32"/>
        </w:rPr>
        <w:t>–</w:t>
      </w:r>
      <w:r>
        <w:rPr>
          <w:sz w:val="24"/>
          <w:szCs w:val="32"/>
        </w:rPr>
        <w:tab/>
        <w:t>получения дополнительной информации от Инициатора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выполнения технических процедур на продуктивном стенде Системы, которые могут быть выполнены только в Сервисное окно (</w:t>
      </w:r>
      <w:r>
        <w:rPr>
          <w:sz w:val="24"/>
          <w:szCs w:val="32"/>
        </w:rPr>
        <w:fldChar w:fldCharType="begin"/>
      </w:r>
      <w:r>
        <w:rPr>
          <w:sz w:val="24"/>
          <w:szCs w:val="32"/>
        </w:rPr>
        <w:instrText xml:space="preserve"> REF _Ref192512804 \h </w:instrText>
      </w:r>
      <w:r>
        <w:rPr>
          <w:sz w:val="24"/>
          <w:szCs w:val="32"/>
        </w:rPr>
        <w:fldChar w:fldCharType="separate"/>
      </w:r>
      <w:r>
        <w:rPr>
          <w:sz w:val="24"/>
          <w:szCs w:val="32"/>
        </w:rPr>
        <w:t>Таблица 13</w:t>
      </w:r>
      <w:r>
        <w:rPr>
          <w:sz w:val="24"/>
          <w:szCs w:val="32"/>
        </w:rPr>
        <w:fldChar w:fldCharType="end"/>
      </w:r>
      <w:r>
        <w:rPr>
          <w:sz w:val="24"/>
          <w:szCs w:val="32"/>
        </w:rPr>
        <w:t>).</w:t>
      </w:r>
    </w:p>
    <w:p>
      <w:pPr>
        <w:pStyle w:val="Style44"/>
        <w:spacing w:lineRule="auto" w:line="240" w:before="240" w:after="0"/>
        <w:contextualSpacing/>
        <w:rPr>
          <w:szCs w:val="32"/>
        </w:rPr>
      </w:pPr>
      <w:r>
        <w:rPr>
          <w:szCs w:val="32"/>
        </w:rPr>
        <w:t>При возникновении «спорных» обращений (Инициатор считает</w:t>
      </w:r>
      <w:r>
        <w:rPr/>
        <w:t xml:space="preserve"> </w:t>
      </w:r>
      <w:r>
        <w:rPr>
          <w:szCs w:val="32"/>
        </w:rPr>
        <w:t>не решено/не отработано, а Исполнитель считает, что обращение решено) Исполнитель формирует и направляет запрос на закрытие обращений.</w:t>
      </w:r>
    </w:p>
    <w:p>
      <w:pPr>
        <w:pStyle w:val="Style44"/>
        <w:spacing w:lineRule="auto" w:line="240" w:before="240" w:after="0"/>
        <w:contextualSpacing/>
        <w:rPr>
          <w:szCs w:val="32"/>
        </w:rPr>
      </w:pPr>
      <w:r>
        <w:rPr>
          <w:szCs w:val="32"/>
        </w:rPr>
        <w:t>Заказчик при получении запроса на закрытие «спорных» обращений в течение 2 (двух) рабочих дней осуществляет проверку обращений в статусе «В работе», содержащихся в запросе, и по результатам согласовывает закрытие обращений или направляет мотивированный отказ.</w:t>
      </w:r>
    </w:p>
    <w:p>
      <w:pPr>
        <w:pStyle w:val="Style44"/>
        <w:spacing w:lineRule="auto" w:line="240" w:before="240" w:after="0"/>
        <w:contextualSpacing/>
        <w:rPr>
          <w:szCs w:val="32"/>
        </w:rPr>
      </w:pPr>
      <w:r>
        <w:rPr>
          <w:szCs w:val="32"/>
        </w:rPr>
        <w:t>Обращение должно быть автоматически закрыто, если находится в статусе «Приостановлено» более 15 (пятнадцати) календарных дней с соответствующей отметкой в Журнале обращений пользователей.</w:t>
      </w:r>
    </w:p>
    <w:p>
      <w:pPr>
        <w:pStyle w:val="Style44"/>
        <w:spacing w:lineRule="auto" w:line="240" w:before="240" w:after="0"/>
        <w:contextualSpacing/>
        <w:rPr>
          <w:szCs w:val="32"/>
        </w:rPr>
      </w:pPr>
      <w:r>
        <w:rPr>
          <w:szCs w:val="32"/>
        </w:rPr>
        <w:t>При поступлении обращений по телефону специалисты СТП Исполнителя создают и регистрируют обращение в СУТП.</w:t>
      </w:r>
    </w:p>
    <w:p>
      <w:pPr>
        <w:pStyle w:val="Style44"/>
        <w:spacing w:lineRule="auto" w:line="240" w:before="240" w:after="0"/>
        <w:contextualSpacing/>
        <w:rPr>
          <w:szCs w:val="32"/>
        </w:rPr>
      </w:pPr>
      <w:r>
        <w:rPr>
          <w:szCs w:val="32"/>
        </w:rPr>
        <w:t>В процессе регистрации обращения должна быть сформирована следующая информация:</w:t>
      </w:r>
    </w:p>
    <w:p>
      <w:pPr>
        <w:pStyle w:val="Normal"/>
        <w:spacing w:lineRule="auto" w:line="240" w:before="120" w:after="120"/>
        <w:ind w:hanging="425" w:start="1134"/>
        <w:contextualSpacing/>
        <w:rPr>
          <w:sz w:val="24"/>
          <w:szCs w:val="32"/>
        </w:rPr>
      </w:pPr>
      <w:r>
        <w:rPr>
          <w:sz w:val="24"/>
          <w:szCs w:val="32"/>
        </w:rPr>
        <w:t>–</w:t>
      </w:r>
      <w:r>
        <w:rPr>
          <w:sz w:val="24"/>
          <w:szCs w:val="32"/>
        </w:rPr>
        <w:tab/>
        <w:t>уникальный идентификатор (номер)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дата и время регистрации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ФИО Инициатора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контактные данные (почта или телефон) Инициатора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организация (название или ИНН) Инициатора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тип обращения в соответствии с (</w:t>
      </w:r>
      <w:r>
        <w:rPr>
          <w:sz w:val="24"/>
          <w:szCs w:val="32"/>
        </w:rPr>
        <w:fldChar w:fldCharType="begin"/>
      </w:r>
      <w:r>
        <w:rPr>
          <w:sz w:val="24"/>
          <w:szCs w:val="32"/>
        </w:rPr>
        <w:instrText xml:space="preserve"> REF _Ref192516220 \h </w:instrText>
      </w:r>
      <w:r>
        <w:rPr>
          <w:sz w:val="24"/>
          <w:szCs w:val="32"/>
        </w:rPr>
        <w:fldChar w:fldCharType="separate"/>
      </w:r>
      <w:r>
        <w:rPr>
          <w:sz w:val="24"/>
          <w:szCs w:val="32"/>
        </w:rPr>
        <w:t>Таблица 20</w:t>
      </w:r>
      <w:r>
        <w:rPr>
          <w:sz w:val="24"/>
          <w:szCs w:val="32"/>
        </w:rPr>
        <w:fldChar w:fldCharType="end"/>
      </w:r>
      <w:r>
        <w:rPr>
          <w:sz w:val="24"/>
          <w:szCs w:val="32"/>
        </w:rPr>
        <w:t>);</w:t>
      </w:r>
    </w:p>
    <w:p>
      <w:pPr>
        <w:pStyle w:val="Normal"/>
        <w:spacing w:lineRule="auto" w:line="240" w:before="120" w:after="120"/>
        <w:ind w:hanging="425" w:start="1134"/>
        <w:contextualSpacing/>
        <w:rPr>
          <w:sz w:val="24"/>
          <w:szCs w:val="32"/>
        </w:rPr>
      </w:pPr>
      <w:r>
        <w:rPr>
          <w:sz w:val="24"/>
          <w:szCs w:val="32"/>
        </w:rPr>
        <w:t>–</w:t>
      </w:r>
      <w:r>
        <w:rPr>
          <w:sz w:val="24"/>
          <w:szCs w:val="32"/>
        </w:rPr>
        <w:tab/>
        <w:t>описание причины обращения;</w:t>
      </w:r>
    </w:p>
    <w:p>
      <w:pPr>
        <w:pStyle w:val="Normal"/>
        <w:spacing w:lineRule="auto" w:line="240" w:before="120" w:after="120"/>
        <w:ind w:hanging="425" w:start="1134"/>
        <w:contextualSpacing/>
        <w:rPr>
          <w:sz w:val="24"/>
          <w:szCs w:val="32"/>
        </w:rPr>
      </w:pPr>
      <w:r>
        <w:rPr>
          <w:sz w:val="24"/>
          <w:szCs w:val="32"/>
        </w:rPr>
        <w:t>–</w:t>
      </w:r>
      <w:r>
        <w:rPr>
          <w:sz w:val="24"/>
          <w:szCs w:val="32"/>
        </w:rPr>
        <w:tab/>
        <w:t>приоритет Обращения в соответствии с (</w:t>
      </w:r>
      <w:r>
        <w:rPr>
          <w:sz w:val="24"/>
          <w:szCs w:val="32"/>
        </w:rPr>
        <w:fldChar w:fldCharType="begin"/>
      </w:r>
      <w:r>
        <w:rPr>
          <w:sz w:val="24"/>
          <w:szCs w:val="32"/>
        </w:rPr>
        <w:instrText xml:space="preserve"> REF _Ref192516398 \h </w:instrText>
      </w:r>
      <w:r>
        <w:rPr>
          <w:sz w:val="24"/>
          <w:szCs w:val="32"/>
        </w:rPr>
        <w:fldChar w:fldCharType="separate"/>
      </w:r>
      <w:r>
        <w:rPr>
          <w:sz w:val="24"/>
          <w:szCs w:val="32"/>
        </w:rPr>
        <w:t>Таблица 21</w:t>
      </w:r>
      <w:r>
        <w:rPr>
          <w:sz w:val="24"/>
          <w:szCs w:val="32"/>
        </w:rPr>
        <w:fldChar w:fldCharType="end"/>
      </w:r>
      <w:r>
        <w:rPr>
          <w:sz w:val="24"/>
          <w:szCs w:val="32"/>
        </w:rPr>
        <w:t xml:space="preserve"> и </w:t>
      </w:r>
      <w:r>
        <w:rPr>
          <w:sz w:val="24"/>
          <w:szCs w:val="32"/>
        </w:rPr>
        <w:fldChar w:fldCharType="begin"/>
      </w:r>
      <w:r>
        <w:rPr>
          <w:sz w:val="24"/>
          <w:szCs w:val="32"/>
        </w:rPr>
        <w:instrText xml:space="preserve"> REF _Ref192577983 \h </w:instrText>
      </w:r>
      <w:r>
        <w:rPr>
          <w:sz w:val="24"/>
          <w:szCs w:val="32"/>
        </w:rPr>
        <w:fldChar w:fldCharType="separate"/>
      </w:r>
      <w:r>
        <w:rPr>
          <w:sz w:val="24"/>
          <w:szCs w:val="32"/>
        </w:rPr>
        <w:t>Таблица 22</w:t>
      </w:r>
      <w:r>
        <w:rPr>
          <w:sz w:val="24"/>
          <w:szCs w:val="32"/>
        </w:rPr>
        <w:fldChar w:fldCharType="end"/>
      </w:r>
      <w:r>
        <w:rPr>
          <w:sz w:val="24"/>
          <w:szCs w:val="32"/>
        </w:rPr>
        <w:t>);</w:t>
      </w:r>
    </w:p>
    <w:p>
      <w:pPr>
        <w:pStyle w:val="Style44"/>
        <w:spacing w:lineRule="auto" w:line="240"/>
        <w:rPr>
          <w:szCs w:val="32"/>
        </w:rPr>
      </w:pPr>
      <w:r>
        <w:rPr>
          <w:szCs w:val="32"/>
        </w:rPr>
        <w:t>После регистрации заявки, она приобретает статус «Зарегистрировано».</w:t>
      </w:r>
    </w:p>
    <w:p>
      <w:pPr>
        <w:pStyle w:val="Style44"/>
        <w:spacing w:lineRule="auto" w:line="240"/>
        <w:rPr>
          <w:szCs w:val="32"/>
        </w:rPr>
      </w:pPr>
      <w:r>
        <w:rPr>
          <w:szCs w:val="32"/>
        </w:rPr>
        <w:t>СТП Исполнителя при обработке обращений, поступающих по телефону, должна обеспечить соблюдение установленных параметров в соответствии с (</w:t>
      </w:r>
      <w:r>
        <w:rPr>
          <w:szCs w:val="32"/>
        </w:rPr>
        <w:fldChar w:fldCharType="begin"/>
      </w:r>
      <w:r>
        <w:rPr>
          <w:szCs w:val="32"/>
        </w:rPr>
        <w:instrText xml:space="preserve"> REF _Ref192581699 \h </w:instrText>
      </w:r>
      <w:r>
        <w:rPr>
          <w:szCs w:val="32"/>
        </w:rPr>
        <w:fldChar w:fldCharType="separate"/>
      </w:r>
      <w:r>
        <w:rPr>
          <w:szCs w:val="32"/>
        </w:rPr>
        <w:t>Таблица 23</w:t>
      </w:r>
      <w:r>
        <w:rPr>
          <w:szCs w:val="32"/>
        </w:rPr>
        <w:fldChar w:fldCharType="end"/>
      </w:r>
      <w:r>
        <w:rPr>
          <w:szCs w:val="32"/>
        </w:rPr>
        <w:t>).</w:t>
      </w:r>
    </w:p>
    <w:p>
      <w:pPr>
        <w:pStyle w:val="Caption"/>
        <w:rPr>
          <w:i w:val="false"/>
          <w:i w:val="false"/>
          <w:iCs w:val="false"/>
          <w:color w:val="auto"/>
          <w:sz w:val="24"/>
          <w:szCs w:val="24"/>
        </w:rPr>
      </w:pPr>
      <w:bookmarkStart w:id="172" w:name="_Ref192581699"/>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23</w:t>
      </w:r>
      <w:r>
        <w:rPr>
          <w:sz w:val="24"/>
          <w:i w:val="false"/>
          <w:szCs w:val="24"/>
          <w:iCs w:val="false"/>
          <w:color w:val="auto"/>
        </w:rPr>
        <w:fldChar w:fldCharType="end"/>
      </w:r>
      <w:bookmarkEnd w:id="172"/>
      <w:r>
        <w:rPr>
          <w:i w:val="false"/>
          <w:iCs w:val="false"/>
          <w:color w:val="auto"/>
          <w:sz w:val="24"/>
          <w:szCs w:val="24"/>
        </w:rPr>
        <w:t xml:space="preserve"> </w:t>
        <w:noBreakHyphen/>
        <w:t xml:space="preserve"> Параметры при обработке обращений, поступающих по телефону.</w:t>
      </w:r>
    </w:p>
    <w:tbl>
      <w:tblPr>
        <w:tblW w:w="9871"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555"/>
        <w:gridCol w:w="3340"/>
        <w:gridCol w:w="1427"/>
        <w:gridCol w:w="2220"/>
        <w:gridCol w:w="2329"/>
      </w:tblGrid>
      <w:tr>
        <w:trPr>
          <w:tblHeader w:val="true"/>
        </w:trPr>
        <w:tc>
          <w:tcPr>
            <w:tcW w:w="5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59" w:before="0" w:after="0"/>
              <w:ind w:hanging="0" w:start="0"/>
              <w:jc w:val="center"/>
              <w:rPr>
                <w:rFonts w:eastAsia="Calibri"/>
                <w:b/>
                <w:bCs/>
                <w:sz w:val="24"/>
                <w:szCs w:val="24"/>
              </w:rPr>
            </w:pPr>
            <w:r>
              <w:rPr>
                <w:rFonts w:eastAsia="Calibri"/>
                <w:b/>
                <w:bCs/>
                <w:sz w:val="24"/>
                <w:szCs w:val="24"/>
              </w:rPr>
              <w:t>№</w:t>
            </w:r>
          </w:p>
          <w:p>
            <w:pPr>
              <w:pStyle w:val="Normal"/>
              <w:spacing w:lineRule="auto" w:line="259" w:before="0" w:after="0"/>
              <w:ind w:hanging="0" w:start="0"/>
              <w:jc w:val="center"/>
              <w:rPr>
                <w:rFonts w:eastAsia="Calibri"/>
                <w:b/>
                <w:bCs/>
                <w:sz w:val="24"/>
                <w:szCs w:val="24"/>
              </w:rPr>
            </w:pPr>
            <w:r>
              <w:rPr>
                <w:rFonts w:eastAsia="Calibri"/>
                <w:b/>
                <w:bCs/>
                <w:sz w:val="24"/>
                <w:szCs w:val="24"/>
              </w:rPr>
              <w:t>п/п</w:t>
            </w:r>
          </w:p>
        </w:tc>
        <w:tc>
          <w:tcPr>
            <w:tcW w:w="33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59" w:before="0" w:after="160"/>
              <w:ind w:hanging="0" w:start="0"/>
              <w:jc w:val="center"/>
              <w:rPr>
                <w:rFonts w:eastAsia="Calibri"/>
                <w:b/>
                <w:bCs/>
                <w:sz w:val="24"/>
                <w:szCs w:val="24"/>
              </w:rPr>
            </w:pPr>
            <w:r>
              <w:rPr>
                <w:rFonts w:eastAsia="Calibri"/>
                <w:b/>
                <w:bCs/>
                <w:sz w:val="24"/>
                <w:szCs w:val="24"/>
              </w:rPr>
              <w:t>Параметр</w:t>
            </w:r>
          </w:p>
        </w:tc>
        <w:tc>
          <w:tcPr>
            <w:tcW w:w="14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59" w:before="0" w:after="160"/>
              <w:ind w:hanging="0" w:start="0"/>
              <w:jc w:val="center"/>
              <w:rPr>
                <w:rFonts w:eastAsia="Calibri"/>
                <w:b/>
                <w:bCs/>
                <w:sz w:val="24"/>
                <w:szCs w:val="24"/>
              </w:rPr>
            </w:pPr>
            <w:r>
              <w:rPr>
                <w:rFonts w:eastAsia="Calibri"/>
                <w:b/>
                <w:bCs/>
                <w:sz w:val="24"/>
                <w:szCs w:val="24"/>
              </w:rPr>
              <w:t>Значение</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59" w:before="0" w:after="160"/>
              <w:ind w:hanging="37" w:start="37"/>
              <w:jc w:val="center"/>
              <w:rPr>
                <w:rFonts w:eastAsia="Calibri"/>
                <w:b/>
                <w:bCs/>
                <w:sz w:val="24"/>
                <w:szCs w:val="24"/>
              </w:rPr>
            </w:pPr>
            <w:r>
              <w:rPr>
                <w:rFonts w:eastAsia="Calibri"/>
                <w:b/>
                <w:bCs/>
                <w:sz w:val="24"/>
                <w:szCs w:val="24"/>
              </w:rPr>
              <w:t>Ответственный</w:t>
            </w:r>
          </w:p>
        </w:tc>
        <w:tc>
          <w:tcPr>
            <w:tcW w:w="23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59" w:before="0" w:after="160"/>
              <w:ind w:hanging="0" w:start="0"/>
              <w:jc w:val="center"/>
              <w:rPr>
                <w:rFonts w:eastAsia="Calibri"/>
                <w:b/>
                <w:bCs/>
                <w:sz w:val="24"/>
                <w:szCs w:val="24"/>
              </w:rPr>
            </w:pPr>
            <w:r>
              <w:rPr>
                <w:rFonts w:eastAsia="Calibri"/>
                <w:b/>
                <w:bCs/>
                <w:sz w:val="24"/>
                <w:szCs w:val="24"/>
              </w:rPr>
              <w:t>Примечание</w:t>
            </w:r>
          </w:p>
        </w:tc>
      </w:tr>
      <w:tr>
        <w:trPr/>
        <w:tc>
          <w:tcPr>
            <w:tcW w:w="5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rPr>
            </w:pPr>
            <w:r>
              <w:rPr>
                <w:rFonts w:eastAsia="Batang"/>
                <w:sz w:val="24"/>
                <w:szCs w:val="24"/>
              </w:rPr>
              <w:t>1</w:t>
            </w:r>
          </w:p>
        </w:tc>
        <w:tc>
          <w:tcPr>
            <w:tcW w:w="33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rPr>
            </w:pPr>
            <w:r>
              <w:rPr>
                <w:rFonts w:eastAsia="Batang"/>
                <w:sz w:val="24"/>
                <w:szCs w:val="24"/>
              </w:rPr>
              <w:t>Максимальное время ожидания ответа по телефонной линии</w:t>
            </w:r>
          </w:p>
        </w:tc>
        <w:tc>
          <w:tcPr>
            <w:tcW w:w="14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rPr>
            </w:pPr>
            <w:r>
              <w:rPr>
                <w:rFonts w:eastAsia="Batang"/>
                <w:sz w:val="24"/>
                <w:szCs w:val="24"/>
              </w:rPr>
              <w:t>5 мин.</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37" w:start="37"/>
              <w:jc w:val="center"/>
              <w:rPr>
                <w:rFonts w:eastAsia="Batang"/>
                <w:sz w:val="24"/>
                <w:szCs w:val="24"/>
              </w:rPr>
            </w:pPr>
            <w:r>
              <w:rPr>
                <w:rFonts w:eastAsia="Batang"/>
                <w:sz w:val="24"/>
                <w:szCs w:val="24"/>
              </w:rPr>
              <w:t>СТП Исполнителя</w:t>
            </w:r>
          </w:p>
        </w:tc>
        <w:tc>
          <w:tcPr>
            <w:tcW w:w="23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rPr>
            </w:pPr>
            <w:r>
              <w:rPr>
                <w:rFonts w:eastAsia="Batang"/>
                <w:sz w:val="24"/>
                <w:szCs w:val="24"/>
              </w:rPr>
              <w:t>Не применяется для Заказчика</w:t>
            </w:r>
          </w:p>
        </w:tc>
      </w:tr>
      <w:tr>
        <w:trPr/>
        <w:tc>
          <w:tcPr>
            <w:tcW w:w="5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rPr>
            </w:pPr>
            <w:r>
              <w:rPr>
                <w:rFonts w:eastAsia="Batang"/>
                <w:sz w:val="24"/>
                <w:szCs w:val="24"/>
              </w:rPr>
              <w:t>2.</w:t>
            </w:r>
          </w:p>
        </w:tc>
        <w:tc>
          <w:tcPr>
            <w:tcW w:w="33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rPr>
            </w:pPr>
            <w:r>
              <w:rPr>
                <w:rFonts w:eastAsia="Batang"/>
                <w:sz w:val="24"/>
                <w:szCs w:val="24"/>
              </w:rPr>
              <w:t>Среднее время ожидания ответа по телефонной линии</w:t>
            </w:r>
          </w:p>
        </w:tc>
        <w:tc>
          <w:tcPr>
            <w:tcW w:w="14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rPr>
            </w:pPr>
            <w:r>
              <w:rPr>
                <w:rFonts w:eastAsia="Batang"/>
                <w:sz w:val="24"/>
                <w:szCs w:val="24"/>
              </w:rPr>
              <w:t>2 мин.</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37" w:start="37"/>
              <w:jc w:val="center"/>
              <w:rPr>
                <w:rFonts w:eastAsia="Batang"/>
                <w:sz w:val="24"/>
                <w:szCs w:val="24"/>
              </w:rPr>
            </w:pPr>
            <w:r>
              <w:rPr>
                <w:rFonts w:eastAsia="Batang"/>
                <w:sz w:val="24"/>
                <w:szCs w:val="24"/>
              </w:rPr>
              <w:t>СТП Исполнителя</w:t>
            </w:r>
          </w:p>
        </w:tc>
        <w:tc>
          <w:tcPr>
            <w:tcW w:w="23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rPr>
            </w:pPr>
            <w:r>
              <w:rPr>
                <w:rFonts w:eastAsia="Batang"/>
                <w:sz w:val="24"/>
                <w:szCs w:val="24"/>
              </w:rPr>
              <w:t>Не применяется для Заказчика</w:t>
            </w:r>
          </w:p>
        </w:tc>
      </w:tr>
    </w:tbl>
    <w:p>
      <w:pPr>
        <w:pStyle w:val="Style44"/>
        <w:spacing w:lineRule="auto" w:line="240"/>
        <w:rPr>
          <w:rFonts w:eastAsia="MS Mincho"/>
          <w:bCs/>
          <w:szCs w:val="24"/>
          <w:lang w:eastAsia="ko-KR"/>
        </w:rPr>
      </w:pPr>
      <w:r>
        <w:rPr>
          <w:rFonts w:eastAsia="MS Mincho"/>
          <w:bCs/>
          <w:szCs w:val="24"/>
          <w:lang w:eastAsia="ko-KR"/>
        </w:rPr>
      </w:r>
    </w:p>
    <w:p>
      <w:pPr>
        <w:pStyle w:val="33"/>
        <w:tabs>
          <w:tab w:val="clear" w:pos="1560"/>
        </w:tabs>
        <w:spacing w:lineRule="auto" w:line="240" w:before="0" w:after="240"/>
        <w:ind w:firstLine="709" w:start="0"/>
        <w:rPr>
          <w:rFonts w:eastAsia="MS Mincho" w:hint="eastAsia"/>
          <w:bCs/>
          <w:szCs w:val="24"/>
          <w:lang w:eastAsia="ko-KR"/>
        </w:rPr>
      </w:pPr>
      <w:bookmarkStart w:id="173" w:name="__RefHeading___Toc33550_3559854210"/>
      <w:bookmarkStart w:id="174" w:name="_Toc215755893"/>
      <w:bookmarkStart w:id="175" w:name="_Toc177129094"/>
      <w:bookmarkEnd w:id="173"/>
      <w:r>
        <w:rPr>
          <w:rFonts w:ascii="Times New Roman" w:hAnsi="Times New Roman"/>
        </w:rPr>
        <w:t>Порядок выполнения регулярных работ</w:t>
      </w:r>
      <w:bookmarkEnd w:id="174"/>
      <w:bookmarkEnd w:id="175"/>
    </w:p>
    <w:p>
      <w:pPr>
        <w:sectPr>
          <w:headerReference w:type="even" r:id="rId37"/>
          <w:headerReference w:type="default" r:id="rId38"/>
          <w:headerReference w:type="first" r:id="rId39"/>
          <w:footerReference w:type="even" r:id="rId40"/>
          <w:footerReference w:type="default" r:id="rId41"/>
          <w:footerReference w:type="first" r:id="rId42"/>
          <w:footnotePr>
            <w:numFmt w:val="decimal"/>
          </w:footnotePr>
          <w:type w:val="nextPage"/>
          <w:pgSz w:w="11906" w:h="16838"/>
          <w:pgMar w:left="1134" w:right="851" w:gutter="0" w:header="709" w:top="1134" w:footer="709" w:bottom="1134"/>
          <w:pgNumType w:fmt="decimal"/>
          <w:formProt w:val="false"/>
          <w:textDirection w:val="lrTb"/>
          <w:docGrid w:type="default" w:linePitch="299" w:charSpace="0"/>
        </w:sectPr>
        <w:pStyle w:val="Style44"/>
        <w:spacing w:lineRule="auto" w:line="240" w:before="0" w:after="240"/>
        <w:contextualSpacing/>
        <w:rPr>
          <w:rFonts w:eastAsia="MS Mincho"/>
          <w:bCs/>
          <w:szCs w:val="24"/>
          <w:lang w:eastAsia="ko-KR"/>
        </w:rPr>
      </w:pPr>
      <w:r>
        <w:rPr>
          <w:rFonts w:eastAsia="MS Mincho"/>
          <w:bCs/>
          <w:szCs w:val="24"/>
          <w:lang w:eastAsia="ko-KR"/>
        </w:rPr>
        <w:t>В рамках выполнения работ по обслуживанию ОС/ОПО и СПО Системы ответственный Исполнителя за выполнение функции (задачи) СТП выполняет установленный перечень операций, приведенный в (</w:t>
      </w:r>
      <w:r>
        <w:rPr>
          <w:rFonts w:eastAsia="MS Mincho"/>
          <w:bCs/>
          <w:szCs w:val="24"/>
          <w:lang w:eastAsia="ko-KR"/>
        </w:rPr>
        <w:fldChar w:fldCharType="begin"/>
      </w:r>
      <w:r>
        <w:rPr>
          <w:szCs w:val="24"/>
          <w:bCs/>
          <w:rFonts w:eastAsia="MS Mincho"/>
          <w:lang w:eastAsia="ko-KR"/>
        </w:rPr>
        <w:instrText xml:space="preserve"> REF _Ref192581977 \h </w:instrText>
      </w:r>
      <w:r>
        <w:rPr>
          <w:szCs w:val="24"/>
          <w:bCs/>
          <w:rFonts w:eastAsia="MS Mincho"/>
          <w:lang w:eastAsia="ko-KR"/>
        </w:rPr>
        <w:fldChar w:fldCharType="separate"/>
      </w:r>
      <w:r>
        <w:rPr>
          <w:szCs w:val="24"/>
          <w:bCs/>
          <w:rFonts w:eastAsia="MS Mincho"/>
          <w:lang w:eastAsia="ko-KR"/>
        </w:rPr>
        <w:t>Таблица 24</w:t>
      </w:r>
      <w:r>
        <w:rPr>
          <w:szCs w:val="24"/>
          <w:bCs/>
          <w:rFonts w:eastAsia="MS Mincho"/>
          <w:lang w:eastAsia="ko-KR"/>
        </w:rPr>
        <w:fldChar w:fldCharType="end"/>
      </w:r>
      <w:r>
        <w:rPr>
          <w:rFonts w:eastAsia="MS Mincho"/>
          <w:bCs/>
          <w:szCs w:val="24"/>
          <w:lang w:eastAsia="ko-KR"/>
        </w:rPr>
        <w:t>).</w:t>
      </w:r>
    </w:p>
    <w:p>
      <w:pPr>
        <w:pStyle w:val="Caption"/>
        <w:rPr>
          <w:rFonts w:eastAsia="MS Mincho"/>
          <w:bCs/>
          <w:i w:val="false"/>
          <w:i w:val="false"/>
          <w:iCs w:val="false"/>
          <w:color w:val="auto"/>
          <w:sz w:val="24"/>
          <w:szCs w:val="24"/>
          <w:lang w:eastAsia="ko-KR"/>
        </w:rPr>
      </w:pPr>
      <w:bookmarkStart w:id="176" w:name="_Ref192581977"/>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24</w:t>
      </w:r>
      <w:r>
        <w:rPr>
          <w:sz w:val="24"/>
          <w:i w:val="false"/>
          <w:szCs w:val="24"/>
          <w:iCs w:val="false"/>
          <w:color w:val="auto"/>
        </w:rPr>
        <w:fldChar w:fldCharType="end"/>
      </w:r>
      <w:bookmarkEnd w:id="176"/>
      <w:r>
        <w:rPr>
          <w:rFonts w:eastAsia="MS Mincho"/>
          <w:bCs/>
          <w:i w:val="false"/>
          <w:iCs w:val="false"/>
          <w:color w:val="auto"/>
          <w:sz w:val="24"/>
          <w:szCs w:val="24"/>
          <w:lang w:eastAsia="ko-KR"/>
        </w:rPr>
        <w:t xml:space="preserve"> – Перечень операций по обслуживанию ОС/ОПО и СПО Системы.</w:t>
      </w:r>
    </w:p>
    <w:tbl>
      <w:tblPr>
        <w:tblStyle w:val="GR2"/>
        <w:tblW w:w="49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839"/>
        <w:gridCol w:w="10019"/>
        <w:gridCol w:w="3420"/>
      </w:tblGrid>
      <w:tr>
        <w:trPr>
          <w:tblHeader w:val="true"/>
          <w:trHeight w:val="303" w:hRule="atLeast"/>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b/>
                <w:kern w:val="0"/>
                <w:sz w:val="24"/>
                <w:szCs w:val="24"/>
                <w:lang w:val="ru-RU" w:bidi="ar-SA"/>
              </w:rPr>
              <w:t>№</w:t>
            </w:r>
          </w:p>
          <w:p>
            <w:pPr>
              <w:pStyle w:val="Normal"/>
              <w:widowControl/>
              <w:suppressAutoHyphens w:val="true"/>
              <w:spacing w:lineRule="auto" w:line="240" w:before="0" w:after="0"/>
              <w:ind w:hanging="0" w:start="0"/>
              <w:jc w:val="center"/>
              <w:rPr>
                <w:rFonts w:ascii="Calibri" w:hAnsi="Calibri" w:eastAsia="Batang"/>
              </w:rPr>
            </w:pPr>
            <w:r>
              <w:rPr>
                <w:rFonts w:eastAsia="Batang" w:cs="Times New Roman"/>
                <w:b/>
                <w:kern w:val="0"/>
                <w:sz w:val="24"/>
                <w:szCs w:val="24"/>
                <w:lang w:val="ru-RU" w:bidi="ar-SA"/>
              </w:rPr>
              <w:t>п.п.</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b/>
                <w:kern w:val="0"/>
                <w:sz w:val="24"/>
                <w:szCs w:val="24"/>
                <w:lang w:val="ru-RU" w:bidi="ar-SA"/>
              </w:rPr>
              <w:t>Перечень операций</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b/>
                <w:kern w:val="0"/>
                <w:sz w:val="24"/>
                <w:szCs w:val="24"/>
                <w:lang w:val="ru-RU" w:bidi="ar-SA"/>
              </w:rPr>
              <w:t>Периодичность</w:t>
            </w:r>
          </w:p>
        </w:tc>
      </w:tr>
      <w:tr>
        <w:trPr/>
        <w:tc>
          <w:tcPr>
            <w:tcW w:w="14278" w:type="dxa"/>
            <w:gridSpan w:val="3"/>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b/>
                <w:kern w:val="0"/>
                <w:sz w:val="24"/>
                <w:szCs w:val="24"/>
                <w:lang w:val="ru-RU" w:bidi="ar-SA"/>
              </w:rPr>
              <w:t>Регулярные операции</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Резервное копирование баз данных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в соответствии с Регламентом резервного копирования</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2.</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Резервное копирование конфигурационных файлов СПО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Еженедельно</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3.</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Резервное копирование исполняемых файлов Сервера СУБД и Сервера приложений</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Еженедельно</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4.</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Проверка целостности резервной копии базы данных СПО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Еженедельно</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5.</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Проверка целостности резервной копии конфигурационных файлов СПО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Еженедельно</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6.</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Проверка целостности исполняемых файлов Сервера СУБД и Сервера приложений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Еженедельно</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7.</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Архивация журналов (логов) операционной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2 раза в месяц</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8.</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Архивация системных журналов (логов) СУБД</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2 раза в месяц</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9.</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Архивация журналов (логов) сервера приложений</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2 раза в месяц</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10.</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Удаление временных файлов ОПО и СПО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2 раза в месяц</w:t>
            </w:r>
          </w:p>
        </w:tc>
      </w:tr>
      <w:tr>
        <w:trPr/>
        <w:tc>
          <w:tcPr>
            <w:tcW w:w="14278" w:type="dxa"/>
            <w:gridSpan w:val="3"/>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b/>
                <w:kern w:val="0"/>
                <w:sz w:val="24"/>
                <w:szCs w:val="24"/>
                <w:lang w:val="ru-RU" w:bidi="ar-SA"/>
              </w:rPr>
              <w:t>Прочие (нерегулярные) операции</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11.</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Установка обновлений операционной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по необходимости</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12.</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Изменение настроек операционной системы серверов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при начальной настройке</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13.</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Изменение настроек СУБД</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при начальной настройке</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14.</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Изменение настроек сервера приложений</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при начальной настройке</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15.</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Изменение настроек СПО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при начальной настройке</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16.</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Установка обновлений ОПО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по необходимости</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17.</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Установка обновлений СПО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по необходимости</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18.</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Внесение изменений в настройки ОС/ОПО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по необходимости</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19.</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Внесение изменений в настройки СПО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по необходимости</w:t>
            </w:r>
          </w:p>
        </w:tc>
      </w:tr>
      <w:tr>
        <w:trPr/>
        <w:tc>
          <w:tcPr>
            <w:tcW w:w="83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20.</w:t>
            </w:r>
          </w:p>
        </w:tc>
        <w:tc>
          <w:tcPr>
            <w:tcW w:w="10019"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Актуализация справочников, классификаторов Системы</w:t>
            </w:r>
          </w:p>
        </w:tc>
        <w:tc>
          <w:tcPr>
            <w:tcW w:w="3420" w:type="dxa"/>
            <w:tcBorders/>
            <w:vAlign w:val="center"/>
          </w:tcPr>
          <w:p>
            <w:pPr>
              <w:pStyle w:val="Normal"/>
              <w:widowControl/>
              <w:suppressAutoHyphens w:val="true"/>
              <w:spacing w:lineRule="auto" w:line="240" w:before="0" w:after="0"/>
              <w:ind w:hanging="0" w:start="0"/>
              <w:jc w:val="center"/>
              <w:rPr>
                <w:rFonts w:ascii="Calibri" w:hAnsi="Calibri" w:eastAsia="Batang"/>
              </w:rPr>
            </w:pPr>
            <w:r>
              <w:rPr>
                <w:rFonts w:eastAsia="Batang" w:cs="Times New Roman"/>
                <w:kern w:val="0"/>
                <w:sz w:val="24"/>
                <w:szCs w:val="24"/>
                <w:lang w:val="ru-RU" w:bidi="ar-SA"/>
              </w:rPr>
              <w:t>по необходимости</w:t>
            </w:r>
            <w:bookmarkStart w:id="177" w:name="_Hlk175488983"/>
            <w:bookmarkEnd w:id="177"/>
          </w:p>
        </w:tc>
      </w:tr>
    </w:tbl>
    <w:p>
      <w:pPr>
        <w:sectPr>
          <w:headerReference w:type="even" r:id="rId43"/>
          <w:headerReference w:type="default" r:id="rId44"/>
          <w:headerReference w:type="first" r:id="rId45"/>
          <w:footerReference w:type="even" r:id="rId46"/>
          <w:footerReference w:type="default" r:id="rId47"/>
          <w:footerReference w:type="first" r:id="rId48"/>
          <w:footnotePr>
            <w:numFmt w:val="decimal"/>
          </w:footnotePr>
          <w:type w:val="nextPage"/>
          <w:pgSz w:orient="landscape" w:w="16838" w:h="11906"/>
          <w:pgMar w:left="1134" w:right="1134" w:gutter="0" w:header="709" w:top="1134" w:footer="709" w:bottom="851"/>
          <w:pgNumType w:fmt="decimal"/>
          <w:formProt w:val="false"/>
          <w:textDirection w:val="lrTb"/>
          <w:docGrid w:type="default" w:linePitch="299" w:charSpace="0"/>
        </w:sectPr>
      </w:pPr>
    </w:p>
    <w:p>
      <w:pPr>
        <w:pStyle w:val="26"/>
        <w:spacing w:lineRule="auto" w:line="240"/>
        <w:ind w:firstLine="709" w:start="0"/>
        <w:rPr>
          <w:rFonts w:ascii="Times New Roman" w:hAnsi="Times New Roman"/>
          <w:szCs w:val="24"/>
        </w:rPr>
      </w:pPr>
      <w:bookmarkStart w:id="178" w:name="__RefHeading___Toc33552_3559854210"/>
      <w:bookmarkStart w:id="179" w:name="_Toc215755894"/>
      <w:bookmarkStart w:id="180" w:name="_Toc177129095"/>
      <w:bookmarkEnd w:id="178"/>
      <w:r>
        <w:rPr>
          <w:rFonts w:ascii="Times New Roman" w:hAnsi="Times New Roman"/>
          <w:szCs w:val="24"/>
        </w:rPr>
        <w:t>Требования к оказанию конкретных услуг</w:t>
      </w:r>
      <w:bookmarkEnd w:id="179"/>
      <w:bookmarkEnd w:id="180"/>
    </w:p>
    <w:p>
      <w:pPr>
        <w:pStyle w:val="33"/>
        <w:spacing w:lineRule="auto" w:line="240" w:before="0" w:after="0"/>
        <w:ind w:firstLine="709" w:start="0"/>
        <w:rPr>
          <w:rFonts w:ascii="Times New Roman" w:hAnsi="Times New Roman"/>
        </w:rPr>
      </w:pPr>
      <w:bookmarkStart w:id="181" w:name="__RefHeading___Toc33554_3559854210"/>
      <w:bookmarkStart w:id="182" w:name="_Toc177129096"/>
      <w:bookmarkStart w:id="183" w:name="_Toc215755895"/>
      <w:bookmarkEnd w:id="181"/>
      <w:r>
        <w:rPr>
          <w:rFonts w:ascii="Times New Roman" w:hAnsi="Times New Roman"/>
        </w:rPr>
        <w:t>Информационно-консультационная поддержка пользователей Системы</w:t>
      </w:r>
      <w:bookmarkEnd w:id="182"/>
      <w:bookmarkEnd w:id="183"/>
    </w:p>
    <w:p>
      <w:pPr>
        <w:pStyle w:val="Heading4"/>
        <w:tabs>
          <w:tab w:val="clear" w:pos="284"/>
          <w:tab w:val="clear" w:pos="568"/>
          <w:tab w:val="clear" w:pos="851"/>
          <w:tab w:val="clear" w:pos="1418"/>
          <w:tab w:val="clear" w:pos="1701"/>
          <w:tab w:val="clear" w:pos="1985"/>
        </w:tabs>
        <w:spacing w:lineRule="auto" w:line="240" w:before="120" w:after="120"/>
        <w:ind w:firstLine="709" w:start="0"/>
        <w:rPr>
          <w:rFonts w:eastAsia="MS Gothic"/>
          <w:b/>
          <w:sz w:val="24"/>
          <w:szCs w:val="24"/>
          <w:lang w:eastAsia="en-US"/>
        </w:rPr>
      </w:pPr>
      <w:bookmarkStart w:id="184" w:name="_Toc177129097"/>
      <w:bookmarkStart w:id="185" w:name="_Hlk177130847"/>
      <w:r>
        <w:rPr>
          <w:rFonts w:eastAsia="MS Gothic"/>
          <w:b/>
          <w:sz w:val="24"/>
          <w:szCs w:val="24"/>
          <w:lang w:eastAsia="en-US"/>
        </w:rPr>
        <w:t>5.4.1.1 Требования к услугам по консультированию пользователей</w:t>
      </w:r>
      <w:bookmarkEnd w:id="184"/>
      <w:bookmarkEnd w:id="185"/>
    </w:p>
    <w:p>
      <w:pPr>
        <w:pStyle w:val="Style44"/>
        <w:spacing w:lineRule="auto" w:line="240" w:before="0" w:after="240"/>
        <w:contextualSpacing/>
        <w:rPr>
          <w:rFonts w:eastAsia="MS Mincho"/>
          <w:bCs/>
          <w:szCs w:val="24"/>
          <w:lang w:eastAsia="ko-KR"/>
        </w:rPr>
      </w:pPr>
      <w:r>
        <w:rPr>
          <w:rFonts w:eastAsia="MS Mincho"/>
          <w:bCs/>
          <w:szCs w:val="24"/>
          <w:lang w:eastAsia="ko-KR"/>
        </w:rPr>
        <w:t>В процессе выполнения услуг Исполнитель должен обеспечить выполнение следующих операций:</w:t>
      </w:r>
    </w:p>
    <w:p>
      <w:pPr>
        <w:pStyle w:val="Style44"/>
        <w:spacing w:lineRule="auto" w:line="240" w:before="240" w:after="240"/>
        <w:contextualSpacing/>
        <w:rPr>
          <w:rFonts w:eastAsia="MS Mincho"/>
          <w:bCs/>
          <w:szCs w:val="24"/>
          <w:lang w:eastAsia="ko-KR"/>
        </w:rPr>
      </w:pPr>
      <w:r>
        <w:rPr>
          <w:rFonts w:eastAsia="MS Mincho"/>
          <w:bCs/>
          <w:szCs w:val="24"/>
          <w:lang w:eastAsia="ko-KR"/>
        </w:rPr>
        <w:t>–</w:t>
      </w:r>
      <w:r>
        <w:rPr>
          <w:rFonts w:eastAsia="MS Mincho"/>
          <w:bCs/>
          <w:szCs w:val="24"/>
          <w:lang w:eastAsia="ko-KR"/>
        </w:rPr>
        <w:tab/>
        <w:t>консультирование всех пользователей Системы по вопросам использования функций СПО Системы;</w:t>
      </w:r>
    </w:p>
    <w:p>
      <w:pPr>
        <w:pStyle w:val="Style44"/>
        <w:spacing w:lineRule="auto" w:line="240" w:before="240" w:after="240"/>
        <w:contextualSpacing/>
        <w:rPr>
          <w:rFonts w:eastAsia="MS Mincho"/>
          <w:bCs/>
          <w:szCs w:val="24"/>
          <w:lang w:eastAsia="ko-KR"/>
        </w:rPr>
      </w:pPr>
      <w:r>
        <w:rPr>
          <w:rFonts w:eastAsia="MS Mincho"/>
          <w:bCs/>
          <w:szCs w:val="24"/>
          <w:lang w:eastAsia="ko-KR"/>
        </w:rPr>
        <w:t>–</w:t>
      </w:r>
      <w:r>
        <w:rPr>
          <w:rFonts w:eastAsia="MS Mincho"/>
          <w:bCs/>
          <w:szCs w:val="24"/>
          <w:lang w:eastAsia="ko-KR"/>
        </w:rPr>
        <w:tab/>
        <w:t>консультирование ответственных специалистов Заказчика, информация по которым предоставляется Исполнителю в рамках подраздела 5.3ТЗ, по вопросам использования функций и эксплуатации СПО Системы;</w:t>
      </w:r>
    </w:p>
    <w:p>
      <w:pPr>
        <w:pStyle w:val="Style44"/>
        <w:spacing w:lineRule="auto" w:line="240" w:before="240" w:after="240"/>
        <w:contextualSpacing/>
        <w:rPr>
          <w:rFonts w:eastAsia="MS Mincho"/>
          <w:bCs/>
          <w:szCs w:val="24"/>
          <w:lang w:eastAsia="ko-KR"/>
        </w:rPr>
      </w:pPr>
      <w:r>
        <w:rPr>
          <w:rFonts w:eastAsia="MS Mincho"/>
          <w:bCs/>
          <w:szCs w:val="24"/>
          <w:lang w:eastAsia="ko-KR"/>
        </w:rPr>
        <w:t>–</w:t>
      </w:r>
      <w:r>
        <w:rPr>
          <w:rFonts w:eastAsia="MS Mincho"/>
          <w:bCs/>
          <w:szCs w:val="24"/>
          <w:lang w:eastAsia="ko-KR"/>
        </w:rPr>
        <w:tab/>
        <w:t>передачу обращений пользователей в работу ответственным сотрудникам Заказчика, в случае необходимости получения дополнительной информации от Заказчика или выполнения действий сотрудниками Заказчика для решения обращений;</w:t>
      </w:r>
    </w:p>
    <w:p>
      <w:pPr>
        <w:pStyle w:val="Style44"/>
        <w:spacing w:lineRule="auto" w:line="240" w:before="240" w:after="240"/>
        <w:contextualSpacing/>
        <w:rPr>
          <w:rFonts w:eastAsia="MS Mincho"/>
          <w:bCs/>
          <w:szCs w:val="24"/>
          <w:lang w:eastAsia="ko-KR"/>
        </w:rPr>
      </w:pPr>
      <w:r>
        <w:rPr>
          <w:rFonts w:eastAsia="MS Mincho"/>
          <w:bCs/>
          <w:szCs w:val="24"/>
          <w:lang w:eastAsia="ko-KR"/>
        </w:rPr>
        <w:t>–</w:t>
      </w:r>
      <w:r>
        <w:rPr>
          <w:rFonts w:eastAsia="MS Mincho"/>
          <w:bCs/>
          <w:szCs w:val="24"/>
          <w:lang w:eastAsia="ko-KR"/>
        </w:rPr>
        <w:tab/>
        <w:t>занесение информации об оказанных услугах в Журнал обращений.</w:t>
      </w:r>
    </w:p>
    <w:p>
      <w:pPr>
        <w:pStyle w:val="Style44"/>
        <w:spacing w:lineRule="auto" w:line="240" w:before="240" w:after="240"/>
        <w:contextualSpacing/>
        <w:rPr>
          <w:rFonts w:eastAsia="MS Mincho"/>
          <w:bCs/>
          <w:szCs w:val="24"/>
          <w:lang w:eastAsia="ko-KR"/>
        </w:rPr>
      </w:pPr>
      <w:r>
        <w:rPr>
          <w:rFonts w:eastAsia="MS Mincho"/>
          <w:bCs/>
          <w:szCs w:val="24"/>
          <w:lang w:eastAsia="ko-KR"/>
        </w:rPr>
        <w:t>При оказании услуг по консультированию пользователей сотрудники СТП Исполнителя, при наличии согласия пользователя Системы, могут получить доступ к рабочему столу компьютера пользователя. Для получения доступа к рабочему столу компьютера пользователя сотрудники СТП Исполнителя вправе попросить пользователя Системы установить (самостоятельно) свободно-распространяемое программное обеспечение, обеспечивающее получение доступа к рабочему столу компьютера пользователя Системы, при установке которого от конечного пользователя не требуется специализированных навыков (при установке должен соблюдаться принцип одной кнопки «Далее»).</w:t>
      </w:r>
    </w:p>
    <w:p>
      <w:pPr>
        <w:pStyle w:val="Style44"/>
        <w:spacing w:lineRule="auto" w:line="240"/>
        <w:rPr>
          <w:rFonts w:eastAsia="MS Mincho"/>
          <w:bCs/>
          <w:szCs w:val="24"/>
          <w:lang w:eastAsia="ko-KR"/>
        </w:rPr>
      </w:pPr>
      <w:r>
        <w:rPr>
          <w:rFonts w:eastAsia="MS Mincho"/>
          <w:bCs/>
          <w:szCs w:val="24"/>
          <w:lang w:eastAsia="ko-KR"/>
        </w:rPr>
      </w:r>
    </w:p>
    <w:p>
      <w:pPr>
        <w:pStyle w:val="Heading4"/>
        <w:tabs>
          <w:tab w:val="clear" w:pos="284"/>
          <w:tab w:val="clear" w:pos="568"/>
          <w:tab w:val="clear" w:pos="851"/>
          <w:tab w:val="clear" w:pos="1418"/>
          <w:tab w:val="clear" w:pos="1701"/>
          <w:tab w:val="clear" w:pos="1985"/>
        </w:tabs>
        <w:spacing w:lineRule="auto" w:line="240" w:before="0" w:after="120"/>
        <w:ind w:firstLine="709" w:start="0"/>
        <w:rPr>
          <w:rFonts w:eastAsia="MS Gothic"/>
          <w:b/>
          <w:sz w:val="24"/>
          <w:szCs w:val="24"/>
          <w:lang w:eastAsia="en-US"/>
        </w:rPr>
      </w:pPr>
      <w:bookmarkStart w:id="186" w:name="_Toc177129098"/>
      <w:bookmarkStart w:id="187" w:name="_Hlk177130910"/>
      <w:r>
        <w:rPr>
          <w:rFonts w:eastAsia="MS Gothic"/>
          <w:b/>
          <w:sz w:val="24"/>
          <w:szCs w:val="24"/>
          <w:lang w:eastAsia="en-US"/>
        </w:rPr>
        <w:t>5.4.1.2 Инструктаж пользователей</w:t>
      </w:r>
      <w:bookmarkEnd w:id="186"/>
      <w:bookmarkEnd w:id="187"/>
    </w:p>
    <w:p>
      <w:pPr>
        <w:pStyle w:val="Style44"/>
        <w:spacing w:lineRule="auto" w:line="240"/>
        <w:rPr>
          <w:rFonts w:eastAsia="MS Mincho"/>
          <w:bCs/>
          <w:szCs w:val="24"/>
          <w:lang w:eastAsia="ko-KR"/>
        </w:rPr>
      </w:pPr>
      <w:r>
        <w:rPr>
          <w:rFonts w:eastAsia="MS Mincho"/>
          <w:bCs/>
          <w:szCs w:val="24"/>
          <w:lang w:eastAsia="ko-KR"/>
        </w:rPr>
        <w:t>Инструктаж пользователей производится дистанционно, для группы пользователей.</w:t>
      </w:r>
    </w:p>
    <w:p>
      <w:pPr>
        <w:pStyle w:val="Style44"/>
        <w:spacing w:lineRule="auto" w:line="240" w:before="240" w:after="240"/>
        <w:contextualSpacing/>
        <w:rPr>
          <w:rFonts w:eastAsia="MS Mincho"/>
          <w:bCs/>
          <w:szCs w:val="24"/>
          <w:lang w:eastAsia="ko-KR"/>
        </w:rPr>
      </w:pPr>
      <w:r>
        <w:rPr>
          <w:rFonts w:eastAsia="MS Mincho"/>
          <w:bCs/>
          <w:szCs w:val="24"/>
          <w:lang w:eastAsia="ko-KR"/>
        </w:rPr>
        <w:t>Дистанционный групповой инструктаж проводится по обращению представителя Заказчика путем веб-трансляции (вебинар).</w:t>
      </w:r>
    </w:p>
    <w:p>
      <w:pPr>
        <w:pStyle w:val="Style44"/>
        <w:spacing w:lineRule="auto" w:line="240" w:before="240" w:after="240"/>
        <w:contextualSpacing/>
        <w:rPr>
          <w:rFonts w:eastAsia="MS Mincho"/>
          <w:bCs/>
          <w:szCs w:val="24"/>
          <w:lang w:eastAsia="ko-KR"/>
        </w:rPr>
      </w:pPr>
      <w:r>
        <w:rPr>
          <w:rFonts w:eastAsia="MS Mincho"/>
          <w:bCs/>
          <w:szCs w:val="24"/>
          <w:lang w:eastAsia="ko-KR"/>
        </w:rPr>
        <w:t>Инструктаж проводится по темам, связанным с использованием Системы для выполнения функциональных обязанностей пользователей. Темы, по которым необходимо провести инструктаж должны быть заранее согласованы Заказчиком с Исполнителем. По каждой теме должен быть проведен отдельный инструктаж.</w:t>
      </w:r>
    </w:p>
    <w:p>
      <w:pPr>
        <w:pStyle w:val="Style44"/>
        <w:spacing w:lineRule="auto" w:line="240" w:before="240" w:after="240"/>
        <w:contextualSpacing/>
        <w:rPr>
          <w:rFonts w:eastAsia="MS Mincho"/>
          <w:bCs/>
          <w:szCs w:val="24"/>
          <w:lang w:eastAsia="ko-KR"/>
        </w:rPr>
      </w:pPr>
      <w:r>
        <w:rPr>
          <w:rFonts w:eastAsia="MS Mincho"/>
          <w:bCs/>
          <w:szCs w:val="24"/>
          <w:lang w:eastAsia="ko-KR"/>
        </w:rPr>
        <w:t>Представитель Заказчика должен направить в СТП Исполнителя обращение на проведение дистанционного группового инструктажа, содержащее следующие сведения:</w:t>
      </w:r>
    </w:p>
    <w:p>
      <w:pPr>
        <w:pStyle w:val="Style44"/>
        <w:spacing w:lineRule="auto" w:line="240" w:before="240" w:after="240"/>
        <w:contextualSpacing/>
        <w:rPr>
          <w:rFonts w:eastAsia="MS Mincho"/>
          <w:bCs/>
          <w:szCs w:val="24"/>
          <w:lang w:eastAsia="ko-KR"/>
        </w:rPr>
      </w:pPr>
      <w:r>
        <w:rPr>
          <w:rFonts w:eastAsia="MS Mincho"/>
          <w:bCs/>
          <w:szCs w:val="24"/>
          <w:lang w:eastAsia="ko-KR"/>
        </w:rPr>
        <w:t>- ФИО и адреса электронной почты пользователей, которые должны пройти инструктаж;</w:t>
      </w:r>
    </w:p>
    <w:p>
      <w:pPr>
        <w:pStyle w:val="Style44"/>
        <w:spacing w:lineRule="auto" w:line="240" w:before="240" w:after="240"/>
        <w:contextualSpacing/>
        <w:rPr>
          <w:rFonts w:eastAsia="MS Mincho"/>
          <w:bCs/>
          <w:szCs w:val="24"/>
          <w:lang w:eastAsia="ko-KR"/>
        </w:rPr>
      </w:pPr>
      <w:r>
        <w:rPr>
          <w:rFonts w:eastAsia="MS Mincho"/>
          <w:bCs/>
          <w:szCs w:val="24"/>
          <w:lang w:eastAsia="ko-KR"/>
        </w:rPr>
        <w:t>- темы, по которым должен быть проведен инструктаж;</w:t>
      </w:r>
    </w:p>
    <w:p>
      <w:pPr>
        <w:pStyle w:val="Style44"/>
        <w:spacing w:lineRule="auto" w:line="240" w:before="240" w:after="240"/>
        <w:contextualSpacing/>
        <w:rPr>
          <w:rFonts w:eastAsia="MS Mincho"/>
          <w:bCs/>
          <w:szCs w:val="24"/>
          <w:lang w:eastAsia="ko-KR"/>
        </w:rPr>
      </w:pPr>
      <w:bookmarkStart w:id="188" w:name="_Hlk176438467"/>
      <w:r>
        <w:rPr>
          <w:rFonts w:eastAsia="MS Mincho"/>
          <w:bCs/>
          <w:szCs w:val="24"/>
          <w:lang w:eastAsia="ko-KR"/>
        </w:rPr>
        <w:t>- желаемые дату и время проведения инструктажа.</w:t>
      </w:r>
      <w:bookmarkEnd w:id="188"/>
    </w:p>
    <w:p>
      <w:pPr>
        <w:pStyle w:val="Style44"/>
        <w:spacing w:lineRule="auto" w:line="240" w:before="240" w:after="240"/>
        <w:contextualSpacing/>
        <w:rPr>
          <w:rFonts w:eastAsia="MS Mincho"/>
          <w:bCs/>
          <w:szCs w:val="24"/>
          <w:lang w:eastAsia="ko-KR"/>
        </w:rPr>
      </w:pPr>
      <w:r>
        <w:rPr>
          <w:rFonts w:eastAsia="MS Mincho"/>
          <w:bCs/>
          <w:szCs w:val="24"/>
          <w:lang w:eastAsia="ko-KR"/>
        </w:rPr>
        <w:t>Исполнителем должна быть согласована с представителем Заказчика программа инструктажа, содержащая уточненный перечень тем, дата и время проведения инструктажа, продолжительность проведения инструктажа, описание способа подключения пользователей к дистанционному инструктажу.</w:t>
      </w:r>
    </w:p>
    <w:p>
      <w:pPr>
        <w:pStyle w:val="Style44"/>
        <w:spacing w:lineRule="auto" w:line="240" w:before="240" w:after="240"/>
        <w:contextualSpacing/>
        <w:rPr>
          <w:rFonts w:eastAsia="MS Mincho"/>
          <w:bCs/>
          <w:szCs w:val="24"/>
          <w:lang w:eastAsia="ko-KR"/>
        </w:rPr>
      </w:pPr>
      <w:r>
        <w:rPr>
          <w:rFonts w:eastAsia="MS Mincho"/>
          <w:bCs/>
          <w:szCs w:val="24"/>
          <w:lang w:eastAsia="ko-KR"/>
        </w:rPr>
        <w:t>Используемые для проведения дистанционного инструктажа программно-технические средства должны обеспечивать:</w:t>
      </w:r>
    </w:p>
    <w:p>
      <w:pPr>
        <w:pStyle w:val="Style44"/>
        <w:spacing w:lineRule="auto" w:line="240" w:before="240" w:after="240"/>
        <w:contextualSpacing/>
        <w:rPr>
          <w:rFonts w:eastAsia="MS Mincho"/>
          <w:bCs/>
          <w:szCs w:val="24"/>
          <w:lang w:eastAsia="ko-KR"/>
        </w:rPr>
      </w:pPr>
      <w:r>
        <w:rPr>
          <w:rFonts w:eastAsia="MS Mincho"/>
          <w:bCs/>
          <w:szCs w:val="24"/>
          <w:lang w:eastAsia="ko-KR"/>
        </w:rPr>
        <w:t xml:space="preserve">– </w:t>
      </w:r>
      <w:r>
        <w:rPr>
          <w:rFonts w:eastAsia="MS Mincho"/>
          <w:bCs/>
          <w:szCs w:val="24"/>
          <w:lang w:eastAsia="ko-KR"/>
        </w:rPr>
        <w:t>возможность подключения не менее 100 слушателей;</w:t>
      </w:r>
    </w:p>
    <w:p>
      <w:pPr>
        <w:pStyle w:val="Style44"/>
        <w:spacing w:lineRule="auto" w:line="240" w:before="240" w:after="240"/>
        <w:contextualSpacing/>
        <w:rPr>
          <w:rFonts w:eastAsia="MS Mincho"/>
          <w:bCs/>
          <w:szCs w:val="24"/>
          <w:lang w:eastAsia="ko-KR"/>
        </w:rPr>
      </w:pPr>
      <w:r>
        <w:rPr>
          <w:rFonts w:eastAsia="MS Mincho"/>
          <w:bCs/>
          <w:szCs w:val="24"/>
          <w:lang w:eastAsia="ko-KR"/>
        </w:rPr>
        <w:t xml:space="preserve">– </w:t>
      </w:r>
      <w:r>
        <w:rPr>
          <w:rFonts w:eastAsia="MS Mincho"/>
          <w:bCs/>
          <w:szCs w:val="24"/>
          <w:lang w:eastAsia="ko-KR"/>
        </w:rPr>
        <w:t>возможность трансляции слушателям как звуковой информации, так и визуальной, в том числе видеозаписей, демонстрации рабочего стола, презентаций;</w:t>
      </w:r>
    </w:p>
    <w:p>
      <w:pPr>
        <w:pStyle w:val="Style44"/>
        <w:spacing w:lineRule="auto" w:line="240" w:before="240" w:after="240"/>
        <w:contextualSpacing/>
        <w:rPr>
          <w:rFonts w:eastAsia="MS Mincho"/>
          <w:bCs/>
          <w:szCs w:val="24"/>
          <w:lang w:eastAsia="ko-KR"/>
        </w:rPr>
      </w:pPr>
      <w:r>
        <w:rPr>
          <w:rFonts w:eastAsia="MS Mincho"/>
          <w:bCs/>
          <w:szCs w:val="24"/>
          <w:lang w:eastAsia="ko-KR"/>
        </w:rPr>
        <w:t xml:space="preserve">– </w:t>
      </w:r>
      <w:r>
        <w:rPr>
          <w:rFonts w:eastAsia="MS Mincho"/>
          <w:bCs/>
          <w:szCs w:val="24"/>
          <w:lang w:eastAsia="ko-KR"/>
        </w:rPr>
        <w:t>возможность текстовой обратной связи со слушателями.</w:t>
      </w:r>
    </w:p>
    <w:p>
      <w:pPr>
        <w:pStyle w:val="Style44"/>
        <w:spacing w:lineRule="auto" w:line="240" w:before="240" w:after="240"/>
        <w:contextualSpacing/>
        <w:rPr>
          <w:rFonts w:eastAsia="MS Mincho"/>
          <w:bCs/>
          <w:szCs w:val="24"/>
          <w:lang w:eastAsia="ko-KR"/>
        </w:rPr>
      </w:pPr>
      <w:r>
        <w:rPr>
          <w:rFonts w:eastAsia="MS Mincho"/>
          <w:bCs/>
          <w:szCs w:val="24"/>
          <w:lang w:eastAsia="ko-KR"/>
        </w:rPr>
        <w:t>Результатом дистанционного группового инструктажа является запись инструктажа (запись визуальной и аудиоинформации, в том числе вопросов пользователей). Запись инструктажа должна быть передана Исполнителем Заказчику в течение 5 (пяти) рабочих дней с даты проведения инструктажа.</w:t>
      </w:r>
    </w:p>
    <w:p>
      <w:pPr>
        <w:pStyle w:val="Style44"/>
        <w:spacing w:lineRule="auto" w:line="240" w:before="240" w:after="240"/>
        <w:contextualSpacing/>
        <w:rPr>
          <w:rFonts w:eastAsia="MS Mincho"/>
          <w:bCs/>
          <w:szCs w:val="24"/>
          <w:lang w:eastAsia="ko-KR"/>
        </w:rPr>
      </w:pPr>
      <w:r>
        <w:rPr>
          <w:rFonts w:eastAsia="MS Mincho"/>
          <w:bCs/>
          <w:szCs w:val="24"/>
          <w:lang w:eastAsia="ko-KR"/>
        </w:rPr>
        <w:t>По итогам всех проведенных в течение этапа Государственного Договора инструктажей Исполнитель предоставляет Отчет о проведении инструктажей по форме, определенной в Приложении Б к ТЗ.</w:t>
      </w:r>
    </w:p>
    <w:p>
      <w:pPr>
        <w:pStyle w:val="Style44"/>
        <w:spacing w:lineRule="auto" w:line="240" w:before="240" w:after="0"/>
        <w:contextualSpacing/>
        <w:rPr>
          <w:rFonts w:eastAsia="MS Mincho"/>
          <w:bCs/>
          <w:szCs w:val="24"/>
          <w:lang w:eastAsia="ko-KR"/>
        </w:rPr>
      </w:pPr>
      <w:r>
        <w:rPr>
          <w:rFonts w:eastAsia="MS Mincho"/>
          <w:bCs/>
          <w:szCs w:val="24"/>
          <w:lang w:eastAsia="ko-KR"/>
        </w:rPr>
      </w:r>
    </w:p>
    <w:p>
      <w:pPr>
        <w:pStyle w:val="Heading4"/>
        <w:tabs>
          <w:tab w:val="clear" w:pos="284"/>
          <w:tab w:val="clear" w:pos="568"/>
          <w:tab w:val="clear" w:pos="851"/>
          <w:tab w:val="clear" w:pos="1418"/>
          <w:tab w:val="clear" w:pos="1701"/>
          <w:tab w:val="clear" w:pos="1985"/>
        </w:tabs>
        <w:spacing w:lineRule="auto" w:line="240" w:before="0" w:after="120"/>
        <w:ind w:firstLine="709" w:start="0"/>
        <w:rPr>
          <w:rFonts w:eastAsia="MS Gothic"/>
          <w:b/>
          <w:sz w:val="24"/>
          <w:szCs w:val="24"/>
          <w:lang w:eastAsia="en-US"/>
        </w:rPr>
      </w:pPr>
      <w:bookmarkStart w:id="189" w:name="_Toc177129099"/>
      <w:r>
        <w:rPr>
          <w:rFonts w:eastAsia="MS Gothic"/>
          <w:b/>
          <w:sz w:val="24"/>
          <w:szCs w:val="24"/>
          <w:lang w:eastAsia="en-US"/>
        </w:rPr>
        <w:t>5.4.1.3 Наполнение Базы знаний актуальной информацией</w:t>
      </w:r>
      <w:bookmarkEnd w:id="189"/>
    </w:p>
    <w:p>
      <w:pPr>
        <w:pStyle w:val="Style44"/>
        <w:spacing w:lineRule="auto" w:line="240" w:before="0" w:after="240"/>
        <w:contextualSpacing/>
        <w:rPr>
          <w:rFonts w:eastAsia="MS Mincho"/>
          <w:bCs/>
          <w:szCs w:val="24"/>
          <w:lang w:eastAsia="ko-KR"/>
        </w:rPr>
      </w:pPr>
      <w:r>
        <w:rPr>
          <w:rFonts w:eastAsia="MS Mincho"/>
          <w:bCs/>
          <w:szCs w:val="24"/>
          <w:lang w:eastAsia="ko-KR"/>
        </w:rPr>
        <w:t>В процессе оказания услуг Исполнитель должен использовать Базу знаний и иные материалы по Системе, актуализировать Базу знаний для улучшения качества работ по сопровождению Системы и добавлять в нее новую информацию, связанную с решением проблемных ситуаций по сопровождению Системы, ответы на часто задаваемые вопросы (пары вопрос-ответ).</w:t>
      </w:r>
    </w:p>
    <w:p>
      <w:pPr>
        <w:pStyle w:val="Style44"/>
        <w:spacing w:lineRule="auto" w:line="240" w:before="240" w:after="240"/>
        <w:contextualSpacing/>
        <w:rPr>
          <w:rFonts w:eastAsia="MS Mincho"/>
          <w:bCs/>
          <w:szCs w:val="24"/>
          <w:lang w:eastAsia="ko-KR"/>
        </w:rPr>
      </w:pPr>
      <w:r>
        <w:rPr>
          <w:rFonts w:eastAsia="MS Mincho"/>
          <w:bCs/>
          <w:szCs w:val="24"/>
          <w:lang w:eastAsia="ko-KR"/>
        </w:rPr>
        <w:t>Актуализированная База знаний передается Заказчику по завершении каждого этапа Государственного Договора в срок, указанный в Календарном плане (Приложение 1 к ТЗ) в электронном виде в открытом структурированном формате (Office Open XML или OpenDocument Format), и должна быть доступна для редактирования.</w:t>
      </w:r>
    </w:p>
    <w:p>
      <w:pPr>
        <w:pStyle w:val="Style44"/>
        <w:spacing w:lineRule="auto" w:line="240" w:before="240" w:after="0"/>
        <w:contextualSpacing/>
        <w:rPr>
          <w:rFonts w:eastAsia="MS Mincho"/>
          <w:bCs/>
          <w:szCs w:val="24"/>
          <w:lang w:eastAsia="ko-KR"/>
        </w:rPr>
      </w:pPr>
      <w:r>
        <w:rPr>
          <w:rFonts w:eastAsia="MS Mincho"/>
          <w:bCs/>
          <w:szCs w:val="24"/>
          <w:lang w:eastAsia="ko-KR"/>
        </w:rPr>
      </w:r>
    </w:p>
    <w:p>
      <w:pPr>
        <w:pStyle w:val="33"/>
        <w:spacing w:lineRule="auto" w:line="240" w:before="0" w:after="0"/>
        <w:ind w:firstLine="709" w:start="0"/>
        <w:rPr>
          <w:rFonts w:ascii="Times New Roman" w:hAnsi="Times New Roman"/>
        </w:rPr>
      </w:pPr>
      <w:bookmarkStart w:id="190" w:name="__RefHeading___Toc33556_3559854210"/>
      <w:bookmarkStart w:id="191" w:name="_Toc177129102"/>
      <w:bookmarkStart w:id="192" w:name="_Toc215755896"/>
      <w:bookmarkEnd w:id="190"/>
      <w:r>
        <w:rPr>
          <w:rFonts w:ascii="Times New Roman" w:hAnsi="Times New Roman"/>
        </w:rPr>
        <w:t>Обслуживание ОС/ОПО/СПО Системы</w:t>
      </w:r>
      <w:bookmarkEnd w:id="191"/>
      <w:bookmarkEnd w:id="192"/>
    </w:p>
    <w:p>
      <w:pPr>
        <w:pStyle w:val="Heading4"/>
        <w:tabs>
          <w:tab w:val="clear" w:pos="284"/>
          <w:tab w:val="clear" w:pos="568"/>
          <w:tab w:val="clear" w:pos="851"/>
          <w:tab w:val="clear" w:pos="1418"/>
          <w:tab w:val="clear" w:pos="1701"/>
          <w:tab w:val="clear" w:pos="1985"/>
        </w:tabs>
        <w:spacing w:lineRule="auto" w:line="240" w:before="120" w:after="120"/>
        <w:ind w:firstLine="709" w:start="0"/>
        <w:rPr>
          <w:rFonts w:eastAsia="MS Gothic"/>
          <w:b/>
          <w:sz w:val="24"/>
          <w:szCs w:val="24"/>
          <w:lang w:eastAsia="en-US"/>
        </w:rPr>
      </w:pPr>
      <w:bookmarkStart w:id="193" w:name="_Toc177129103"/>
      <w:r>
        <w:rPr>
          <w:rFonts w:eastAsia="MS Gothic"/>
          <w:b/>
          <w:sz w:val="24"/>
          <w:szCs w:val="24"/>
          <w:lang w:eastAsia="en-US"/>
        </w:rPr>
        <w:t>5.4.3.1</w:t>
        <w:tab/>
        <w:t>Установка обновлений СПО</w:t>
      </w:r>
      <w:bookmarkEnd w:id="193"/>
    </w:p>
    <w:p>
      <w:pPr>
        <w:pStyle w:val="Style44"/>
        <w:spacing w:lineRule="auto" w:line="240" w:before="0" w:after="240"/>
        <w:contextualSpacing/>
        <w:rPr>
          <w:rFonts w:eastAsia="MS Mincho"/>
          <w:bCs/>
          <w:szCs w:val="24"/>
          <w:lang w:eastAsia="ko-KR"/>
        </w:rPr>
      </w:pPr>
      <w:r>
        <w:rPr>
          <w:rFonts w:eastAsia="MS Mincho"/>
          <w:bCs/>
          <w:szCs w:val="24"/>
          <w:lang w:eastAsia="ko-KR"/>
        </w:rPr>
        <w:t>Установка обновлений СПО Системы, связанная с изменениями в законодательстве, либо исправляющая ошибку в Системе, производится Исполнителем без уведомления Заказчика.</w:t>
      </w:r>
    </w:p>
    <w:p>
      <w:pPr>
        <w:pStyle w:val="Style44"/>
        <w:spacing w:lineRule="auto" w:line="240" w:before="240" w:after="240"/>
        <w:contextualSpacing/>
        <w:rPr>
          <w:rFonts w:eastAsia="MS Mincho"/>
          <w:bCs/>
          <w:szCs w:val="24"/>
          <w:lang w:eastAsia="ko-KR"/>
        </w:rPr>
      </w:pPr>
      <w:r>
        <w:rPr>
          <w:rFonts w:eastAsia="MS Mincho"/>
          <w:bCs/>
          <w:szCs w:val="24"/>
          <w:lang w:eastAsia="ko-KR"/>
        </w:rPr>
        <w:t>Подготовка обновлений СПО Системы, связанная с устранением замечаний Заказчика к Системе, осуществляется по обращению Заказчика. Также допускается установка обновлений, снижающих трудоемкость операций пользователей в Системе, либо снижающих риски возникновения ошибок пользователей при вводе и/или обработке данных, подготовленных по инициативе Исполнителя. Разработка таких обновлений СПО Системы осуществляется Исполнителем по согласованию с Заказчиком.</w:t>
      </w:r>
    </w:p>
    <w:p>
      <w:pPr>
        <w:pStyle w:val="Style44"/>
        <w:spacing w:lineRule="auto" w:line="240" w:before="240" w:after="240"/>
        <w:contextualSpacing/>
        <w:rPr>
          <w:rFonts w:eastAsia="MS Mincho"/>
          <w:bCs/>
          <w:szCs w:val="24"/>
          <w:lang w:eastAsia="ko-KR"/>
        </w:rPr>
      </w:pPr>
      <w:r>
        <w:rPr>
          <w:rFonts w:eastAsia="MS Mincho"/>
          <w:bCs/>
          <w:szCs w:val="24"/>
          <w:lang w:eastAsia="ko-KR"/>
        </w:rPr>
        <w:t>Перед установкой обновления Исполнитель должен провести тестирование обновления на тестовом стенде, полностью имитирующем все текущие настройки Системы. Сбои в работе функций СПО, выявленные в течение 1 (одного) рабочего дня после установки обновления СПО Системы, автоматически считаются возникшими в результате установки некорректных обновлений СПО.</w:t>
      </w:r>
    </w:p>
    <w:p>
      <w:pPr>
        <w:pStyle w:val="Style44"/>
        <w:spacing w:lineRule="auto" w:line="240" w:before="240" w:after="240"/>
        <w:contextualSpacing/>
        <w:rPr>
          <w:rFonts w:eastAsia="MS Mincho"/>
          <w:bCs/>
          <w:szCs w:val="24"/>
          <w:lang w:eastAsia="ko-KR"/>
        </w:rPr>
      </w:pPr>
      <w:r>
        <w:rPr>
          <w:rFonts w:eastAsia="MS Mincho"/>
          <w:bCs/>
          <w:szCs w:val="24"/>
          <w:lang w:eastAsia="ko-KR"/>
        </w:rPr>
        <w:t>Непосредственно перед установкой обновления Исполнитель должен обеспечить резервное копирование программного обеспечения и данных Системы для возможности восстановления в случае неудачной установки обновления.</w:t>
      </w:r>
    </w:p>
    <w:p>
      <w:pPr>
        <w:pStyle w:val="Style44"/>
        <w:spacing w:lineRule="auto" w:line="240" w:before="240" w:after="240"/>
        <w:contextualSpacing/>
        <w:rPr>
          <w:rFonts w:eastAsia="MS Mincho"/>
          <w:bCs/>
          <w:szCs w:val="24"/>
          <w:lang w:eastAsia="ko-KR"/>
        </w:rPr>
      </w:pPr>
      <w:r>
        <w:rPr>
          <w:rFonts w:eastAsia="MS Mincho"/>
          <w:bCs/>
          <w:szCs w:val="24"/>
          <w:lang w:eastAsia="ko-KR"/>
        </w:rPr>
        <w:t xml:space="preserve">В общем случае установка обновлений СПО Системы выполняется во время сервисного окна. В случае необходимости срочной установки (устранение инцидентов критического и высокого приоритета) допускается установка обновлений СПО Системы в рабочее время по согласованию с Заказчиком. </w:t>
      </w:r>
    </w:p>
    <w:p>
      <w:pPr>
        <w:pStyle w:val="Style44"/>
        <w:spacing w:lineRule="auto" w:line="240" w:before="240" w:after="240"/>
        <w:contextualSpacing/>
        <w:rPr>
          <w:rFonts w:eastAsia="MS Mincho"/>
          <w:bCs/>
          <w:szCs w:val="24"/>
          <w:lang w:eastAsia="ko-KR"/>
        </w:rPr>
      </w:pPr>
      <w:r>
        <w:rPr>
          <w:rFonts w:eastAsia="MS Mincho"/>
          <w:bCs/>
          <w:szCs w:val="24"/>
          <w:lang w:eastAsia="ko-KR"/>
        </w:rPr>
        <w:t>После установки обновления делается запись в Журнал обслуживания Системы.</w:t>
      </w:r>
    </w:p>
    <w:p>
      <w:pPr>
        <w:pStyle w:val="Style44"/>
        <w:spacing w:lineRule="auto" w:line="240" w:before="240" w:after="0"/>
        <w:contextualSpacing/>
        <w:rPr>
          <w:rFonts w:eastAsia="MS Mincho"/>
          <w:bCs/>
          <w:szCs w:val="24"/>
          <w:lang w:eastAsia="ko-KR"/>
        </w:rPr>
      </w:pPr>
      <w:r>
        <w:rPr>
          <w:rFonts w:eastAsia="MS Mincho"/>
          <w:bCs/>
          <w:szCs w:val="24"/>
          <w:lang w:eastAsia="ko-KR"/>
        </w:rPr>
      </w:r>
    </w:p>
    <w:p>
      <w:pPr>
        <w:pStyle w:val="Heading4"/>
        <w:tabs>
          <w:tab w:val="clear" w:pos="284"/>
          <w:tab w:val="clear" w:pos="568"/>
          <w:tab w:val="clear" w:pos="851"/>
          <w:tab w:val="clear" w:pos="1418"/>
          <w:tab w:val="clear" w:pos="1701"/>
          <w:tab w:val="clear" w:pos="1985"/>
        </w:tabs>
        <w:spacing w:lineRule="auto" w:line="240" w:before="0" w:after="120"/>
        <w:ind w:firstLine="709" w:start="0"/>
        <w:rPr>
          <w:rFonts w:eastAsia="MS Gothic"/>
          <w:b/>
          <w:sz w:val="24"/>
          <w:szCs w:val="24"/>
          <w:lang w:eastAsia="en-US"/>
        </w:rPr>
      </w:pPr>
      <w:bookmarkStart w:id="194" w:name="_Toc177129104"/>
      <w:r>
        <w:rPr>
          <w:rFonts w:eastAsia="MS Gothic"/>
          <w:b/>
          <w:sz w:val="24"/>
          <w:szCs w:val="24"/>
          <w:lang w:eastAsia="en-US"/>
        </w:rPr>
        <w:t>5.4.3.2 Установка обновлений ОС/ОПО</w:t>
      </w:r>
      <w:bookmarkEnd w:id="194"/>
    </w:p>
    <w:p>
      <w:pPr>
        <w:pStyle w:val="Style44"/>
        <w:spacing w:lineRule="auto" w:line="240" w:before="0" w:after="240"/>
        <w:contextualSpacing/>
        <w:rPr>
          <w:rFonts w:eastAsia="MS Mincho"/>
          <w:bCs/>
          <w:szCs w:val="24"/>
          <w:lang w:eastAsia="ko-KR"/>
        </w:rPr>
      </w:pPr>
      <w:r>
        <w:rPr>
          <w:rFonts w:eastAsia="MS Mincho"/>
          <w:bCs/>
          <w:szCs w:val="24"/>
          <w:lang w:eastAsia="ko-KR"/>
        </w:rPr>
        <w:t>Установка обновлений ОС/ОПО на АРМ пользователей Исполнителем не выполняется.</w:t>
      </w:r>
    </w:p>
    <w:p>
      <w:pPr>
        <w:pStyle w:val="Style44"/>
        <w:spacing w:lineRule="auto" w:line="240" w:before="240" w:after="240"/>
        <w:contextualSpacing/>
        <w:rPr>
          <w:rFonts w:eastAsia="MS Mincho"/>
          <w:bCs/>
          <w:szCs w:val="24"/>
          <w:lang w:eastAsia="ko-KR"/>
        </w:rPr>
      </w:pPr>
      <w:r>
        <w:rPr>
          <w:rFonts w:eastAsia="MS Mincho"/>
          <w:bCs/>
          <w:szCs w:val="24"/>
          <w:lang w:eastAsia="ko-KR"/>
        </w:rPr>
        <w:t>Установка обновлений ОПО Системы должна производиться по мере их выпуска производителями ОПО, в соответствии с их рекомендациями. Обновления ОПО, свободно распространяемые производителем ОПО, получаются Исполнителем самостоятельно. Обновления ОПО, распространяемые производителем только среди зарегистрированных пользователей ОПО, предоставляются Исполнителю Заказчиком.</w:t>
      </w:r>
    </w:p>
    <w:p>
      <w:pPr>
        <w:pStyle w:val="Style44"/>
        <w:spacing w:lineRule="auto" w:line="240" w:before="240" w:after="240"/>
        <w:contextualSpacing/>
        <w:rPr>
          <w:rFonts w:eastAsia="MS Mincho"/>
          <w:bCs/>
          <w:szCs w:val="24"/>
          <w:lang w:eastAsia="ko-KR"/>
        </w:rPr>
      </w:pPr>
      <w:r>
        <w:rPr>
          <w:rFonts w:eastAsia="MS Mincho"/>
          <w:bCs/>
          <w:szCs w:val="24"/>
          <w:lang w:eastAsia="ko-KR"/>
        </w:rPr>
        <w:t>Установка обновлений ОС Системы должна производиться по мере их выпуска производителями ОС, в соответствии с их рекомендациями по запросу Заказчика. Обновления ОС, распространяемые производителем только среди зарегистрированных пользователей ОС, предоставляются Исполнителю Заказчиком.</w:t>
      </w:r>
    </w:p>
    <w:p>
      <w:pPr>
        <w:pStyle w:val="Style44"/>
        <w:spacing w:lineRule="auto" w:line="240" w:before="240" w:after="240"/>
        <w:contextualSpacing/>
        <w:rPr>
          <w:rFonts w:eastAsia="MS Mincho"/>
          <w:bCs/>
          <w:szCs w:val="24"/>
          <w:lang w:eastAsia="ko-KR"/>
        </w:rPr>
      </w:pPr>
      <w:r>
        <w:rPr>
          <w:rFonts w:eastAsia="MS Mincho"/>
          <w:bCs/>
          <w:szCs w:val="24"/>
          <w:lang w:eastAsia="ko-KR"/>
        </w:rPr>
        <w:t>Перед установкой обновлений конкретного ОС/ОПО Системы должна проверяться их совместимость с прочим установленным ОПО и СПО. Установка обновлений ОС/ОПО не должна приводить к нарушениям работы Системы.</w:t>
      </w:r>
    </w:p>
    <w:p>
      <w:pPr>
        <w:pStyle w:val="Style44"/>
        <w:spacing w:lineRule="auto" w:line="240" w:before="240" w:after="240"/>
        <w:contextualSpacing/>
        <w:rPr>
          <w:rFonts w:eastAsia="MS Mincho"/>
          <w:bCs/>
          <w:szCs w:val="24"/>
          <w:lang w:eastAsia="ko-KR"/>
        </w:rPr>
      </w:pPr>
      <w:r>
        <w:rPr>
          <w:rFonts w:eastAsia="MS Mincho"/>
          <w:bCs/>
          <w:szCs w:val="24"/>
          <w:lang w:eastAsia="ko-KR"/>
        </w:rPr>
        <w:t>После установки обновления делается запись в Журнал обслуживания Системы.</w:t>
      </w:r>
    </w:p>
    <w:p>
      <w:pPr>
        <w:pStyle w:val="Style44"/>
        <w:spacing w:lineRule="auto" w:line="240" w:before="240" w:after="240"/>
        <w:contextualSpacing/>
        <w:rPr>
          <w:rFonts w:eastAsia="MS Mincho"/>
          <w:bCs/>
          <w:szCs w:val="24"/>
          <w:lang w:eastAsia="ko-KR"/>
        </w:rPr>
      </w:pPr>
      <w:r>
        <w:rPr>
          <w:rFonts w:eastAsia="MS Mincho"/>
          <w:bCs/>
          <w:szCs w:val="24"/>
          <w:lang w:eastAsia="ko-KR"/>
        </w:rPr>
        <w:t>Все программное обеспечение (дистрибутивы и исходные коды – при их наличии) и документация производителя по обновлению включаются в отчетные материалы по соответствующему отчетному периоду Государственного Договора.</w:t>
      </w:r>
    </w:p>
    <w:p>
      <w:pPr>
        <w:pStyle w:val="Style44"/>
        <w:spacing w:lineRule="auto" w:line="240" w:before="240" w:after="240"/>
        <w:contextualSpacing/>
        <w:rPr>
          <w:rFonts w:eastAsia="MS Mincho"/>
          <w:bCs/>
          <w:szCs w:val="24"/>
          <w:lang w:eastAsia="ko-KR"/>
        </w:rPr>
      </w:pPr>
      <w:r>
        <w:rPr>
          <w:rFonts w:eastAsia="MS Mincho"/>
          <w:bCs/>
          <w:szCs w:val="24"/>
          <w:lang w:eastAsia="ko-KR"/>
        </w:rPr>
        <w:t>Установка обновлений ОС производится путем удаленного подключения Исполнителя к терминалу ОС.</w:t>
      </w:r>
    </w:p>
    <w:p>
      <w:pPr>
        <w:pStyle w:val="Style44"/>
        <w:spacing w:lineRule="auto" w:line="240" w:before="240" w:after="240"/>
        <w:contextualSpacing/>
        <w:rPr>
          <w:rFonts w:eastAsia="MS Mincho"/>
          <w:bCs/>
          <w:szCs w:val="24"/>
          <w:lang w:eastAsia="ko-KR"/>
        </w:rPr>
      </w:pPr>
      <w:r>
        <w:rPr>
          <w:rFonts w:eastAsia="MS Mincho"/>
          <w:bCs/>
          <w:szCs w:val="24"/>
          <w:lang w:eastAsia="ko-KR"/>
        </w:rPr>
        <w:t>Если техническая и рабочая документация на Систему не содержит полного описания порядка установки обновлений и эксплуатации обновленной Системы, то Исполнитель дорабатывает техническую (при необходимости) и рабочую документацию на Систему, включая в нее полное описание такого порядка.</w:t>
      </w:r>
    </w:p>
    <w:p>
      <w:pPr>
        <w:pStyle w:val="Style44"/>
        <w:spacing w:lineRule="auto" w:line="240"/>
        <w:rPr>
          <w:rFonts w:eastAsia="MS Mincho"/>
          <w:bCs/>
          <w:szCs w:val="24"/>
          <w:lang w:eastAsia="ko-KR"/>
        </w:rPr>
      </w:pPr>
      <w:r>
        <w:rPr>
          <w:rFonts w:eastAsia="MS Mincho"/>
          <w:bCs/>
          <w:szCs w:val="24"/>
          <w:lang w:eastAsia="ko-KR"/>
        </w:rPr>
      </w:r>
    </w:p>
    <w:p>
      <w:pPr>
        <w:pStyle w:val="Heading4"/>
        <w:tabs>
          <w:tab w:val="clear" w:pos="284"/>
          <w:tab w:val="clear" w:pos="568"/>
          <w:tab w:val="clear" w:pos="851"/>
          <w:tab w:val="clear" w:pos="1418"/>
          <w:tab w:val="clear" w:pos="1701"/>
          <w:tab w:val="clear" w:pos="1985"/>
        </w:tabs>
        <w:spacing w:lineRule="auto" w:line="240" w:before="0" w:after="120"/>
        <w:ind w:firstLine="709" w:start="0"/>
        <w:rPr>
          <w:rFonts w:eastAsia="MS Gothic"/>
          <w:b/>
          <w:sz w:val="24"/>
          <w:szCs w:val="24"/>
          <w:lang w:eastAsia="en-US"/>
        </w:rPr>
      </w:pPr>
      <w:bookmarkStart w:id="195" w:name="_Toc177129105"/>
      <w:r>
        <w:rPr>
          <w:rFonts w:eastAsia="MS Gothic"/>
          <w:b/>
          <w:sz w:val="24"/>
          <w:szCs w:val="24"/>
          <w:lang w:eastAsia="en-US"/>
        </w:rPr>
        <w:t>5.4.3.3 Внесение изменений в настройки ОС/ОПО</w:t>
      </w:r>
      <w:bookmarkEnd w:id="195"/>
    </w:p>
    <w:p>
      <w:pPr>
        <w:pStyle w:val="Style44"/>
        <w:spacing w:lineRule="auto" w:line="240" w:before="0" w:after="240"/>
        <w:contextualSpacing/>
        <w:rPr>
          <w:rFonts w:eastAsia="MS Mincho"/>
          <w:bCs/>
          <w:szCs w:val="24"/>
          <w:lang w:eastAsia="ko-KR"/>
        </w:rPr>
      </w:pPr>
      <w:r>
        <w:rPr>
          <w:rFonts w:eastAsia="MS Mincho"/>
          <w:bCs/>
          <w:szCs w:val="24"/>
          <w:lang w:eastAsia="ko-KR"/>
        </w:rPr>
        <w:t>Внесение изменений в настройки ОС/ОПО на АРМ пользователя Исполнителем не выполняется.</w:t>
      </w:r>
    </w:p>
    <w:p>
      <w:pPr>
        <w:pStyle w:val="Style44"/>
        <w:spacing w:lineRule="auto" w:line="240" w:before="240" w:after="240"/>
        <w:contextualSpacing/>
        <w:rPr>
          <w:rFonts w:eastAsia="MS Mincho"/>
          <w:bCs/>
          <w:szCs w:val="24"/>
          <w:lang w:eastAsia="ko-KR"/>
        </w:rPr>
      </w:pPr>
      <w:r>
        <w:rPr>
          <w:rFonts w:eastAsia="MS Mincho"/>
          <w:bCs/>
          <w:szCs w:val="24"/>
          <w:lang w:eastAsia="ko-KR"/>
        </w:rPr>
        <w:t>Изменение настроек ОС/ОПО Системы производится по обращению представителя Заказчика либо по результатам мониторинга Системы, а также в целях решения инцидента.</w:t>
      </w:r>
    </w:p>
    <w:p>
      <w:pPr>
        <w:pStyle w:val="Style44"/>
        <w:spacing w:lineRule="auto" w:line="240" w:before="240" w:after="240"/>
        <w:contextualSpacing/>
        <w:rPr>
          <w:rFonts w:eastAsia="MS Mincho"/>
          <w:bCs/>
          <w:szCs w:val="24"/>
          <w:lang w:eastAsia="ko-KR"/>
        </w:rPr>
      </w:pPr>
      <w:r>
        <w:rPr>
          <w:rFonts w:eastAsia="MS Mincho"/>
          <w:bCs/>
          <w:szCs w:val="24"/>
          <w:lang w:eastAsia="ko-KR"/>
        </w:rPr>
        <w:t xml:space="preserve">Внесение соответствующих изменений в настройки ОС/ОПО Системы должно производиться в целях обеспечения работоспособности, информационной безопасности и требуемой производительности системы. </w:t>
      </w:r>
    </w:p>
    <w:p>
      <w:pPr>
        <w:pStyle w:val="Style44"/>
        <w:spacing w:lineRule="auto" w:line="240" w:before="240" w:after="240"/>
        <w:contextualSpacing/>
        <w:rPr>
          <w:rFonts w:eastAsia="MS Mincho"/>
          <w:bCs/>
          <w:szCs w:val="24"/>
          <w:lang w:eastAsia="ko-KR"/>
        </w:rPr>
      </w:pPr>
      <w:r>
        <w:rPr>
          <w:rFonts w:eastAsia="MS Mincho"/>
          <w:bCs/>
          <w:szCs w:val="24"/>
          <w:lang w:eastAsia="ko-KR"/>
        </w:rPr>
        <w:t>Настройка ОС/ОПО Системы должна производиться в соответствии с рекомендациями производителей ОС/ОПО.</w:t>
      </w:r>
    </w:p>
    <w:p>
      <w:pPr>
        <w:pStyle w:val="Style44"/>
        <w:spacing w:lineRule="auto" w:line="240" w:before="240" w:after="240"/>
        <w:contextualSpacing/>
        <w:rPr>
          <w:rFonts w:eastAsia="MS Mincho"/>
          <w:bCs/>
          <w:szCs w:val="24"/>
          <w:lang w:eastAsia="ko-KR"/>
        </w:rPr>
      </w:pPr>
      <w:r>
        <w:rPr>
          <w:rFonts w:eastAsia="MS Mincho"/>
          <w:bCs/>
          <w:szCs w:val="24"/>
          <w:lang w:eastAsia="ko-KR"/>
        </w:rPr>
        <w:t>Изменение настроек ОС/ОПО не должно приводить к нарушениям работы Системы.</w:t>
      </w:r>
    </w:p>
    <w:p>
      <w:pPr>
        <w:pStyle w:val="Style44"/>
        <w:spacing w:lineRule="auto" w:line="240" w:before="240" w:after="240"/>
        <w:contextualSpacing/>
        <w:rPr>
          <w:rFonts w:eastAsia="MS Mincho"/>
          <w:bCs/>
          <w:szCs w:val="24"/>
          <w:lang w:eastAsia="ko-KR"/>
        </w:rPr>
      </w:pPr>
      <w:r>
        <w:rPr>
          <w:rFonts w:eastAsia="MS Mincho"/>
          <w:bCs/>
          <w:szCs w:val="24"/>
          <w:lang w:eastAsia="ko-KR"/>
        </w:rPr>
        <w:t>Все изменения настроек ОС/ОПО Системы должны фиксироваться в Журнал обслуживания Системы.</w:t>
      </w:r>
    </w:p>
    <w:p>
      <w:pPr>
        <w:pStyle w:val="Style44"/>
        <w:spacing w:lineRule="auto" w:line="240"/>
        <w:rPr>
          <w:rFonts w:eastAsia="MS Mincho"/>
          <w:bCs/>
          <w:szCs w:val="24"/>
          <w:lang w:eastAsia="ko-KR"/>
        </w:rPr>
      </w:pPr>
      <w:r>
        <w:rPr>
          <w:rFonts w:eastAsia="MS Mincho"/>
          <w:bCs/>
          <w:szCs w:val="24"/>
          <w:lang w:eastAsia="ko-KR"/>
        </w:rPr>
      </w:r>
    </w:p>
    <w:p>
      <w:pPr>
        <w:pStyle w:val="Heading4"/>
        <w:tabs>
          <w:tab w:val="clear" w:pos="284"/>
          <w:tab w:val="clear" w:pos="568"/>
          <w:tab w:val="clear" w:pos="851"/>
          <w:tab w:val="clear" w:pos="1418"/>
          <w:tab w:val="clear" w:pos="1701"/>
          <w:tab w:val="clear" w:pos="1985"/>
        </w:tabs>
        <w:spacing w:lineRule="auto" w:line="240" w:before="0" w:after="120"/>
        <w:ind w:firstLine="709" w:start="0"/>
        <w:rPr>
          <w:rFonts w:eastAsia="MS Gothic"/>
          <w:b/>
          <w:sz w:val="24"/>
          <w:szCs w:val="24"/>
          <w:lang w:eastAsia="en-US"/>
        </w:rPr>
      </w:pPr>
      <w:bookmarkStart w:id="196" w:name="_Toc177129106"/>
      <w:r>
        <w:rPr>
          <w:rFonts w:eastAsia="MS Gothic"/>
          <w:b/>
          <w:sz w:val="24"/>
          <w:szCs w:val="24"/>
          <w:lang w:eastAsia="en-US"/>
        </w:rPr>
        <w:t>5.4.3.4 Регламентное обслуживание ОС/ОПО</w:t>
      </w:r>
      <w:bookmarkEnd w:id="196"/>
    </w:p>
    <w:p>
      <w:pPr>
        <w:pStyle w:val="Style44"/>
        <w:spacing w:lineRule="auto" w:line="240" w:before="0" w:after="240"/>
        <w:contextualSpacing/>
        <w:rPr>
          <w:rFonts w:eastAsia="MS Mincho"/>
          <w:bCs/>
          <w:szCs w:val="24"/>
          <w:lang w:eastAsia="ko-KR"/>
        </w:rPr>
      </w:pPr>
      <w:r>
        <w:rPr>
          <w:rFonts w:eastAsia="MS Mincho"/>
          <w:bCs/>
          <w:szCs w:val="24"/>
          <w:lang w:eastAsia="ko-KR"/>
        </w:rPr>
        <w:t>Регламентное обслуживание ОС/ОПО на АРМ пользователей Исполнителем не выполняется.</w:t>
      </w:r>
    </w:p>
    <w:p>
      <w:pPr>
        <w:pStyle w:val="Style44"/>
        <w:spacing w:lineRule="auto" w:line="240" w:before="240" w:after="240"/>
        <w:contextualSpacing/>
        <w:rPr>
          <w:rFonts w:eastAsia="MS Mincho"/>
          <w:bCs/>
          <w:szCs w:val="24"/>
          <w:lang w:eastAsia="ko-KR"/>
        </w:rPr>
      </w:pPr>
      <w:r>
        <w:rPr>
          <w:rFonts w:eastAsia="MS Mincho"/>
          <w:bCs/>
          <w:szCs w:val="24"/>
          <w:lang w:eastAsia="ko-KR"/>
        </w:rPr>
        <w:t>Регламентное обслуживание ОС/ОПО Системы осуществляется на основании рекомендаций производителей ОС/ОПО в соответствии с предусмотренными производителями ОС/ОПО процедурами.</w:t>
      </w:r>
    </w:p>
    <w:p>
      <w:pPr>
        <w:pStyle w:val="Style44"/>
        <w:spacing w:lineRule="auto" w:line="240" w:before="240" w:after="240"/>
        <w:contextualSpacing/>
        <w:rPr>
          <w:rFonts w:eastAsia="MS Mincho"/>
          <w:bCs/>
          <w:szCs w:val="24"/>
          <w:lang w:eastAsia="ko-KR"/>
        </w:rPr>
      </w:pPr>
      <w:r>
        <w:rPr>
          <w:rFonts w:eastAsia="MS Mincho"/>
          <w:bCs/>
          <w:szCs w:val="24"/>
          <w:lang w:eastAsia="ko-KR"/>
        </w:rPr>
        <w:t>Исполнитель должен выполнять как минимум, но не ограничиваясь, следующие операции:</w:t>
      </w:r>
    </w:p>
    <w:p>
      <w:pPr>
        <w:pStyle w:val="Style44"/>
        <w:spacing w:lineRule="auto" w:line="240" w:before="240" w:after="240"/>
        <w:contextualSpacing/>
        <w:rPr>
          <w:rFonts w:eastAsia="MS Mincho"/>
          <w:bCs/>
          <w:szCs w:val="24"/>
          <w:lang w:eastAsia="ko-KR"/>
        </w:rPr>
      </w:pPr>
      <w:r>
        <w:rPr>
          <w:rFonts w:eastAsia="MS Mincho"/>
          <w:bCs/>
          <w:szCs w:val="24"/>
          <w:lang w:eastAsia="ko-KR"/>
        </w:rPr>
        <w:t>- установка, настройка и тестирование обновлений ОС/ОПО, выпускаемых производителями;</w:t>
      </w:r>
    </w:p>
    <w:p>
      <w:pPr>
        <w:pStyle w:val="Style44"/>
        <w:spacing w:lineRule="auto" w:line="240" w:before="240" w:after="240"/>
        <w:contextualSpacing/>
        <w:rPr>
          <w:rFonts w:eastAsia="MS Mincho"/>
          <w:bCs/>
          <w:szCs w:val="24"/>
          <w:lang w:eastAsia="ko-KR"/>
        </w:rPr>
      </w:pPr>
      <w:r>
        <w:rPr>
          <w:rFonts w:eastAsia="MS Mincho"/>
          <w:bCs/>
          <w:szCs w:val="24"/>
          <w:lang w:eastAsia="ko-KR"/>
        </w:rPr>
        <w:t>- контроль дискового пространства, своевременное удаление неактуальных временных файлов.</w:t>
      </w:r>
    </w:p>
    <w:p>
      <w:pPr>
        <w:pStyle w:val="Style44"/>
        <w:spacing w:lineRule="auto" w:line="240" w:before="240" w:after="240"/>
        <w:contextualSpacing/>
        <w:rPr>
          <w:rFonts w:eastAsia="MS Mincho"/>
          <w:bCs/>
          <w:szCs w:val="24"/>
          <w:lang w:eastAsia="ko-KR"/>
        </w:rPr>
      </w:pPr>
      <w:r>
        <w:rPr>
          <w:rFonts w:eastAsia="MS Mincho"/>
          <w:bCs/>
          <w:szCs w:val="24"/>
          <w:lang w:eastAsia="ko-KR"/>
        </w:rPr>
        <w:t>Выполненные операции регламентного обслуживания ОС/ОПО Системы должны фиксироваться в Журнал обслуживания Системы.</w:t>
      </w:r>
    </w:p>
    <w:p>
      <w:pPr>
        <w:pStyle w:val="Style44"/>
        <w:spacing w:lineRule="auto" w:line="240" w:before="240" w:after="0"/>
        <w:contextualSpacing/>
        <w:rPr>
          <w:rFonts w:eastAsia="MS Mincho"/>
          <w:bCs/>
          <w:szCs w:val="24"/>
          <w:lang w:eastAsia="ko-KR"/>
        </w:rPr>
      </w:pPr>
      <w:r>
        <w:rPr>
          <w:rFonts w:eastAsia="MS Mincho"/>
          <w:bCs/>
          <w:szCs w:val="24"/>
          <w:lang w:eastAsia="ko-KR"/>
        </w:rPr>
      </w:r>
    </w:p>
    <w:p>
      <w:pPr>
        <w:pStyle w:val="33"/>
        <w:spacing w:lineRule="auto" w:line="240" w:before="0" w:after="0"/>
        <w:ind w:firstLine="709" w:start="0"/>
        <w:rPr>
          <w:rFonts w:ascii="Times New Roman" w:hAnsi="Times New Roman"/>
        </w:rPr>
      </w:pPr>
      <w:bookmarkStart w:id="197" w:name="__RefHeading___Toc33558_3559854210"/>
      <w:bookmarkStart w:id="198" w:name="_Toc215755897"/>
      <w:bookmarkStart w:id="199" w:name="_Toc177129108"/>
      <w:bookmarkEnd w:id="197"/>
      <w:r>
        <w:rPr>
          <w:rFonts w:ascii="Times New Roman" w:hAnsi="Times New Roman"/>
        </w:rPr>
        <w:t>Резервное копирование</w:t>
      </w:r>
      <w:bookmarkEnd w:id="198"/>
      <w:bookmarkEnd w:id="199"/>
    </w:p>
    <w:p>
      <w:pPr>
        <w:pStyle w:val="Heading4"/>
        <w:tabs>
          <w:tab w:val="clear" w:pos="284"/>
          <w:tab w:val="clear" w:pos="568"/>
          <w:tab w:val="clear" w:pos="851"/>
          <w:tab w:val="clear" w:pos="1418"/>
          <w:tab w:val="clear" w:pos="1701"/>
          <w:tab w:val="clear" w:pos="1985"/>
        </w:tabs>
        <w:spacing w:lineRule="auto" w:line="240" w:before="120" w:after="120"/>
        <w:ind w:firstLine="709" w:start="0"/>
        <w:rPr>
          <w:rFonts w:eastAsia="MS Gothic"/>
          <w:b/>
          <w:sz w:val="24"/>
          <w:szCs w:val="24"/>
          <w:lang w:eastAsia="en-US"/>
        </w:rPr>
      </w:pPr>
      <w:bookmarkStart w:id="200" w:name="_Toc177129109"/>
      <w:r>
        <w:rPr>
          <w:rFonts w:eastAsia="MS Gothic"/>
          <w:b/>
          <w:sz w:val="24"/>
          <w:szCs w:val="24"/>
          <w:lang w:eastAsia="en-US"/>
        </w:rPr>
        <w:t>5.4.4.1</w:t>
        <w:tab/>
        <w:t>Разработка регламента резервного копирования, настройка параметров резервного копирования</w:t>
      </w:r>
      <w:bookmarkEnd w:id="200"/>
    </w:p>
    <w:p>
      <w:pPr>
        <w:pStyle w:val="Style44"/>
        <w:spacing w:lineRule="auto" w:line="240" w:before="0" w:after="240"/>
        <w:contextualSpacing/>
        <w:rPr>
          <w:rFonts w:eastAsia="MS Mincho"/>
          <w:bCs/>
          <w:szCs w:val="24"/>
          <w:lang w:eastAsia="ko-KR"/>
        </w:rPr>
      </w:pPr>
      <w:r>
        <w:rPr>
          <w:rFonts w:eastAsia="MS Mincho"/>
          <w:bCs/>
          <w:szCs w:val="24"/>
          <w:lang w:eastAsia="ko-KR"/>
        </w:rPr>
        <w:t>Исполнитель должен разработать и согласовать с Заказчиком документ «Регламент резервного копирования» (далее – Регламент РК) в соответствии с типовой формой Регламента резервного копирования в течении 10 (десяти) рабочих дней с момента заключения Договора.</w:t>
      </w:r>
    </w:p>
    <w:p>
      <w:pPr>
        <w:pStyle w:val="Style44"/>
        <w:spacing w:lineRule="auto" w:line="240" w:before="240" w:after="240"/>
        <w:contextualSpacing/>
        <w:rPr>
          <w:rFonts w:eastAsia="MS Mincho"/>
          <w:bCs/>
          <w:szCs w:val="24"/>
          <w:lang w:eastAsia="ko-KR"/>
        </w:rPr>
      </w:pPr>
      <w:r>
        <w:rPr>
          <w:rFonts w:eastAsia="MS Mincho"/>
          <w:bCs/>
          <w:szCs w:val="24"/>
          <w:lang w:eastAsia="ko-KR"/>
        </w:rPr>
        <w:t>Типовая форма Регламента резервного копирования Системы размещена в сети Интернет по адресу: http://ikt.mosreg.ru/dokumenty/reglament-rezervnogo-kopirovaniya-i-vosstanov.</w:t>
      </w:r>
    </w:p>
    <w:p>
      <w:pPr>
        <w:pStyle w:val="Style44"/>
        <w:spacing w:lineRule="auto" w:line="240" w:before="240" w:after="240"/>
        <w:contextualSpacing/>
        <w:rPr>
          <w:rFonts w:eastAsia="MS Mincho"/>
          <w:bCs/>
          <w:szCs w:val="24"/>
          <w:lang w:eastAsia="ko-KR"/>
        </w:rPr>
      </w:pPr>
      <w:r>
        <w:rPr>
          <w:rFonts w:eastAsia="MS Mincho"/>
          <w:bCs/>
          <w:szCs w:val="24"/>
          <w:lang w:eastAsia="ko-KR"/>
        </w:rPr>
        <w:t>Исполнителем должна быть произведена настройка процедуры резервного копирования согласно утвержденному Заказчиком Регламенту РК.</w:t>
      </w:r>
    </w:p>
    <w:p>
      <w:pPr>
        <w:pStyle w:val="Style44"/>
        <w:spacing w:lineRule="auto" w:line="240" w:before="240" w:after="0"/>
        <w:contextualSpacing/>
        <w:rPr>
          <w:rFonts w:eastAsia="MS Mincho"/>
          <w:bCs/>
          <w:szCs w:val="24"/>
          <w:lang w:eastAsia="ko-KR"/>
        </w:rPr>
      </w:pPr>
      <w:r>
        <w:rPr>
          <w:rFonts w:eastAsia="MS Mincho"/>
          <w:bCs/>
          <w:szCs w:val="24"/>
          <w:lang w:eastAsia="ko-KR"/>
        </w:rPr>
      </w:r>
    </w:p>
    <w:p>
      <w:pPr>
        <w:pStyle w:val="Heading4"/>
        <w:tabs>
          <w:tab w:val="clear" w:pos="284"/>
          <w:tab w:val="clear" w:pos="568"/>
          <w:tab w:val="clear" w:pos="851"/>
          <w:tab w:val="clear" w:pos="1418"/>
          <w:tab w:val="clear" w:pos="1701"/>
          <w:tab w:val="clear" w:pos="1985"/>
        </w:tabs>
        <w:spacing w:lineRule="auto" w:line="240" w:before="0" w:after="120"/>
        <w:ind w:firstLine="709" w:start="0"/>
        <w:rPr>
          <w:rFonts w:eastAsia="MS Gothic"/>
          <w:b/>
          <w:sz w:val="24"/>
          <w:szCs w:val="24"/>
          <w:lang w:eastAsia="en-US"/>
        </w:rPr>
      </w:pPr>
      <w:bookmarkStart w:id="201" w:name="_Toc177129110"/>
      <w:r>
        <w:rPr>
          <w:rFonts w:eastAsia="MS Gothic"/>
          <w:b/>
          <w:sz w:val="24"/>
          <w:szCs w:val="24"/>
          <w:lang w:eastAsia="en-US"/>
        </w:rPr>
        <w:t>5.4.4.2</w:t>
        <w:tab/>
        <w:t>Внесение изменений в регламент резервного копирования, изменение параметров резервного копирования</w:t>
      </w:r>
      <w:bookmarkEnd w:id="201"/>
    </w:p>
    <w:p>
      <w:pPr>
        <w:pStyle w:val="Style44"/>
        <w:spacing w:lineRule="auto" w:line="240" w:before="0" w:after="240"/>
        <w:contextualSpacing/>
        <w:rPr>
          <w:rFonts w:eastAsia="MS Mincho"/>
          <w:bCs/>
          <w:szCs w:val="24"/>
          <w:lang w:eastAsia="ko-KR"/>
        </w:rPr>
      </w:pPr>
      <w:r>
        <w:rPr>
          <w:rFonts w:eastAsia="MS Mincho"/>
          <w:bCs/>
          <w:szCs w:val="24"/>
          <w:lang w:eastAsia="ko-KR"/>
        </w:rPr>
        <w:t>По обращению представителя Заказчика Исполнитель должен внести в Регламент РК изменения в соответствии с обращением и согласовать измененный Регламент РК с Заказчиком.</w:t>
      </w:r>
    </w:p>
    <w:p>
      <w:pPr>
        <w:pStyle w:val="Style44"/>
        <w:spacing w:lineRule="auto" w:line="240" w:before="240" w:after="240"/>
        <w:contextualSpacing/>
        <w:rPr>
          <w:rFonts w:eastAsia="MS Mincho"/>
          <w:bCs/>
          <w:szCs w:val="24"/>
          <w:lang w:eastAsia="ko-KR"/>
        </w:rPr>
      </w:pPr>
      <w:r>
        <w:rPr>
          <w:rFonts w:eastAsia="MS Mincho"/>
          <w:bCs/>
          <w:szCs w:val="24"/>
          <w:lang w:eastAsia="ko-KR"/>
        </w:rPr>
        <w:t>После утверждения Заказчиком измененного Регламента РК должна быть произведена настройка процедуры резервного копирования согласно утвержденному Заказчиком Регламенту РК.</w:t>
      </w:r>
    </w:p>
    <w:p>
      <w:pPr>
        <w:pStyle w:val="Style44"/>
        <w:spacing w:lineRule="auto" w:line="240" w:before="240" w:after="0"/>
        <w:contextualSpacing/>
        <w:rPr>
          <w:rFonts w:eastAsia="MS Mincho"/>
          <w:bCs/>
          <w:szCs w:val="24"/>
          <w:lang w:eastAsia="ko-KR"/>
        </w:rPr>
      </w:pPr>
      <w:r>
        <w:rPr>
          <w:rFonts w:eastAsia="MS Mincho"/>
          <w:bCs/>
          <w:szCs w:val="24"/>
          <w:lang w:eastAsia="ko-KR"/>
        </w:rPr>
      </w:r>
    </w:p>
    <w:p>
      <w:pPr>
        <w:pStyle w:val="Heading4"/>
        <w:tabs>
          <w:tab w:val="clear" w:pos="284"/>
          <w:tab w:val="clear" w:pos="568"/>
          <w:tab w:val="clear" w:pos="851"/>
          <w:tab w:val="clear" w:pos="1418"/>
          <w:tab w:val="clear" w:pos="1701"/>
          <w:tab w:val="clear" w:pos="1985"/>
        </w:tabs>
        <w:spacing w:lineRule="auto" w:line="240" w:before="0" w:after="120"/>
        <w:ind w:firstLine="709" w:start="0"/>
        <w:rPr>
          <w:rFonts w:eastAsia="MS Gothic"/>
          <w:b/>
          <w:sz w:val="24"/>
          <w:szCs w:val="24"/>
          <w:lang w:eastAsia="en-US"/>
        </w:rPr>
      </w:pPr>
      <w:bookmarkStart w:id="202" w:name="_Toc177129111"/>
      <w:r>
        <w:rPr>
          <w:rFonts w:eastAsia="MS Gothic"/>
          <w:b/>
          <w:sz w:val="24"/>
          <w:szCs w:val="24"/>
          <w:lang w:eastAsia="en-US"/>
        </w:rPr>
        <w:t>5.4.4.3</w:t>
        <w:tab/>
        <w:t>Организация резервного копирования</w:t>
      </w:r>
      <w:bookmarkEnd w:id="202"/>
    </w:p>
    <w:p>
      <w:pPr>
        <w:pStyle w:val="Style44"/>
        <w:spacing w:lineRule="auto" w:line="240" w:before="0" w:after="240"/>
        <w:contextualSpacing/>
        <w:rPr>
          <w:rFonts w:eastAsia="MS Mincho"/>
          <w:bCs/>
          <w:szCs w:val="24"/>
          <w:lang w:eastAsia="ko-KR"/>
        </w:rPr>
      </w:pPr>
      <w:r>
        <w:rPr>
          <w:rFonts w:eastAsia="MS Mincho"/>
          <w:bCs/>
          <w:szCs w:val="24"/>
          <w:lang w:eastAsia="ko-KR"/>
        </w:rPr>
        <w:t>Резервное копирование должно осуществляться в соответствии с разработанным Исполнителем в соответствии с распоряжением Министерства государственного управления, информационных технологий и связи Московской области от 08.07.2016 № 10-49/РВ «О размещении информационных систем на вычислительных ресурсах Единой инфраструктуры технологического обеспечения Правительства Московской области» и утвержденным Заказчиком Регламентом РК.</w:t>
      </w:r>
    </w:p>
    <w:p>
      <w:pPr>
        <w:pStyle w:val="Style44"/>
        <w:spacing w:lineRule="auto" w:line="240" w:before="240" w:after="240"/>
        <w:contextualSpacing/>
        <w:rPr>
          <w:rFonts w:eastAsia="MS Mincho"/>
          <w:bCs/>
          <w:szCs w:val="24"/>
          <w:lang w:eastAsia="ko-KR"/>
        </w:rPr>
      </w:pPr>
      <w:r>
        <w:rPr>
          <w:rFonts w:eastAsia="MS Mincho"/>
          <w:bCs/>
          <w:szCs w:val="24"/>
          <w:lang w:eastAsia="ko-KR"/>
        </w:rPr>
        <w:t>Хранение резервных копий осуществляется на технических средствах, предоставляемых Заказчиком.</w:t>
      </w:r>
    </w:p>
    <w:p>
      <w:pPr>
        <w:pStyle w:val="Style44"/>
        <w:spacing w:lineRule="auto" w:line="240" w:before="240" w:after="240"/>
        <w:contextualSpacing/>
        <w:rPr>
          <w:rFonts w:eastAsia="MS Mincho"/>
          <w:bCs/>
          <w:szCs w:val="24"/>
          <w:lang w:eastAsia="ko-KR"/>
        </w:rPr>
      </w:pPr>
      <w:r>
        <w:rPr>
          <w:rFonts w:eastAsia="MS Mincho"/>
          <w:bCs/>
          <w:szCs w:val="24"/>
          <w:lang w:eastAsia="ko-KR"/>
        </w:rPr>
        <w:t>Результаты резервного копирования должны быть занесены в журнал резервного копирования по форме, определенной в Приложении Б к ТЗ.</w:t>
      </w:r>
    </w:p>
    <w:p>
      <w:pPr>
        <w:pStyle w:val="Style44"/>
        <w:spacing w:lineRule="auto" w:line="240" w:before="240" w:after="240"/>
        <w:contextualSpacing/>
        <w:rPr>
          <w:rFonts w:eastAsia="MS Mincho"/>
          <w:bCs/>
          <w:szCs w:val="24"/>
          <w:lang w:eastAsia="ko-KR"/>
        </w:rPr>
      </w:pPr>
      <w:r>
        <w:rPr>
          <w:rFonts w:eastAsia="MS Mincho"/>
          <w:bCs/>
          <w:szCs w:val="24"/>
          <w:lang w:eastAsia="ko-KR"/>
        </w:rPr>
        <w:t>В рамках оказания услуг по резервному копированию ответственный Исполнителя за выполнение функции (задачи) СТП выполняет установленный перечень операций, приведенный в (</w:t>
      </w:r>
      <w:r>
        <w:rPr>
          <w:rFonts w:eastAsia="MS Mincho"/>
          <w:bCs/>
          <w:szCs w:val="24"/>
          <w:lang w:eastAsia="ko-KR"/>
        </w:rPr>
        <w:fldChar w:fldCharType="begin"/>
      </w:r>
      <w:r>
        <w:rPr>
          <w:szCs w:val="24"/>
          <w:bCs/>
          <w:rFonts w:eastAsia="MS Mincho"/>
          <w:lang w:eastAsia="ko-KR"/>
        </w:rPr>
        <w:instrText xml:space="preserve"> REF _Ref192581977 \h </w:instrText>
      </w:r>
      <w:r>
        <w:rPr>
          <w:szCs w:val="24"/>
          <w:bCs/>
          <w:rFonts w:eastAsia="MS Mincho"/>
          <w:lang w:eastAsia="ko-KR"/>
        </w:rPr>
        <w:fldChar w:fldCharType="separate"/>
      </w:r>
      <w:r>
        <w:rPr>
          <w:szCs w:val="24"/>
          <w:bCs/>
          <w:rFonts w:eastAsia="MS Mincho"/>
          <w:lang w:eastAsia="ko-KR"/>
        </w:rPr>
        <w:t>Таблица 24</w:t>
      </w:r>
      <w:r>
        <w:rPr>
          <w:szCs w:val="24"/>
          <w:bCs/>
          <w:rFonts w:eastAsia="MS Mincho"/>
          <w:lang w:eastAsia="ko-KR"/>
        </w:rPr>
        <w:fldChar w:fldCharType="end"/>
      </w:r>
      <w:r>
        <w:rPr>
          <w:rFonts w:eastAsia="MS Mincho"/>
          <w:bCs/>
          <w:szCs w:val="24"/>
          <w:lang w:eastAsia="ko-KR"/>
        </w:rPr>
        <w:t>). Тип операций резервного копирования (полное/ разностное/ инкрементальное) определяется в Регламент РК.</w:t>
      </w:r>
    </w:p>
    <w:p>
      <w:pPr>
        <w:pStyle w:val="Style44"/>
        <w:spacing w:lineRule="auto" w:line="240" w:before="240" w:after="240"/>
        <w:contextualSpacing/>
        <w:rPr>
          <w:rFonts w:eastAsia="MS Mincho"/>
          <w:bCs/>
          <w:szCs w:val="24"/>
          <w:lang w:eastAsia="ko-KR"/>
        </w:rPr>
      </w:pPr>
      <w:r>
        <w:rPr>
          <w:rFonts w:eastAsia="MS Mincho"/>
          <w:bCs/>
          <w:szCs w:val="24"/>
          <w:lang w:eastAsia="ko-KR"/>
        </w:rPr>
        <w:t>Резервное копирование ОПО и СПО на АРМ пользователей не выполняется.</w:t>
      </w:r>
    </w:p>
    <w:p>
      <w:pPr>
        <w:pStyle w:val="Style44"/>
        <w:spacing w:lineRule="auto" w:line="240" w:before="240" w:after="240"/>
        <w:contextualSpacing/>
        <w:rPr>
          <w:rFonts w:eastAsia="MS Mincho"/>
          <w:bCs/>
          <w:szCs w:val="24"/>
          <w:lang w:eastAsia="ko-KR"/>
        </w:rPr>
      </w:pPr>
      <w:r>
        <w:rPr>
          <w:rFonts w:eastAsia="MS Mincho"/>
          <w:bCs/>
          <w:szCs w:val="24"/>
          <w:lang w:eastAsia="ko-KR"/>
        </w:rPr>
        <w:t>Исполнитель не несет ответственности за сохранность, наличие и применимость для восстановления резервных копий в случае:</w:t>
      </w:r>
    </w:p>
    <w:p>
      <w:pPr>
        <w:pStyle w:val="Style44"/>
        <w:spacing w:lineRule="auto" w:line="240" w:before="240" w:after="240"/>
        <w:contextualSpacing/>
        <w:rPr>
          <w:rFonts w:eastAsia="MS Mincho"/>
          <w:bCs/>
          <w:szCs w:val="24"/>
          <w:lang w:eastAsia="ko-KR"/>
        </w:rPr>
      </w:pPr>
      <w:r>
        <w:rPr>
          <w:rFonts w:eastAsia="MS Mincho"/>
          <w:bCs/>
          <w:szCs w:val="24"/>
          <w:lang w:eastAsia="ko-KR"/>
        </w:rPr>
        <w:t>– </w:t>
      </w:r>
      <w:r>
        <w:rPr>
          <w:rFonts w:eastAsia="MS Mincho"/>
          <w:bCs/>
          <w:szCs w:val="24"/>
          <w:lang w:eastAsia="ko-KR"/>
        </w:rPr>
        <w:t>повреждения/отсутствия файла резервной копии вследствие нарушения работоспособности технических средств Заказчика, на которых хранятся резервные копии;</w:t>
      </w:r>
    </w:p>
    <w:p>
      <w:pPr>
        <w:pStyle w:val="Style44"/>
        <w:spacing w:lineRule="auto" w:line="240" w:before="240" w:after="240"/>
        <w:contextualSpacing/>
        <w:rPr>
          <w:rFonts w:eastAsia="MS Mincho"/>
          <w:bCs/>
          <w:szCs w:val="24"/>
          <w:lang w:eastAsia="ko-KR"/>
        </w:rPr>
      </w:pPr>
      <w:r>
        <w:rPr>
          <w:rFonts w:eastAsia="MS Mincho"/>
          <w:bCs/>
          <w:szCs w:val="24"/>
          <w:lang w:eastAsia="ko-KR"/>
        </w:rPr>
        <w:t>– </w:t>
      </w:r>
      <w:r>
        <w:rPr>
          <w:rFonts w:eastAsia="MS Mincho"/>
          <w:bCs/>
          <w:szCs w:val="24"/>
          <w:lang w:eastAsia="ko-KR"/>
        </w:rPr>
        <w:t>внесения изменений в содержимое резервных копий представителями Заказчика или программным обеспечением;</w:t>
      </w:r>
    </w:p>
    <w:p>
      <w:pPr>
        <w:pStyle w:val="Style44"/>
        <w:spacing w:lineRule="auto" w:line="240" w:before="240" w:after="240"/>
        <w:contextualSpacing/>
        <w:rPr>
          <w:rFonts w:eastAsia="MS Mincho"/>
          <w:bCs/>
          <w:szCs w:val="24"/>
          <w:lang w:eastAsia="ko-KR"/>
        </w:rPr>
      </w:pPr>
      <w:r>
        <w:rPr>
          <w:rFonts w:eastAsia="MS Mincho"/>
          <w:bCs/>
          <w:szCs w:val="24"/>
          <w:lang w:eastAsia="ko-KR"/>
        </w:rPr>
        <w:t>– </w:t>
      </w:r>
      <w:r>
        <w:rPr>
          <w:rFonts w:eastAsia="MS Mincho"/>
          <w:bCs/>
          <w:szCs w:val="24"/>
          <w:lang w:eastAsia="ko-KR"/>
        </w:rPr>
        <w:t>нарушения работоспособности сторонних систем (оборудования, ПО), предоставленных Заказчиком, с помощью которых осуществляется создание резервных копий.</w:t>
      </w:r>
    </w:p>
    <w:p>
      <w:pPr>
        <w:pStyle w:val="Style44"/>
        <w:spacing w:lineRule="auto" w:line="240" w:before="240" w:after="240"/>
        <w:contextualSpacing/>
        <w:rPr>
          <w:rFonts w:eastAsia="MS Mincho"/>
          <w:bCs/>
          <w:szCs w:val="24"/>
          <w:lang w:eastAsia="ko-KR"/>
        </w:rPr>
      </w:pPr>
      <w:r>
        <w:rPr>
          <w:rFonts w:eastAsia="MS Mincho"/>
          <w:bCs/>
          <w:szCs w:val="24"/>
          <w:lang w:eastAsia="ko-KR"/>
        </w:rPr>
        <w:t>Контроль резервных копий должен осуществляться в соответствии с разработанным Исполнителем и утвержденным Заказчиком Регламентом РК.</w:t>
      </w:r>
    </w:p>
    <w:p>
      <w:pPr>
        <w:pStyle w:val="Style44"/>
        <w:spacing w:lineRule="auto" w:line="240" w:before="240" w:after="0"/>
        <w:contextualSpacing/>
        <w:rPr>
          <w:rFonts w:eastAsia="MS Mincho"/>
          <w:bCs/>
          <w:szCs w:val="24"/>
          <w:lang w:eastAsia="ko-KR"/>
        </w:rPr>
      </w:pPr>
      <w:r>
        <w:rPr>
          <w:rFonts w:eastAsia="MS Mincho"/>
          <w:bCs/>
          <w:szCs w:val="24"/>
          <w:lang w:eastAsia="ko-KR"/>
        </w:rPr>
      </w:r>
    </w:p>
    <w:p>
      <w:pPr>
        <w:pStyle w:val="33"/>
        <w:spacing w:lineRule="auto" w:line="240" w:before="0" w:after="0"/>
        <w:ind w:firstLine="709" w:start="0"/>
        <w:rPr>
          <w:rFonts w:ascii="Times New Roman" w:hAnsi="Times New Roman"/>
        </w:rPr>
      </w:pPr>
      <w:bookmarkStart w:id="203" w:name="__RefHeading___Toc33560_3559854210"/>
      <w:bookmarkStart w:id="204" w:name="_Toc215755898"/>
      <w:bookmarkStart w:id="205" w:name="_Toc177129112"/>
      <w:bookmarkEnd w:id="203"/>
      <w:r>
        <w:rPr>
          <w:rFonts w:ascii="Times New Roman" w:hAnsi="Times New Roman"/>
        </w:rPr>
        <w:t>Восстановление работоспособности ОС/ОПО и СПО Системы при возникновении инцидентов</w:t>
      </w:r>
      <w:bookmarkEnd w:id="204"/>
      <w:bookmarkEnd w:id="205"/>
    </w:p>
    <w:p>
      <w:pPr>
        <w:pStyle w:val="Heading4"/>
        <w:tabs>
          <w:tab w:val="clear" w:pos="284"/>
          <w:tab w:val="clear" w:pos="568"/>
          <w:tab w:val="clear" w:pos="851"/>
          <w:tab w:val="clear" w:pos="1418"/>
          <w:tab w:val="clear" w:pos="1701"/>
          <w:tab w:val="clear" w:pos="1985"/>
        </w:tabs>
        <w:spacing w:lineRule="auto" w:line="240" w:before="120" w:after="120"/>
        <w:ind w:firstLine="709" w:start="0"/>
        <w:rPr>
          <w:rFonts w:eastAsia="MS Gothic"/>
          <w:b/>
          <w:sz w:val="24"/>
          <w:szCs w:val="24"/>
          <w:lang w:eastAsia="en-US"/>
        </w:rPr>
      </w:pPr>
      <w:bookmarkStart w:id="206" w:name="_Toc177129113"/>
      <w:r>
        <w:rPr>
          <w:rFonts w:eastAsia="MS Gothic"/>
          <w:b/>
          <w:sz w:val="24"/>
          <w:szCs w:val="24"/>
          <w:lang w:eastAsia="en-US"/>
        </w:rPr>
        <w:t>5.4.5.1</w:t>
        <w:tab/>
        <w:t>Разработка плана мониторинга и настройка сервера мониторинга</w:t>
      </w:r>
      <w:bookmarkEnd w:id="206"/>
    </w:p>
    <w:p>
      <w:pPr>
        <w:pStyle w:val="Normal"/>
        <w:spacing w:lineRule="auto" w:line="240" w:before="0" w:after="0"/>
        <w:ind w:firstLine="709" w:start="0"/>
        <w:contextualSpacing/>
        <w:rPr>
          <w:rFonts w:eastAsia="Batang"/>
          <w:sz w:val="24"/>
          <w:szCs w:val="24"/>
        </w:rPr>
      </w:pPr>
      <w:r>
        <w:rPr>
          <w:rFonts w:eastAsia="Batang"/>
          <w:sz w:val="24"/>
          <w:szCs w:val="24"/>
        </w:rPr>
        <w:t>В рамках оказания услуг по мониторингу Системы Исполнитель должен в течение 10 (десяти) рабочих дней с момента заключения Договора разработать и согласовать с Заказчиком План мониторинга.</w:t>
      </w:r>
    </w:p>
    <w:p>
      <w:pPr>
        <w:pStyle w:val="Normal"/>
        <w:spacing w:lineRule="auto" w:line="240" w:before="0" w:after="0"/>
        <w:ind w:firstLine="709" w:start="0"/>
        <w:contextualSpacing/>
        <w:rPr>
          <w:rFonts w:eastAsia="Batang"/>
          <w:sz w:val="24"/>
          <w:szCs w:val="24"/>
        </w:rPr>
      </w:pPr>
      <w:r>
        <w:rPr>
          <w:rFonts w:eastAsia="Batang"/>
          <w:sz w:val="24"/>
          <w:szCs w:val="24"/>
        </w:rPr>
        <w:t>План мониторинга должен включать:</w:t>
      </w:r>
    </w:p>
    <w:p>
      <w:pPr>
        <w:pStyle w:val="Normal"/>
        <w:spacing w:lineRule="auto" w:line="240" w:before="0" w:after="0"/>
        <w:ind w:firstLine="709" w:start="0"/>
        <w:contextualSpacing/>
        <w:rPr>
          <w:rFonts w:eastAsia="Batang"/>
          <w:sz w:val="24"/>
          <w:szCs w:val="24"/>
        </w:rPr>
      </w:pPr>
      <w:r>
        <w:rPr>
          <w:rFonts w:eastAsia="Batang"/>
          <w:sz w:val="24"/>
          <w:szCs w:val="24"/>
        </w:rPr>
        <w:t>- описание всех точек мониторинга;</w:t>
      </w:r>
    </w:p>
    <w:p>
      <w:pPr>
        <w:pStyle w:val="Normal"/>
        <w:spacing w:lineRule="auto" w:line="240" w:before="0" w:after="0"/>
        <w:ind w:firstLine="709" w:start="0"/>
        <w:contextualSpacing/>
        <w:rPr>
          <w:rFonts w:eastAsia="Batang"/>
          <w:sz w:val="24"/>
          <w:szCs w:val="24"/>
        </w:rPr>
      </w:pPr>
      <w:r>
        <w:rPr>
          <w:rFonts w:eastAsia="Batang"/>
          <w:sz w:val="24"/>
          <w:szCs w:val="24"/>
        </w:rPr>
        <w:t>- описание наблюдаемых функций ОС/ОПО/СПО Системы;</w:t>
      </w:r>
    </w:p>
    <w:p>
      <w:pPr>
        <w:pStyle w:val="Normal"/>
        <w:spacing w:lineRule="auto" w:line="240" w:before="0" w:after="0"/>
        <w:ind w:firstLine="709" w:start="0"/>
        <w:contextualSpacing/>
        <w:rPr>
          <w:rFonts w:eastAsia="Batang"/>
          <w:sz w:val="24"/>
          <w:szCs w:val="24"/>
        </w:rPr>
      </w:pPr>
      <w:r>
        <w:rPr>
          <w:rFonts w:eastAsia="Batang"/>
          <w:sz w:val="24"/>
          <w:szCs w:val="24"/>
        </w:rPr>
        <w:t>- описание способов мониторинга каждой точки, включая протокол и конфигурацию запроса (например, SNMP/OID, HTTP/URL);</w:t>
      </w:r>
    </w:p>
    <w:p>
      <w:pPr>
        <w:pStyle w:val="Normal"/>
        <w:spacing w:lineRule="auto" w:line="240" w:before="0" w:after="0"/>
        <w:ind w:firstLine="709" w:start="0"/>
        <w:contextualSpacing/>
        <w:rPr>
          <w:rFonts w:eastAsia="Batang"/>
          <w:sz w:val="24"/>
          <w:szCs w:val="24"/>
        </w:rPr>
      </w:pPr>
      <w:r>
        <w:rPr>
          <w:rFonts w:eastAsia="Batang"/>
          <w:sz w:val="24"/>
          <w:szCs w:val="24"/>
        </w:rPr>
        <w:t>-</w:t>
      </w:r>
      <w:r>
        <w:rPr>
          <w:rFonts w:eastAsia="Batang"/>
        </w:rPr>
        <w:t> </w:t>
      </w:r>
      <w:r>
        <w:rPr>
          <w:rFonts w:eastAsia="Batang"/>
          <w:sz w:val="24"/>
          <w:szCs w:val="24"/>
        </w:rPr>
        <w:t>описание результата мониторинга каждой точки с градацией результата опроса по 3-м состояниям: в норме (доступен), требуется вмешательство, недоступен;</w:t>
      </w:r>
    </w:p>
    <w:p>
      <w:pPr>
        <w:pStyle w:val="Normal"/>
        <w:spacing w:lineRule="auto" w:line="240" w:before="0" w:after="0"/>
        <w:ind w:firstLine="709" w:start="0"/>
        <w:contextualSpacing/>
        <w:rPr>
          <w:rFonts w:eastAsia="Batang"/>
          <w:sz w:val="24"/>
          <w:szCs w:val="24"/>
        </w:rPr>
      </w:pPr>
      <w:r>
        <w:rPr>
          <w:rFonts w:eastAsia="Batang"/>
          <w:sz w:val="24"/>
          <w:szCs w:val="24"/>
        </w:rPr>
        <w:t>- описание параметров и эталонных значений для мониторинга ОС/ОПО/СПО Системы, позволяющих осуществить сквозную проверку функций СПО;</w:t>
      </w:r>
    </w:p>
    <w:p>
      <w:pPr>
        <w:pStyle w:val="Normal"/>
        <w:spacing w:lineRule="auto" w:line="240" w:before="0" w:after="0"/>
        <w:ind w:firstLine="709" w:start="0"/>
        <w:contextualSpacing/>
        <w:rPr>
          <w:rFonts w:eastAsia="Batang"/>
          <w:sz w:val="24"/>
          <w:szCs w:val="24"/>
        </w:rPr>
      </w:pPr>
      <w:r>
        <w:rPr>
          <w:rFonts w:eastAsia="Batang"/>
          <w:sz w:val="24"/>
          <w:szCs w:val="24"/>
        </w:rPr>
        <w:t>- описание параметров и пороговых значений мониторинга производительности ОС/ОПО/СПО Системы;</w:t>
      </w:r>
    </w:p>
    <w:p>
      <w:pPr>
        <w:pStyle w:val="Normal"/>
        <w:spacing w:lineRule="auto" w:line="240" w:before="0" w:after="0"/>
        <w:ind w:firstLine="709" w:start="0"/>
        <w:contextualSpacing/>
        <w:rPr>
          <w:rFonts w:eastAsia="Batang"/>
          <w:sz w:val="24"/>
          <w:szCs w:val="24"/>
        </w:rPr>
      </w:pPr>
      <w:r>
        <w:rPr>
          <w:rFonts w:eastAsia="Batang"/>
          <w:sz w:val="24"/>
          <w:szCs w:val="24"/>
        </w:rPr>
        <w:t>-</w:t>
      </w:r>
      <w:r>
        <w:rPr>
          <w:rFonts w:eastAsia="Batang"/>
        </w:rPr>
        <w:t> </w:t>
      </w:r>
      <w:r>
        <w:rPr>
          <w:rFonts w:eastAsia="Batang"/>
          <w:sz w:val="24"/>
          <w:szCs w:val="24"/>
        </w:rPr>
        <w:t>информацию о периодичности проведения мониторинга (измерений) ОС/ОПО/СПО Системы.</w:t>
      </w:r>
    </w:p>
    <w:p>
      <w:pPr>
        <w:pStyle w:val="Normal"/>
        <w:spacing w:lineRule="auto" w:line="240" w:before="0" w:after="240"/>
        <w:ind w:firstLine="709" w:start="0"/>
        <w:contextualSpacing/>
        <w:rPr>
          <w:rFonts w:eastAsia="Batang"/>
          <w:sz w:val="24"/>
          <w:szCs w:val="24"/>
        </w:rPr>
      </w:pPr>
      <w:r>
        <w:rPr>
          <w:rFonts w:eastAsia="Batang"/>
          <w:sz w:val="24"/>
          <w:szCs w:val="24"/>
        </w:rPr>
        <w:t>Примерный перечень системных параметров мониторинга приведен в (</w:t>
      </w:r>
      <w:r>
        <w:rPr>
          <w:rFonts w:eastAsia="Batang"/>
          <w:sz w:val="24"/>
          <w:szCs w:val="24"/>
        </w:rPr>
        <w:fldChar w:fldCharType="begin"/>
      </w:r>
      <w:r>
        <w:rPr>
          <w:sz w:val="24"/>
          <w:szCs w:val="24"/>
          <w:rFonts w:eastAsia="Batang"/>
        </w:rPr>
        <w:instrText xml:space="preserve"> REF _Ref192582094 \h </w:instrText>
      </w:r>
      <w:r>
        <w:rPr>
          <w:sz w:val="24"/>
          <w:szCs w:val="24"/>
          <w:rFonts w:eastAsia="Batang"/>
        </w:rPr>
        <w:fldChar w:fldCharType="separate"/>
      </w:r>
      <w:r>
        <w:rPr>
          <w:sz w:val="24"/>
          <w:szCs w:val="24"/>
          <w:rFonts w:eastAsia="Batang"/>
        </w:rPr>
        <w:t>Таблица 25</w:t>
      </w:r>
      <w:r>
        <w:rPr>
          <w:sz w:val="24"/>
          <w:szCs w:val="24"/>
          <w:rFonts w:eastAsia="Batang"/>
        </w:rPr>
        <w:fldChar w:fldCharType="end"/>
      </w:r>
      <w:r>
        <w:rPr>
          <w:rFonts w:eastAsia="Batang"/>
          <w:sz w:val="24"/>
          <w:szCs w:val="24"/>
        </w:rPr>
        <w:t>).</w:t>
      </w:r>
    </w:p>
    <w:p>
      <w:pPr>
        <w:pStyle w:val="Caption"/>
        <w:rPr>
          <w:i w:val="false"/>
          <w:i w:val="false"/>
          <w:iCs w:val="false"/>
          <w:color w:val="auto"/>
          <w:sz w:val="24"/>
          <w:szCs w:val="24"/>
        </w:rPr>
      </w:pPr>
      <w:bookmarkStart w:id="207" w:name="_Ref192582094"/>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25</w:t>
      </w:r>
      <w:r>
        <w:rPr>
          <w:sz w:val="24"/>
          <w:i w:val="false"/>
          <w:szCs w:val="24"/>
          <w:iCs w:val="false"/>
          <w:color w:val="auto"/>
        </w:rPr>
        <w:fldChar w:fldCharType="end"/>
      </w:r>
      <w:bookmarkEnd w:id="207"/>
      <w:r>
        <w:rPr>
          <w:i w:val="false"/>
          <w:iCs w:val="false"/>
          <w:color w:val="auto"/>
          <w:sz w:val="24"/>
          <w:szCs w:val="24"/>
        </w:rPr>
        <w:t xml:space="preserve"> – Системные параметры мониторинга.</w:t>
      </w:r>
    </w:p>
    <w:tbl>
      <w:tblPr>
        <w:tblW w:w="9923" w:type="dxa"/>
        <w:jc w:val="start"/>
        <w:tblInd w:w="-5" w:type="dxa"/>
        <w:tblLayout w:type="fixed"/>
        <w:tblCellMar>
          <w:top w:w="0" w:type="dxa"/>
          <w:start w:w="108" w:type="dxa"/>
          <w:bottom w:w="0" w:type="dxa"/>
          <w:end w:w="108" w:type="dxa"/>
        </w:tblCellMar>
        <w:tblLook w:val="04a0" w:noHBand="0" w:noVBand="1" w:firstColumn="1" w:lastRow="0" w:lastColumn="0" w:firstRow="1"/>
      </w:tblPr>
      <w:tblGrid>
        <w:gridCol w:w="562"/>
        <w:gridCol w:w="4541"/>
        <w:gridCol w:w="4820"/>
      </w:tblGrid>
      <w:tr>
        <w:trPr>
          <w:tblHeader w:val="true"/>
          <w:trHeight w:val="20" w:hRule="atLeast"/>
        </w:trPr>
        <w:tc>
          <w:tcPr>
            <w:tcW w:w="562" w:type="dxa"/>
            <w:tcBorders>
              <w:top w:val="single" w:sz="4" w:space="0" w:color="000000"/>
              <w:start w:val="single" w:sz="4" w:space="0" w:color="000000"/>
              <w:bottom w:val="single" w:sz="4" w:space="0" w:color="000000"/>
              <w:end w:val="single" w:sz="4" w:space="0" w:color="000000"/>
            </w:tcBorders>
            <w:vAlign w:val="center"/>
          </w:tcPr>
          <w:p>
            <w:pPr>
              <w:pStyle w:val="Normal"/>
              <w:keepNext w:val="true"/>
              <w:spacing w:lineRule="auto" w:line="240" w:before="0" w:after="0"/>
              <w:ind w:hanging="0" w:start="-57" w:end="-57"/>
              <w:jc w:val="center"/>
              <w:rPr/>
            </w:pPr>
            <w:r>
              <w:rPr>
                <w:rFonts w:eastAsia="MS Mincho"/>
                <w:b/>
                <w:bCs/>
                <w:sz w:val="24"/>
                <w:szCs w:val="24"/>
                <w:lang w:eastAsia="ko-KR"/>
              </w:rPr>
              <w:t>№</w:t>
            </w:r>
          </w:p>
        </w:tc>
        <w:tc>
          <w:tcPr>
            <w:tcW w:w="4541" w:type="dxa"/>
            <w:tcBorders>
              <w:top w:val="single" w:sz="4" w:space="0" w:color="000000"/>
              <w:start w:val="single" w:sz="4" w:space="0" w:color="000000"/>
              <w:bottom w:val="single" w:sz="4" w:space="0" w:color="000000"/>
              <w:end w:val="single" w:sz="4" w:space="0" w:color="000000"/>
            </w:tcBorders>
            <w:vAlign w:val="center"/>
          </w:tcPr>
          <w:p>
            <w:pPr>
              <w:pStyle w:val="Normal"/>
              <w:keepNext w:val="true"/>
              <w:spacing w:lineRule="auto" w:line="240" w:before="0" w:after="0"/>
              <w:ind w:hanging="0" w:start="-57" w:end="-57"/>
              <w:jc w:val="center"/>
              <w:rPr/>
            </w:pPr>
            <w:r>
              <w:rPr>
                <w:rFonts w:eastAsia="MS Mincho"/>
                <w:b/>
                <w:bCs/>
                <w:sz w:val="24"/>
                <w:szCs w:val="24"/>
                <w:lang w:eastAsia="ko-KR"/>
              </w:rPr>
              <w:t>Объект измерения</w:t>
            </w:r>
          </w:p>
        </w:tc>
        <w:tc>
          <w:tcPr>
            <w:tcW w:w="4820" w:type="dxa"/>
            <w:tcBorders>
              <w:top w:val="single" w:sz="4" w:space="0" w:color="000000"/>
              <w:start w:val="single" w:sz="4" w:space="0" w:color="000000"/>
              <w:bottom w:val="single" w:sz="4" w:space="0" w:color="000000"/>
              <w:end w:val="single" w:sz="4" w:space="0" w:color="000000"/>
            </w:tcBorders>
            <w:vAlign w:val="center"/>
          </w:tcPr>
          <w:p>
            <w:pPr>
              <w:pStyle w:val="Normal"/>
              <w:keepNext w:val="true"/>
              <w:spacing w:lineRule="auto" w:line="240" w:before="0" w:after="0"/>
              <w:ind w:hanging="0" w:start="-57" w:end="-57"/>
              <w:jc w:val="center"/>
              <w:rPr/>
            </w:pPr>
            <w:r>
              <w:rPr>
                <w:rFonts w:eastAsia="MS Mincho"/>
                <w:b/>
                <w:bCs/>
                <w:sz w:val="24"/>
                <w:szCs w:val="24"/>
                <w:lang w:eastAsia="ko-KR"/>
              </w:rPr>
              <w:t>Параметр</w:t>
            </w:r>
            <w:r>
              <w:rPr>
                <w:rStyle w:val="FootnoteReference"/>
                <w:rFonts w:eastAsia="MS Mincho"/>
                <w:b/>
                <w:bCs/>
                <w:sz w:val="24"/>
                <w:szCs w:val="24"/>
                <w:lang w:eastAsia="ko-KR"/>
              </w:rPr>
              <w:footnoteReference w:id="3"/>
            </w:r>
          </w:p>
        </w:tc>
      </w:tr>
      <w:tr>
        <w:trPr>
          <w:trHeight w:val="20" w:hRule="atLeast"/>
        </w:trPr>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1</w:t>
            </w:r>
          </w:p>
        </w:tc>
        <w:tc>
          <w:tcPr>
            <w:tcW w:w="45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Центральный процессор (</w:t>
            </w:r>
            <w:r>
              <w:rPr>
                <w:rFonts w:eastAsia="MS Mincho"/>
                <w:bCs/>
                <w:sz w:val="24"/>
                <w:szCs w:val="24"/>
                <w:lang w:val="en-US" w:eastAsia="ko-KR"/>
              </w:rPr>
              <w:t>CPU</w:t>
            </w:r>
            <w:r>
              <w:rPr>
                <w:rFonts w:eastAsia="MS Mincho"/>
                <w:bCs/>
                <w:sz w:val="24"/>
                <w:szCs w:val="24"/>
                <w:lang w:eastAsia="ko-KR"/>
              </w:rPr>
              <w:t>)</w:t>
            </w:r>
          </w:p>
        </w:tc>
        <w:tc>
          <w:tcPr>
            <w:tcW w:w="48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val="en-US" w:eastAsia="ko-KR"/>
              </w:rPr>
              <w:t>processor idle time;</w:t>
            </w:r>
          </w:p>
          <w:p>
            <w:pPr>
              <w:pStyle w:val="Normal"/>
              <w:spacing w:lineRule="auto" w:line="240" w:before="0" w:after="0"/>
              <w:ind w:hanging="0" w:start="0"/>
              <w:jc w:val="center"/>
              <w:rPr/>
            </w:pPr>
            <w:r>
              <w:rPr>
                <w:rFonts w:eastAsia="MS Mincho"/>
                <w:bCs/>
                <w:sz w:val="24"/>
                <w:szCs w:val="24"/>
                <w:lang w:val="en-US" w:eastAsia="ko-KR"/>
              </w:rPr>
              <w:t>context switches;</w:t>
            </w:r>
          </w:p>
          <w:p>
            <w:pPr>
              <w:pStyle w:val="Normal"/>
              <w:spacing w:lineRule="auto" w:line="240" w:before="0" w:after="0"/>
              <w:ind w:hanging="0" w:start="0"/>
              <w:jc w:val="center"/>
              <w:rPr/>
            </w:pPr>
            <w:r>
              <w:rPr>
                <w:rFonts w:eastAsia="MS Mincho"/>
                <w:bCs/>
                <w:sz w:val="24"/>
                <w:szCs w:val="24"/>
                <w:lang w:val="en-US" w:eastAsia="ko-KR"/>
              </w:rPr>
              <w:t>load average;</w:t>
            </w:r>
          </w:p>
          <w:p>
            <w:pPr>
              <w:pStyle w:val="Normal"/>
              <w:spacing w:lineRule="auto" w:line="240" w:before="0" w:after="0"/>
              <w:ind w:hanging="0" w:start="0"/>
              <w:jc w:val="center"/>
              <w:rPr/>
            </w:pPr>
            <w:r>
              <w:rPr>
                <w:rFonts w:eastAsia="MS Mincho"/>
                <w:bCs/>
                <w:sz w:val="24"/>
                <w:szCs w:val="24"/>
                <w:lang w:val="en-US" w:eastAsia="ko-KR"/>
              </w:rPr>
              <w:t>processor queue length;</w:t>
            </w:r>
          </w:p>
          <w:p>
            <w:pPr>
              <w:pStyle w:val="Normal"/>
              <w:spacing w:lineRule="auto" w:line="240" w:before="0" w:after="0"/>
              <w:ind w:hanging="0" w:start="0"/>
              <w:jc w:val="center"/>
              <w:rPr/>
            </w:pPr>
            <w:r>
              <w:rPr>
                <w:rFonts w:eastAsia="MS Mincho"/>
                <w:bCs/>
                <w:sz w:val="24"/>
                <w:szCs w:val="24"/>
                <w:lang w:val="en-US" w:eastAsia="ko-KR"/>
              </w:rPr>
              <w:t>wait time</w:t>
            </w:r>
            <w:r>
              <w:rPr>
                <w:rFonts w:eastAsia="MS Mincho"/>
                <w:bCs/>
                <w:sz w:val="24"/>
                <w:szCs w:val="24"/>
                <w:lang w:eastAsia="ko-KR"/>
              </w:rPr>
              <w:t>;</w:t>
            </w:r>
          </w:p>
        </w:tc>
      </w:tr>
      <w:tr>
        <w:trPr>
          <w:trHeight w:val="20" w:hRule="atLeast"/>
        </w:trPr>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2</w:t>
            </w:r>
          </w:p>
        </w:tc>
        <w:tc>
          <w:tcPr>
            <w:tcW w:w="45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Оперативная память (</w:t>
            </w:r>
            <w:r>
              <w:rPr>
                <w:rFonts w:eastAsia="MS Mincho"/>
                <w:bCs/>
                <w:sz w:val="24"/>
                <w:szCs w:val="24"/>
                <w:lang w:val="en-US" w:eastAsia="ko-KR"/>
              </w:rPr>
              <w:t>RAM</w:t>
            </w:r>
            <w:r>
              <w:rPr>
                <w:rFonts w:eastAsia="MS Mincho"/>
                <w:bCs/>
                <w:sz w:val="24"/>
                <w:szCs w:val="24"/>
                <w:lang w:eastAsia="ko-KR"/>
              </w:rPr>
              <w:t>)</w:t>
            </w:r>
          </w:p>
        </w:tc>
        <w:tc>
          <w:tcPr>
            <w:tcW w:w="48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val="en-US" w:eastAsia="ko-KR"/>
              </w:rPr>
              <w:t>RAM used size;</w:t>
            </w:r>
          </w:p>
          <w:p>
            <w:pPr>
              <w:pStyle w:val="Normal"/>
              <w:spacing w:lineRule="auto" w:line="240" w:before="0" w:after="0"/>
              <w:ind w:hanging="0" w:start="0"/>
              <w:jc w:val="center"/>
              <w:rPr/>
            </w:pPr>
            <w:r>
              <w:rPr>
                <w:rFonts w:eastAsia="MS Mincho"/>
                <w:bCs/>
                <w:sz w:val="24"/>
                <w:szCs w:val="24"/>
                <w:lang w:val="en-US" w:eastAsia="ko-KR"/>
              </w:rPr>
              <w:t>swap size;</w:t>
            </w:r>
          </w:p>
        </w:tc>
      </w:tr>
      <w:tr>
        <w:trPr>
          <w:trHeight w:val="20" w:hRule="atLeast"/>
        </w:trPr>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3</w:t>
            </w:r>
          </w:p>
        </w:tc>
        <w:tc>
          <w:tcPr>
            <w:tcW w:w="45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Дисковые операции (</w:t>
            </w:r>
            <w:r>
              <w:rPr>
                <w:rFonts w:eastAsia="MS Mincho"/>
                <w:bCs/>
                <w:sz w:val="24"/>
                <w:szCs w:val="24"/>
                <w:lang w:val="en-US" w:eastAsia="ko-KR"/>
              </w:rPr>
              <w:t>HDD</w:t>
            </w:r>
            <w:r>
              <w:rPr>
                <w:rFonts w:eastAsia="MS Mincho"/>
                <w:bCs/>
                <w:sz w:val="24"/>
                <w:szCs w:val="24"/>
                <w:lang w:eastAsia="ko-KR"/>
              </w:rPr>
              <w:t>)</w:t>
            </w:r>
          </w:p>
        </w:tc>
        <w:tc>
          <w:tcPr>
            <w:tcW w:w="48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val="en-US" w:eastAsia="ko-KR"/>
              </w:rPr>
              <w:t>Disk write queue length;</w:t>
            </w:r>
          </w:p>
          <w:p>
            <w:pPr>
              <w:pStyle w:val="Normal"/>
              <w:spacing w:lineRule="auto" w:line="240" w:before="0" w:after="0"/>
              <w:ind w:hanging="0" w:start="0"/>
              <w:jc w:val="center"/>
              <w:rPr/>
            </w:pPr>
            <w:r>
              <w:rPr>
                <w:rFonts w:eastAsia="MS Mincho"/>
                <w:bCs/>
                <w:sz w:val="24"/>
                <w:szCs w:val="24"/>
                <w:lang w:val="en-US" w:eastAsia="ko-KR"/>
              </w:rPr>
              <w:t>Disk read queue length;</w:t>
            </w:r>
          </w:p>
          <w:p>
            <w:pPr>
              <w:pStyle w:val="Normal"/>
              <w:spacing w:lineRule="auto" w:line="240" w:before="0" w:after="0"/>
              <w:ind w:hanging="0" w:start="0"/>
              <w:jc w:val="center"/>
              <w:rPr/>
            </w:pPr>
            <w:r>
              <w:rPr>
                <w:rFonts w:eastAsia="MS Mincho"/>
                <w:bCs/>
                <w:sz w:val="24"/>
                <w:szCs w:val="24"/>
                <w:lang w:val="en-US" w:eastAsia="ko-KR"/>
              </w:rPr>
              <w:t>Write latency;</w:t>
            </w:r>
          </w:p>
          <w:p>
            <w:pPr>
              <w:pStyle w:val="Normal"/>
              <w:spacing w:lineRule="auto" w:line="240" w:before="0" w:after="0"/>
              <w:ind w:hanging="0" w:start="0"/>
              <w:jc w:val="center"/>
              <w:rPr/>
            </w:pPr>
            <w:r>
              <w:rPr>
                <w:rFonts w:eastAsia="MS Mincho"/>
                <w:bCs/>
                <w:sz w:val="24"/>
                <w:szCs w:val="24"/>
                <w:lang w:val="en-US" w:eastAsia="ko-KR"/>
              </w:rPr>
              <w:t>Read latency;</w:t>
            </w:r>
          </w:p>
          <w:p>
            <w:pPr>
              <w:pStyle w:val="Normal"/>
              <w:spacing w:lineRule="auto" w:line="240" w:before="0" w:after="0"/>
              <w:ind w:hanging="0" w:start="0"/>
              <w:jc w:val="center"/>
              <w:rPr/>
            </w:pPr>
            <w:r>
              <w:rPr>
                <w:rFonts w:eastAsia="MS Mincho"/>
                <w:bCs/>
                <w:sz w:val="24"/>
                <w:szCs w:val="24"/>
                <w:lang w:val="en-US" w:eastAsia="ko-KR"/>
              </w:rPr>
              <w:t>Write IOPS;</w:t>
            </w:r>
          </w:p>
          <w:p>
            <w:pPr>
              <w:pStyle w:val="Normal"/>
              <w:spacing w:lineRule="auto" w:line="240" w:before="0" w:after="0"/>
              <w:ind w:hanging="0" w:start="0"/>
              <w:jc w:val="center"/>
              <w:rPr/>
            </w:pPr>
            <w:r>
              <w:rPr>
                <w:rFonts w:eastAsia="MS Mincho"/>
                <w:bCs/>
                <w:sz w:val="24"/>
                <w:szCs w:val="24"/>
                <w:lang w:val="en-US" w:eastAsia="ko-KR"/>
              </w:rPr>
              <w:t>Read IOPS;</w:t>
            </w:r>
          </w:p>
          <w:p>
            <w:pPr>
              <w:pStyle w:val="Normal"/>
              <w:spacing w:lineRule="auto" w:line="240" w:before="0" w:after="0"/>
              <w:ind w:hanging="0" w:start="0"/>
              <w:jc w:val="center"/>
              <w:rPr/>
            </w:pPr>
            <w:r>
              <w:rPr>
                <w:rFonts w:eastAsia="MS Mincho"/>
                <w:bCs/>
                <w:sz w:val="24"/>
                <w:szCs w:val="24"/>
                <w:lang w:val="en-US" w:eastAsia="ko-KR"/>
              </w:rPr>
              <w:t>Disk writes/sec;</w:t>
            </w:r>
          </w:p>
          <w:p>
            <w:pPr>
              <w:pStyle w:val="Normal"/>
              <w:spacing w:lineRule="auto" w:line="240" w:before="0" w:after="0"/>
              <w:ind w:hanging="0" w:start="0"/>
              <w:jc w:val="center"/>
              <w:rPr/>
            </w:pPr>
            <w:r>
              <w:rPr>
                <w:rFonts w:eastAsia="MS Mincho"/>
                <w:bCs/>
                <w:sz w:val="24"/>
                <w:szCs w:val="24"/>
                <w:lang w:val="en-US" w:eastAsia="ko-KR"/>
              </w:rPr>
              <w:t>Disk reads/sec;</w:t>
            </w:r>
          </w:p>
          <w:p>
            <w:pPr>
              <w:pStyle w:val="Normal"/>
              <w:spacing w:lineRule="auto" w:line="240" w:before="0" w:after="0"/>
              <w:ind w:hanging="0" w:start="0"/>
              <w:jc w:val="center"/>
              <w:rPr/>
            </w:pPr>
            <w:r>
              <w:rPr>
                <w:rFonts w:eastAsia="MS Mincho"/>
                <w:bCs/>
                <w:sz w:val="24"/>
                <w:szCs w:val="24"/>
                <w:lang w:val="en-US" w:eastAsia="ko-KR"/>
              </w:rPr>
              <w:t>Disk write Bytes/sec;</w:t>
            </w:r>
          </w:p>
          <w:p>
            <w:pPr>
              <w:pStyle w:val="Normal"/>
              <w:spacing w:lineRule="auto" w:line="240" w:before="0" w:after="0"/>
              <w:ind w:hanging="0" w:start="0"/>
              <w:jc w:val="center"/>
              <w:rPr/>
            </w:pPr>
            <w:r>
              <w:rPr>
                <w:rFonts w:eastAsia="MS Mincho"/>
                <w:bCs/>
                <w:sz w:val="24"/>
                <w:szCs w:val="24"/>
                <w:lang w:val="en-US" w:eastAsia="ko-KR"/>
              </w:rPr>
              <w:t>Disk reads Bytes/sec</w:t>
            </w:r>
            <w:r>
              <w:rPr>
                <w:rFonts w:eastAsia="MS Mincho"/>
                <w:bCs/>
                <w:sz w:val="24"/>
                <w:szCs w:val="24"/>
                <w:lang w:eastAsia="ko-KR"/>
              </w:rPr>
              <w:t>;</w:t>
            </w:r>
          </w:p>
        </w:tc>
      </w:tr>
      <w:tr>
        <w:trPr>
          <w:trHeight w:val="20" w:hRule="atLeast"/>
        </w:trPr>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4</w:t>
            </w:r>
          </w:p>
        </w:tc>
        <w:tc>
          <w:tcPr>
            <w:tcW w:w="45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eastAsia="ko-KR"/>
              </w:rPr>
              <w:t>Сетевые интерфейсы</w:t>
            </w:r>
          </w:p>
        </w:tc>
        <w:tc>
          <w:tcPr>
            <w:tcW w:w="48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pPr>
            <w:r>
              <w:rPr>
                <w:rFonts w:eastAsia="MS Mincho"/>
                <w:bCs/>
                <w:sz w:val="24"/>
                <w:szCs w:val="24"/>
                <w:lang w:val="en-US" w:eastAsia="ko-KR"/>
              </w:rPr>
              <w:t>Bytes received/sec;</w:t>
            </w:r>
          </w:p>
          <w:p>
            <w:pPr>
              <w:pStyle w:val="Normal"/>
              <w:spacing w:lineRule="auto" w:line="240" w:before="0" w:after="0"/>
              <w:ind w:hanging="0" w:start="0"/>
              <w:jc w:val="center"/>
              <w:rPr/>
            </w:pPr>
            <w:r>
              <w:rPr>
                <w:rFonts w:eastAsia="MS Mincho"/>
                <w:bCs/>
                <w:sz w:val="24"/>
                <w:szCs w:val="24"/>
                <w:lang w:val="en-US" w:eastAsia="ko-KR"/>
              </w:rPr>
              <w:t>Bytes sent/sec;</w:t>
            </w:r>
          </w:p>
          <w:p>
            <w:pPr>
              <w:pStyle w:val="Normal"/>
              <w:spacing w:lineRule="auto" w:line="240" w:before="0" w:after="0"/>
              <w:ind w:hanging="0" w:start="0"/>
              <w:jc w:val="center"/>
              <w:rPr/>
            </w:pPr>
            <w:r>
              <w:rPr>
                <w:rFonts w:eastAsia="MS Mincho"/>
                <w:bCs/>
                <w:sz w:val="24"/>
                <w:szCs w:val="24"/>
                <w:lang w:val="en-US" w:eastAsia="ko-KR"/>
              </w:rPr>
              <w:t>Packets received/sec;</w:t>
            </w:r>
          </w:p>
          <w:p>
            <w:pPr>
              <w:pStyle w:val="Normal"/>
              <w:spacing w:lineRule="auto" w:line="240" w:before="0" w:after="0"/>
              <w:ind w:hanging="0" w:start="0"/>
              <w:jc w:val="center"/>
              <w:rPr/>
            </w:pPr>
            <w:r>
              <w:rPr>
                <w:rFonts w:eastAsia="MS Mincho"/>
                <w:bCs/>
                <w:sz w:val="24"/>
                <w:szCs w:val="24"/>
                <w:lang w:val="en-US" w:eastAsia="ko-KR"/>
              </w:rPr>
              <w:t>Packets sent/sec.</w:t>
            </w:r>
          </w:p>
        </w:tc>
      </w:tr>
    </w:tbl>
    <w:p>
      <w:pPr>
        <w:pStyle w:val="Normal"/>
        <w:spacing w:lineRule="auto" w:line="240" w:before="0" w:after="0"/>
        <w:ind w:firstLine="709" w:start="0"/>
        <w:rPr>
          <w:rFonts w:eastAsia="MS Mincho"/>
          <w:sz w:val="24"/>
          <w:szCs w:val="24"/>
          <w:lang w:eastAsia="ko-KR"/>
        </w:rPr>
      </w:pPr>
      <w:r>
        <w:rPr>
          <w:rFonts w:eastAsia="MS Mincho"/>
          <w:sz w:val="24"/>
          <w:szCs w:val="24"/>
          <w:lang w:eastAsia="ko-KR"/>
        </w:rPr>
        <w:t>После утверждения Плана мониторинга Заказчиком Исполнитель должен выполнить операции по установке и настройке сервера мониторинга и начать осуществлять мониторинг Системы в соответствии с утверждённым Планом мониторинга.</w:t>
      </w:r>
    </w:p>
    <w:p>
      <w:pPr>
        <w:pStyle w:val="Normal"/>
        <w:spacing w:lineRule="auto" w:line="240" w:before="0" w:after="0"/>
        <w:ind w:firstLine="709" w:start="0"/>
        <w:rPr>
          <w:rFonts w:eastAsia="MS Mincho"/>
          <w:sz w:val="24"/>
          <w:szCs w:val="24"/>
          <w:lang w:eastAsia="ko-KR"/>
        </w:rPr>
      </w:pPr>
      <w:r>
        <w:rPr>
          <w:rFonts w:eastAsia="MS Mincho"/>
          <w:sz w:val="24"/>
          <w:szCs w:val="24"/>
          <w:lang w:eastAsia="ko-KR"/>
        </w:rPr>
        <w:t>Вычислительные мощности для развертывания сервера мониторинга предоставляет Заказчик в течение 10 (десяти) рабочих дней после соответствующего запроса Исполнителя.</w:t>
      </w:r>
    </w:p>
    <w:p>
      <w:pPr>
        <w:pStyle w:val="Normal"/>
        <w:spacing w:lineRule="auto" w:line="240" w:before="0" w:after="0"/>
        <w:ind w:firstLine="709" w:start="0"/>
        <w:rPr>
          <w:rFonts w:eastAsia="MS Mincho"/>
          <w:sz w:val="24"/>
          <w:szCs w:val="24"/>
          <w:lang w:eastAsia="ko-KR"/>
        </w:rPr>
      </w:pPr>
      <w:r>
        <w:rPr>
          <w:rFonts w:eastAsia="MS Mincho"/>
          <w:sz w:val="24"/>
          <w:szCs w:val="24"/>
          <w:lang w:eastAsia="ko-KR"/>
        </w:rPr>
        <w:t>Сервер мониторинга должен осуществлять проверку сетевой доступности СПО по заданным адресам (IP, URL и т.п.).</w:t>
      </w:r>
    </w:p>
    <w:p>
      <w:pPr>
        <w:pStyle w:val="Normal"/>
        <w:spacing w:lineRule="auto" w:line="240" w:before="0" w:after="0"/>
        <w:ind w:firstLine="709" w:start="0"/>
        <w:rPr>
          <w:rFonts w:eastAsia="MS Mincho"/>
          <w:color w:val="000000"/>
          <w:sz w:val="24"/>
          <w:szCs w:val="24"/>
          <w:lang w:eastAsia="ru-RU"/>
        </w:rPr>
      </w:pPr>
      <w:r>
        <w:rPr>
          <w:rFonts w:eastAsia="MS Mincho"/>
          <w:color w:val="000000"/>
          <w:sz w:val="24"/>
          <w:szCs w:val="24"/>
          <w:lang w:eastAsia="ru-RU"/>
        </w:rPr>
      </w:r>
    </w:p>
    <w:p>
      <w:pPr>
        <w:pStyle w:val="Normal"/>
        <w:keepNext w:val="true"/>
        <w:keepLines/>
        <w:numPr>
          <w:ilvl w:val="0"/>
          <w:numId w:val="0"/>
        </w:numPr>
        <w:spacing w:lineRule="auto" w:line="240" w:before="0" w:after="120"/>
        <w:ind w:firstLine="709" w:start="0"/>
        <w:outlineLvl w:val="3"/>
        <w:rPr>
          <w:rFonts w:eastAsia="MS Gothic"/>
          <w:i/>
          <w:i/>
          <w:iCs/>
          <w:sz w:val="24"/>
          <w:szCs w:val="24"/>
        </w:rPr>
      </w:pPr>
      <w:r>
        <w:rPr>
          <w:rFonts w:eastAsia="MS Gothic"/>
          <w:b/>
          <w:sz w:val="24"/>
          <w:szCs w:val="24"/>
        </w:rPr>
        <w:t>5.4.5.2</w:t>
        <w:tab/>
        <w:t>Внесение изменений в План мониторинга и изменение параметров мониторинга Системы</w:t>
      </w:r>
    </w:p>
    <w:p>
      <w:pPr>
        <w:pStyle w:val="Normal"/>
        <w:spacing w:lineRule="auto" w:line="240" w:before="0" w:after="0"/>
        <w:ind w:firstLine="709" w:start="0"/>
        <w:rPr>
          <w:rFonts w:eastAsia="Batang"/>
          <w:sz w:val="24"/>
          <w:szCs w:val="24"/>
        </w:rPr>
      </w:pPr>
      <w:r>
        <w:rPr>
          <w:rFonts w:eastAsia="Batang"/>
          <w:sz w:val="24"/>
          <w:szCs w:val="24"/>
        </w:rPr>
        <w:t>По обращению представителя Заказчика Исполнитель должен внести изменения в План мониторинга и согласовать измененный План мониторинга с Заказчиком.</w:t>
      </w:r>
    </w:p>
    <w:p>
      <w:pPr>
        <w:pStyle w:val="Normal"/>
        <w:spacing w:lineRule="auto" w:line="240" w:before="0" w:after="0"/>
        <w:ind w:firstLine="709" w:start="0"/>
        <w:rPr>
          <w:rFonts w:eastAsia="Batang"/>
          <w:sz w:val="24"/>
          <w:szCs w:val="24"/>
        </w:rPr>
      </w:pPr>
      <w:r>
        <w:rPr>
          <w:rFonts w:eastAsia="Batang"/>
          <w:sz w:val="24"/>
          <w:szCs w:val="24"/>
        </w:rPr>
        <w:t>После утверждения Плана мониторинга выполнить соответствующие изменения параметров мониторинга.</w:t>
      </w:r>
    </w:p>
    <w:p>
      <w:pPr>
        <w:pStyle w:val="Normal"/>
        <w:spacing w:lineRule="auto" w:line="240" w:before="0" w:after="0"/>
        <w:ind w:firstLine="709" w:start="0"/>
        <w:rPr>
          <w:rFonts w:eastAsia="Batang"/>
          <w:sz w:val="24"/>
          <w:szCs w:val="24"/>
        </w:rPr>
      </w:pPr>
      <w:r>
        <w:rPr>
          <w:rFonts w:eastAsia="Batang"/>
          <w:sz w:val="24"/>
          <w:szCs w:val="24"/>
        </w:rPr>
      </w:r>
    </w:p>
    <w:p>
      <w:pPr>
        <w:pStyle w:val="Normal"/>
        <w:keepNext w:val="true"/>
        <w:keepLines/>
        <w:numPr>
          <w:ilvl w:val="0"/>
          <w:numId w:val="0"/>
        </w:numPr>
        <w:spacing w:lineRule="auto" w:line="240" w:before="0" w:after="120"/>
        <w:ind w:firstLine="709" w:start="0"/>
        <w:outlineLvl w:val="3"/>
        <w:rPr>
          <w:rFonts w:eastAsia="MS Gothic"/>
          <w:i/>
          <w:i/>
          <w:iCs/>
          <w:sz w:val="24"/>
          <w:szCs w:val="24"/>
        </w:rPr>
      </w:pPr>
      <w:bookmarkStart w:id="208" w:name="_Hlk177132399"/>
      <w:r>
        <w:rPr>
          <w:rFonts w:eastAsia="MS Gothic"/>
          <w:b/>
          <w:sz w:val="24"/>
          <w:szCs w:val="24"/>
        </w:rPr>
        <w:t>5.4.5.3</w:t>
        <w:tab/>
        <w:t>Организация мониторинга Системы</w:t>
      </w:r>
      <w:bookmarkEnd w:id="208"/>
    </w:p>
    <w:p>
      <w:pPr>
        <w:pStyle w:val="Normal"/>
        <w:spacing w:lineRule="auto" w:line="240" w:before="0" w:after="0"/>
        <w:ind w:firstLine="709" w:start="0"/>
        <w:rPr>
          <w:rFonts w:eastAsia="Batang"/>
          <w:sz w:val="24"/>
          <w:szCs w:val="24"/>
        </w:rPr>
      </w:pPr>
      <w:r>
        <w:rPr>
          <w:rFonts w:eastAsia="Batang"/>
          <w:sz w:val="24"/>
          <w:szCs w:val="24"/>
        </w:rPr>
        <w:t>Для обеспечения доступности, работоспособности и производительности Системы Исполнителем должен обеспечиваться автоматический мониторинг Системы с использованием сервера мониторинга.</w:t>
      </w:r>
    </w:p>
    <w:p>
      <w:pPr>
        <w:pStyle w:val="Normal"/>
        <w:spacing w:lineRule="auto" w:line="240" w:before="0" w:after="0"/>
        <w:ind w:firstLine="709" w:start="0"/>
        <w:rPr>
          <w:rFonts w:eastAsia="Batang"/>
          <w:sz w:val="24"/>
          <w:szCs w:val="24"/>
        </w:rPr>
      </w:pPr>
      <w:r>
        <w:rPr>
          <w:rFonts w:eastAsia="Batang"/>
          <w:sz w:val="24"/>
          <w:szCs w:val="24"/>
        </w:rPr>
        <w:t>Необходимо осуществлять мониторинг Системы в соответствии с согласованным Планом мониторинга. Задачей мониторинга является обеспечить работоспособность Системы, и уменьшение времени обнаружения неполадок в Системе и их устранения.</w:t>
      </w:r>
    </w:p>
    <w:p>
      <w:pPr>
        <w:pStyle w:val="Normal"/>
        <w:spacing w:lineRule="auto" w:line="240" w:before="0" w:after="0"/>
        <w:ind w:firstLine="709" w:start="0"/>
        <w:rPr>
          <w:rFonts w:eastAsia="Batang"/>
          <w:sz w:val="24"/>
          <w:szCs w:val="24"/>
        </w:rPr>
      </w:pPr>
      <w:r>
        <w:rPr>
          <w:rFonts w:eastAsia="Batang"/>
          <w:sz w:val="24"/>
          <w:szCs w:val="24"/>
        </w:rPr>
        <w:t>В течение 30 минут рабочего времени после обнаружения сервером мониторинга отказа или сбоя в работе Системы, в том числе потери или задержки при получении и отправке сетевых пакетов, необходимо зафиксировать Инцидент в СУТП, в дальнейшем он должен быть внесен в Журнал обслуживания Системы с назначением приоритета и устранен в регламентированные сроки.</w:t>
      </w:r>
    </w:p>
    <w:p>
      <w:pPr>
        <w:pStyle w:val="Normal"/>
        <w:spacing w:lineRule="auto" w:line="240" w:before="0" w:after="0"/>
        <w:ind w:firstLine="709" w:start="0"/>
        <w:rPr>
          <w:rFonts w:eastAsia="Batang"/>
          <w:sz w:val="24"/>
          <w:szCs w:val="24"/>
        </w:rPr>
      </w:pPr>
      <w:r>
        <w:rPr>
          <w:rFonts w:eastAsia="Batang"/>
          <w:sz w:val="24"/>
          <w:szCs w:val="24"/>
        </w:rPr>
        <w:t>Сведения о недоступности Системы за отчетный период должны определяться на основе данных, предоставляемых сервером мониторинга и отражаться в Отчет о недоступности Системы по форме, определенной в Приложении Б к ТЗ.</w:t>
      </w:r>
    </w:p>
    <w:p>
      <w:pPr>
        <w:pStyle w:val="Normal"/>
        <w:spacing w:lineRule="auto" w:line="240" w:before="0" w:after="0"/>
        <w:ind w:firstLine="709" w:start="0"/>
        <w:rPr>
          <w:rFonts w:eastAsia="Batang"/>
          <w:sz w:val="24"/>
          <w:szCs w:val="24"/>
        </w:rPr>
      </w:pPr>
      <w:r>
        <w:rPr>
          <w:rFonts w:eastAsia="Batang"/>
          <w:sz w:val="24"/>
          <w:szCs w:val="24"/>
        </w:rPr>
      </w:r>
    </w:p>
    <w:p>
      <w:pPr>
        <w:pStyle w:val="Normal"/>
        <w:keepNext w:val="true"/>
        <w:keepLines/>
        <w:numPr>
          <w:ilvl w:val="0"/>
          <w:numId w:val="0"/>
        </w:numPr>
        <w:spacing w:lineRule="auto" w:line="240" w:before="0" w:after="120"/>
        <w:ind w:firstLine="709" w:start="0"/>
        <w:outlineLvl w:val="3"/>
        <w:rPr>
          <w:rFonts w:eastAsia="MS Gothic"/>
          <w:b/>
          <w:sz w:val="24"/>
          <w:szCs w:val="24"/>
        </w:rPr>
      </w:pPr>
      <w:r>
        <w:rPr>
          <w:rFonts w:eastAsia="MS Gothic"/>
          <w:b/>
          <w:sz w:val="24"/>
          <w:szCs w:val="24"/>
        </w:rPr>
        <w:t>5.4.5.4</w:t>
        <w:tab/>
        <w:t>Устранение инцидентов</w:t>
      </w:r>
    </w:p>
    <w:p>
      <w:pPr>
        <w:pStyle w:val="Heading5"/>
        <w:tabs>
          <w:tab w:val="clear" w:pos="1"/>
          <w:tab w:val="clear" w:pos="284"/>
          <w:tab w:val="clear" w:pos="851"/>
          <w:tab w:val="clear" w:pos="1418"/>
          <w:tab w:val="clear" w:pos="1985"/>
        </w:tabs>
        <w:spacing w:lineRule="auto" w:line="240" w:before="120" w:after="120"/>
        <w:ind w:firstLine="709" w:start="0"/>
        <w:rPr>
          <w:rFonts w:eastAsia="MS Gothic"/>
          <w:b/>
          <w:sz w:val="24"/>
          <w:szCs w:val="24"/>
          <w:lang w:eastAsia="en-US"/>
        </w:rPr>
      </w:pPr>
      <w:r>
        <w:rPr>
          <w:rFonts w:eastAsia="MS Gothic"/>
          <w:b/>
          <w:sz w:val="24"/>
          <w:szCs w:val="24"/>
          <w:lang w:eastAsia="en-US"/>
        </w:rPr>
        <w:t>5.4.5.4.1</w:t>
        <w:tab/>
        <w:t>Требования к обращениям, связанным с инцидентами</w:t>
      </w:r>
    </w:p>
    <w:p>
      <w:pPr>
        <w:pStyle w:val="Normal"/>
        <w:spacing w:lineRule="auto" w:line="240" w:before="0" w:after="0"/>
        <w:ind w:firstLine="709" w:start="0"/>
        <w:rPr>
          <w:rFonts w:eastAsia="Batang"/>
          <w:sz w:val="24"/>
          <w:szCs w:val="24"/>
        </w:rPr>
      </w:pPr>
      <w:r>
        <w:rPr>
          <w:rFonts w:eastAsia="Batang"/>
          <w:sz w:val="24"/>
          <w:szCs w:val="24"/>
        </w:rPr>
        <w:t>Заявка поступает от пользователя Системы в СТП Исполнителя. В случае если пользователи с помощью технической и рабочей документации, материалов не могут решить возникший вопрос, связанный с использованием СПО Системы, они формируют посредством СУТП обращение к СТП Исполнителя. Если СТП Исполнителя выявляет, что решение обращения описано в технической или рабочей документации Системы, она сообщает пользователю ссылку на соответствующие разделы документации. В противном случае предоставляет развернутое описание необходимого решения (действия, которые необходимо выполнить в зоне ответственности Заказчика либо пользователей), либо выполняет обусловленные настоящими Техническими требованиями операции в зоне ответственности Исполнителя в регламентные сроки (</w:t>
      </w:r>
      <w:r>
        <w:rPr>
          <w:rFonts w:eastAsia="Batang"/>
          <w:sz w:val="24"/>
          <w:szCs w:val="24"/>
        </w:rPr>
        <w:fldChar w:fldCharType="begin"/>
      </w:r>
      <w:r>
        <w:rPr>
          <w:sz w:val="24"/>
          <w:szCs w:val="24"/>
          <w:rFonts w:eastAsia="Batang"/>
        </w:rPr>
        <w:instrText xml:space="preserve"> REF _Ref192577983 \h </w:instrText>
      </w:r>
      <w:r>
        <w:rPr>
          <w:sz w:val="24"/>
          <w:szCs w:val="24"/>
          <w:rFonts w:eastAsia="Batang"/>
        </w:rPr>
        <w:fldChar w:fldCharType="separate"/>
      </w:r>
      <w:r>
        <w:rPr>
          <w:sz w:val="24"/>
          <w:szCs w:val="24"/>
          <w:rFonts w:eastAsia="Batang"/>
        </w:rPr>
        <w:t>Таблица 22</w:t>
      </w:r>
      <w:r>
        <w:rPr>
          <w:sz w:val="24"/>
          <w:szCs w:val="24"/>
          <w:rFonts w:eastAsia="Batang"/>
        </w:rPr>
        <w:fldChar w:fldCharType="end"/>
      </w:r>
      <w:r>
        <w:rPr>
          <w:rFonts w:eastAsia="Batang"/>
          <w:sz w:val="24"/>
          <w:szCs w:val="24"/>
        </w:rPr>
        <w:t>) и сообщает пользователю вместе с описанием решения результаты выполненных операций.</w:t>
      </w:r>
    </w:p>
    <w:p>
      <w:pPr>
        <w:pStyle w:val="Normal"/>
        <w:spacing w:lineRule="auto" w:line="240" w:before="0" w:after="0"/>
        <w:ind w:firstLine="709" w:start="0"/>
        <w:rPr>
          <w:rFonts w:eastAsia="Batang"/>
          <w:sz w:val="24"/>
          <w:szCs w:val="24"/>
        </w:rPr>
      </w:pPr>
      <w:r>
        <w:rPr>
          <w:rFonts w:eastAsia="Batang"/>
          <w:sz w:val="24"/>
          <w:szCs w:val="24"/>
        </w:rPr>
        <w:t>Обращение об инциденте, направляемое пользователем в СТП Исполнителя, должно содержать следующие сведения:</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ФИО пользователя;</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контактные данные пользователя: номер телефона, адрес электронной почты;</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тема инцидента, сформулированная в виде краткого описания сути запроса;</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логин пользователя, под которым наблюдается описываемая ситуация (если проблема проявляется после авторизации в Системе);</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 xml:space="preserve">сведения о том, на каком АРМ воспроизводится инцидент (в какой организации, где расположено); </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подробное описание ситуации, описание последовательности действий, приводящих к воспроизведению ситуации (с указанием конкретных вводимых параметров операций и объектов, желательно – с графическими копиями экранов при выполнении действий);</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ожидаемый результат (что пользователь ожидал получить);</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реальный результат (что реально произошло, какие отклонения от ожиданий – желательно с графическими копиями экранов).</w:t>
      </w:r>
    </w:p>
    <w:p>
      <w:pPr>
        <w:pStyle w:val="Normal"/>
        <w:spacing w:lineRule="auto" w:line="240" w:before="0" w:after="0"/>
        <w:ind w:firstLine="709" w:start="0"/>
        <w:rPr>
          <w:rFonts w:eastAsia="Batang"/>
          <w:sz w:val="24"/>
          <w:szCs w:val="24"/>
        </w:rPr>
      </w:pPr>
      <w:r>
        <w:rPr>
          <w:rFonts w:eastAsia="Batang"/>
          <w:sz w:val="24"/>
          <w:szCs w:val="24"/>
        </w:rPr>
        <w:t>В случае необходимости – примеры документов, объектов, графические копии экранов, примеры отчетов с указанием некорректных данных, лог ошибки, если он имеется (для этого лог следует сохранить в текстовый файл и прикрепить к запросу). Файлы могут передаваться запакованными с использованием программы архиватора (7z, ZIP). Снимки экранов должны быть подготовлены в любом из форматов: JPG, GIF, PNG, BMP.</w:t>
      </w:r>
    </w:p>
    <w:p>
      <w:pPr>
        <w:pStyle w:val="Normal"/>
        <w:spacing w:lineRule="auto" w:line="240" w:before="0" w:after="0"/>
        <w:ind w:firstLine="709" w:start="0"/>
        <w:rPr>
          <w:rFonts w:eastAsia="Batang"/>
          <w:sz w:val="24"/>
          <w:szCs w:val="24"/>
        </w:rPr>
      </w:pPr>
      <w:r>
        <w:rPr>
          <w:rFonts w:eastAsia="Batang"/>
          <w:sz w:val="24"/>
          <w:szCs w:val="24"/>
        </w:rPr>
        <w:t>Обращения, на основании которых невозможно смоделировать инцидент, возвращаются Исполнителем для уточнения. Срок устранения в таких случаях отсчитывается от даты предоставления информации, достаточной для моделирования инцидента.</w:t>
      </w:r>
    </w:p>
    <w:p>
      <w:pPr>
        <w:pStyle w:val="Normal"/>
        <w:spacing w:lineRule="auto" w:line="240" w:before="0" w:after="0"/>
        <w:ind w:firstLine="709" w:start="0"/>
        <w:rPr>
          <w:rFonts w:eastAsia="Batang"/>
          <w:sz w:val="24"/>
          <w:szCs w:val="24"/>
        </w:rPr>
      </w:pPr>
      <w:r>
        <w:rPr>
          <w:rFonts w:eastAsia="Batang"/>
          <w:sz w:val="24"/>
          <w:szCs w:val="24"/>
        </w:rPr>
      </w:r>
    </w:p>
    <w:p>
      <w:pPr>
        <w:pStyle w:val="Heading5"/>
        <w:tabs>
          <w:tab w:val="clear" w:pos="1"/>
          <w:tab w:val="clear" w:pos="284"/>
          <w:tab w:val="clear" w:pos="851"/>
          <w:tab w:val="clear" w:pos="1418"/>
          <w:tab w:val="clear" w:pos="1985"/>
        </w:tabs>
        <w:spacing w:lineRule="auto" w:line="240" w:before="0" w:after="120"/>
        <w:ind w:firstLine="709" w:start="0"/>
        <w:rPr>
          <w:rFonts w:eastAsia="MS Gothic"/>
          <w:b/>
          <w:sz w:val="24"/>
          <w:szCs w:val="24"/>
          <w:lang w:eastAsia="en-US"/>
        </w:rPr>
      </w:pPr>
      <w:r>
        <w:rPr>
          <w:rFonts w:eastAsia="MS Gothic"/>
          <w:b/>
          <w:sz w:val="24"/>
          <w:szCs w:val="24"/>
          <w:lang w:eastAsia="en-US"/>
        </w:rPr>
        <w:t>5.4.5.4.2</w:t>
        <w:tab/>
        <w:t>Общие требования к устранению инцидентов</w:t>
      </w:r>
    </w:p>
    <w:p>
      <w:pPr>
        <w:pStyle w:val="Normal"/>
        <w:spacing w:lineRule="auto" w:line="240" w:before="0" w:after="0"/>
        <w:ind w:firstLine="709" w:start="0"/>
        <w:rPr>
          <w:rFonts w:eastAsia="Batang"/>
          <w:sz w:val="24"/>
          <w:szCs w:val="24"/>
        </w:rPr>
      </w:pPr>
      <w:r>
        <w:rPr>
          <w:rFonts w:eastAsia="Batang"/>
          <w:sz w:val="24"/>
          <w:szCs w:val="24"/>
        </w:rPr>
        <w:t>Инциденту назначается приоритет в соответствии с (</w:t>
      </w:r>
      <w:r>
        <w:rPr>
          <w:rFonts w:eastAsia="Batang"/>
          <w:sz w:val="24"/>
          <w:szCs w:val="24"/>
        </w:rPr>
        <w:fldChar w:fldCharType="begin"/>
      </w:r>
      <w:r>
        <w:rPr>
          <w:sz w:val="24"/>
          <w:szCs w:val="24"/>
          <w:rFonts w:eastAsia="Batang"/>
        </w:rPr>
        <w:instrText xml:space="preserve"> REF _Ref192516398 \h </w:instrText>
      </w:r>
      <w:r>
        <w:rPr>
          <w:sz w:val="24"/>
          <w:szCs w:val="24"/>
          <w:rFonts w:eastAsia="Batang"/>
        </w:rPr>
        <w:fldChar w:fldCharType="separate"/>
      </w:r>
      <w:r>
        <w:rPr>
          <w:sz w:val="24"/>
          <w:szCs w:val="24"/>
          <w:rFonts w:eastAsia="Batang"/>
        </w:rPr>
        <w:t>Таблица 21</w:t>
      </w:r>
      <w:r>
        <w:rPr>
          <w:sz w:val="24"/>
          <w:szCs w:val="24"/>
          <w:rFonts w:eastAsia="Batang"/>
        </w:rPr>
        <w:fldChar w:fldCharType="end"/>
      </w:r>
      <w:r>
        <w:rPr>
          <w:rFonts w:eastAsia="Batang"/>
          <w:sz w:val="24"/>
          <w:szCs w:val="24"/>
        </w:rPr>
        <w:t>).</w:t>
      </w:r>
    </w:p>
    <w:p>
      <w:pPr>
        <w:pStyle w:val="Normal"/>
        <w:spacing w:lineRule="auto" w:line="240" w:before="0" w:after="0"/>
        <w:ind w:firstLine="709" w:start="0"/>
        <w:rPr>
          <w:rFonts w:eastAsia="Batang"/>
          <w:sz w:val="24"/>
          <w:szCs w:val="24"/>
        </w:rPr>
      </w:pPr>
      <w:r>
        <w:rPr>
          <w:rFonts w:eastAsia="Batang"/>
          <w:sz w:val="24"/>
          <w:szCs w:val="24"/>
        </w:rPr>
        <w:t>Исполнитель должен обеспечить устранение инцидентов в регламентные сроки (</w:t>
      </w:r>
      <w:r>
        <w:rPr>
          <w:rFonts w:eastAsia="Batang"/>
          <w:sz w:val="24"/>
          <w:szCs w:val="24"/>
        </w:rPr>
        <w:fldChar w:fldCharType="begin"/>
      </w:r>
      <w:r>
        <w:rPr>
          <w:sz w:val="24"/>
          <w:szCs w:val="24"/>
          <w:rFonts w:eastAsia="Batang"/>
        </w:rPr>
        <w:instrText xml:space="preserve"> REF _Ref192577983 \h </w:instrText>
      </w:r>
      <w:r>
        <w:rPr>
          <w:sz w:val="24"/>
          <w:szCs w:val="24"/>
          <w:rFonts w:eastAsia="Batang"/>
        </w:rPr>
        <w:fldChar w:fldCharType="separate"/>
      </w:r>
      <w:r>
        <w:rPr>
          <w:sz w:val="24"/>
          <w:szCs w:val="24"/>
          <w:rFonts w:eastAsia="Batang"/>
        </w:rPr>
        <w:t>Таблица 22</w:t>
      </w:r>
      <w:r>
        <w:rPr>
          <w:sz w:val="24"/>
          <w:szCs w:val="24"/>
          <w:rFonts w:eastAsia="Batang"/>
        </w:rPr>
        <w:fldChar w:fldCharType="end"/>
      </w:r>
      <w:r>
        <w:rPr>
          <w:rFonts w:eastAsia="Batang"/>
          <w:sz w:val="24"/>
          <w:szCs w:val="24"/>
        </w:rPr>
        <w:t>), возникших в процессе эксплуатации СПО Системы.</w:t>
      </w:r>
    </w:p>
    <w:p>
      <w:pPr>
        <w:pStyle w:val="Normal"/>
        <w:spacing w:lineRule="auto" w:line="240" w:before="0" w:after="0"/>
        <w:ind w:firstLine="709" w:start="0"/>
        <w:rPr>
          <w:rFonts w:eastAsia="Batang"/>
          <w:sz w:val="24"/>
          <w:szCs w:val="24"/>
        </w:rPr>
      </w:pPr>
      <w:r>
        <w:rPr>
          <w:rFonts w:eastAsia="Batang"/>
          <w:sz w:val="24"/>
          <w:szCs w:val="24"/>
        </w:rPr>
        <w:t>Инцидент может быть связан, в том числе, с нарушением функционирования Системы, дефектами СПО или с дефектами технической или рабочей документации СПО Системы.</w:t>
      </w:r>
    </w:p>
    <w:p>
      <w:pPr>
        <w:pStyle w:val="Normal"/>
        <w:spacing w:lineRule="auto" w:line="240" w:before="0" w:after="0"/>
        <w:ind w:firstLine="709" w:start="0"/>
        <w:rPr>
          <w:rFonts w:eastAsia="Batang"/>
          <w:sz w:val="24"/>
          <w:szCs w:val="24"/>
        </w:rPr>
      </w:pPr>
      <w:r>
        <w:rPr>
          <w:rFonts w:eastAsia="Batang"/>
          <w:sz w:val="24"/>
          <w:szCs w:val="24"/>
        </w:rPr>
        <w:t>В рамках решения инцидента Исполнитель должен:</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установить причину инцидента;</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выработать меры по устранению инцидента;</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при наличии необходимости и (или) в целях снижения потерь (убытков) Заказчика и (или) Пользователей Системы, обеспечить подготовку и предоставление временного решения инцидента (при наличии), включающего в себя консультации, рекомендации и (или) программные средства, позволяющие снизить степень влияния инцидента на выполнение процессов Заказчика и Пользователей;</w:t>
      </w:r>
    </w:p>
    <w:p>
      <w:pPr>
        <w:pStyle w:val="Normal"/>
        <w:spacing w:lineRule="auto" w:line="240" w:before="0" w:after="0"/>
        <w:ind w:firstLine="709" w:start="0"/>
        <w:rPr>
          <w:rFonts w:eastAsia="Batang"/>
          <w:sz w:val="24"/>
          <w:szCs w:val="24"/>
        </w:rPr>
      </w:pPr>
      <w:r>
        <w:rPr>
          <w:rFonts w:eastAsia="Batang"/>
          <w:sz w:val="24"/>
          <w:szCs w:val="24"/>
        </w:rPr>
        <w:t xml:space="preserve">– </w:t>
      </w:r>
      <w:r>
        <w:rPr>
          <w:rFonts w:eastAsia="Batang"/>
          <w:sz w:val="24"/>
          <w:szCs w:val="24"/>
        </w:rPr>
        <w:t>принять меры по устранению инцидента в своей зоне ответственности; в случае, если меры по устранению инцидента лежат в зоне ответственности другой стороны – немедленно уведомить другую сторону о необходимости принятия соответствующих мер.</w:t>
      </w:r>
    </w:p>
    <w:p>
      <w:pPr>
        <w:pStyle w:val="Normal"/>
        <w:spacing w:lineRule="auto" w:line="240" w:before="0" w:after="0"/>
        <w:ind w:firstLine="709" w:start="0"/>
        <w:rPr>
          <w:rFonts w:eastAsia="Batang"/>
          <w:sz w:val="24"/>
          <w:szCs w:val="24"/>
        </w:rPr>
      </w:pPr>
      <w:r>
        <w:rPr>
          <w:rFonts w:eastAsia="Batang"/>
          <w:sz w:val="24"/>
          <w:szCs w:val="24"/>
        </w:rPr>
        <w:t xml:space="preserve">В случае возникновения нарушения работоспособности продуктивного стенда Системы, повлекшего за собой потерю данных, Исполнитель после восстановления работоспособности Системы должен обеспечить восстановление информации продуктивного стенда Системы из резервной копии, предоставленной Заказчиком по запросу Исполнителя. Заказчик предоставляет резервную копию в течение 4 (Четырех) рабочих часов после получения запроса Исполнителя и переводит Обращение по обеспечению восстановления информации продуктивного стенда Системы в статус «Приостановлено» до момента предоставления Заказчиком соответствующей резервной копии. </w:t>
      </w:r>
    </w:p>
    <w:p>
      <w:pPr>
        <w:pStyle w:val="Normal"/>
        <w:spacing w:lineRule="auto" w:line="240" w:before="0" w:after="0"/>
        <w:ind w:firstLine="709" w:start="0"/>
        <w:rPr>
          <w:rFonts w:eastAsia="Batang"/>
          <w:sz w:val="24"/>
          <w:szCs w:val="24"/>
        </w:rPr>
      </w:pPr>
      <w:r>
        <w:rPr>
          <w:rFonts w:eastAsia="Batang"/>
          <w:sz w:val="24"/>
          <w:szCs w:val="24"/>
        </w:rPr>
        <w:t>Восстановление данных из резервной копии должно производиться в сроки, соответствующие приоритету инцидента, при этом время ожидания Исполнителем предоставления резервной копии Заказчиком во время решения инцидента не включается.</w:t>
      </w:r>
    </w:p>
    <w:p>
      <w:pPr>
        <w:pStyle w:val="Normal"/>
        <w:spacing w:lineRule="auto" w:line="240" w:before="0" w:after="0"/>
        <w:ind w:firstLine="709" w:start="0"/>
        <w:rPr>
          <w:rFonts w:eastAsia="Batang"/>
          <w:sz w:val="24"/>
          <w:szCs w:val="24"/>
        </w:rPr>
      </w:pPr>
      <w:bookmarkStart w:id="209" w:name="_Hlk177639962"/>
      <w:bookmarkEnd w:id="209"/>
      <w:r>
        <w:rPr>
          <w:rFonts w:eastAsia="Batang"/>
          <w:sz w:val="24"/>
          <w:szCs w:val="24"/>
        </w:rPr>
        <w:t>В случае необходимости восстановления данных из резервной копии и при отсутствии технической возможности на стороне Заказчика, время восстановления может быть увеличено по письменному согласованию с Заказчиком на период восстановления технической возможности. В случае если, нарушение сроков восстановления информации продуктивного стенда Системы не связано с действием/бездействием Исполнителя (отсутствие технической возможности на стороне Заказчика), Исполнитель не несет ответственности за неисполнение установленных ТЗ сроков на соответствующее восстановление.</w:t>
      </w:r>
    </w:p>
    <w:p>
      <w:pPr>
        <w:pStyle w:val="Normal"/>
        <w:spacing w:lineRule="auto" w:line="240" w:before="0" w:after="0"/>
        <w:ind w:firstLine="709" w:start="0"/>
        <w:rPr>
          <w:rFonts w:eastAsia="Batang"/>
          <w:sz w:val="24"/>
          <w:szCs w:val="24"/>
        </w:rPr>
      </w:pPr>
      <w:r>
        <w:rPr>
          <w:rFonts w:eastAsia="Batang"/>
          <w:sz w:val="24"/>
          <w:szCs w:val="24"/>
        </w:rPr>
        <w:t>Факт устранения инцидента должен быть зарегистрирован Исполнителем в Журнале обращений пользователей.</w:t>
      </w:r>
    </w:p>
    <w:p>
      <w:pPr>
        <w:pStyle w:val="Normal"/>
        <w:spacing w:lineRule="auto" w:line="240" w:before="0" w:after="0"/>
        <w:ind w:firstLine="709" w:start="0"/>
        <w:rPr>
          <w:rFonts w:eastAsia="Batang"/>
          <w:sz w:val="24"/>
          <w:szCs w:val="24"/>
        </w:rPr>
      </w:pPr>
      <w:r>
        <w:rPr>
          <w:rFonts w:eastAsia="Batang"/>
          <w:sz w:val="24"/>
          <w:szCs w:val="24"/>
        </w:rPr>
      </w:r>
      <w:bookmarkStart w:id="210" w:name="_Hlk177639962_Копия_1"/>
      <w:bookmarkStart w:id="211" w:name="_Hlk177639962_Копия_1"/>
      <w:bookmarkEnd w:id="211"/>
    </w:p>
    <w:p>
      <w:pPr>
        <w:pStyle w:val="Heading5"/>
        <w:tabs>
          <w:tab w:val="clear" w:pos="1"/>
          <w:tab w:val="clear" w:pos="284"/>
          <w:tab w:val="clear" w:pos="851"/>
          <w:tab w:val="clear" w:pos="1418"/>
          <w:tab w:val="clear" w:pos="1985"/>
        </w:tabs>
        <w:spacing w:lineRule="auto" w:line="240" w:before="0" w:after="120"/>
        <w:ind w:firstLine="709" w:start="0"/>
        <w:rPr>
          <w:rFonts w:eastAsia="MS Gothic"/>
          <w:b/>
          <w:sz w:val="24"/>
          <w:szCs w:val="24"/>
          <w:lang w:eastAsia="en-US"/>
        </w:rPr>
      </w:pPr>
      <w:r>
        <w:rPr>
          <w:rFonts w:eastAsia="MS Gothic"/>
          <w:b/>
          <w:sz w:val="24"/>
          <w:szCs w:val="24"/>
          <w:lang w:eastAsia="en-US"/>
        </w:rPr>
        <w:t>5.4.5.4.3</w:t>
        <w:tab/>
        <w:t>Требования к временным решениям</w:t>
      </w:r>
    </w:p>
    <w:p>
      <w:pPr>
        <w:pStyle w:val="Normal"/>
        <w:spacing w:lineRule="auto" w:line="240" w:before="0" w:after="0"/>
        <w:ind w:firstLine="709" w:start="0"/>
        <w:rPr>
          <w:rFonts w:eastAsia="Batang"/>
          <w:sz w:val="24"/>
          <w:szCs w:val="24"/>
        </w:rPr>
      </w:pPr>
      <w:r>
        <w:rPr>
          <w:rFonts w:eastAsia="Batang"/>
          <w:sz w:val="24"/>
          <w:szCs w:val="24"/>
        </w:rPr>
        <w:t>Для инцидентов высокого приоритета в случае, если меры по устранению инцидента лежат вне зоны ответственности Исполнителя, Исполнитель должен предложить Заказчику временное решение (описание временного порядка работы пользователей) для обеспечения возможности выполнения пользователями Системы неработающих функций, при необходимости – с изменением настроек или исходного кода СПО Системы.</w:t>
      </w:r>
    </w:p>
    <w:p>
      <w:pPr>
        <w:pStyle w:val="Normal"/>
        <w:spacing w:lineRule="auto" w:line="240" w:before="0" w:after="0"/>
        <w:ind w:firstLine="709" w:start="0"/>
        <w:rPr>
          <w:rFonts w:eastAsia="Batang"/>
          <w:sz w:val="24"/>
          <w:szCs w:val="24"/>
        </w:rPr>
      </w:pPr>
      <w:r>
        <w:rPr>
          <w:rFonts w:eastAsia="Batang"/>
          <w:sz w:val="24"/>
          <w:szCs w:val="24"/>
        </w:rPr>
        <w:t>В случае, если временное решение требует изменения исходного кода СПО Системы, Исполнитель в регламентный срок кроме описания временного порядка работы должен предоставить Заказчику обеспечивающее временное решение обновление СПО Системы, обеспечивает развертывание временного решения на предоставленном Заказчиком тестовом стенде для проверки Заказчиком (при необходимости – переносит на тестовый стенд актуальную версию СПО), после проверки Заказчиком – обеспечивает установку обновления СПО Системы.</w:t>
      </w:r>
    </w:p>
    <w:p>
      <w:pPr>
        <w:pStyle w:val="Normal"/>
        <w:spacing w:lineRule="auto" w:line="240" w:before="0" w:after="0"/>
        <w:ind w:firstLine="709" w:start="0"/>
        <w:rPr>
          <w:rFonts w:eastAsia="Batang"/>
          <w:sz w:val="24"/>
          <w:szCs w:val="24"/>
        </w:rPr>
      </w:pPr>
      <w:r>
        <w:rPr>
          <w:rFonts w:eastAsia="Batang"/>
          <w:sz w:val="24"/>
          <w:szCs w:val="24"/>
        </w:rPr>
        <w:t>После реализации постоянного решения для инцидента, для которого было предложено временное решение, Исполнитель должен обеспечить возврат пользователей к нормальному порядку работы, в том числе, при необходимости, выполнив коррекцию данных или настроек Системы.</w:t>
      </w:r>
    </w:p>
    <w:p>
      <w:pPr>
        <w:pStyle w:val="Normal"/>
        <w:spacing w:lineRule="auto" w:line="240" w:before="0" w:after="0"/>
        <w:ind w:firstLine="709" w:start="0"/>
        <w:rPr>
          <w:rFonts w:eastAsia="Batang"/>
          <w:sz w:val="24"/>
          <w:szCs w:val="24"/>
        </w:rPr>
      </w:pPr>
      <w:r>
        <w:rPr>
          <w:rFonts w:eastAsia="Batang"/>
          <w:sz w:val="24"/>
          <w:szCs w:val="24"/>
        </w:rPr>
      </w:r>
    </w:p>
    <w:p>
      <w:pPr>
        <w:pStyle w:val="Heading5"/>
        <w:tabs>
          <w:tab w:val="clear" w:pos="1"/>
          <w:tab w:val="clear" w:pos="284"/>
          <w:tab w:val="clear" w:pos="851"/>
          <w:tab w:val="clear" w:pos="1418"/>
          <w:tab w:val="clear" w:pos="1985"/>
        </w:tabs>
        <w:spacing w:lineRule="auto" w:line="240" w:before="0" w:after="120"/>
        <w:ind w:firstLine="709" w:start="0"/>
        <w:rPr>
          <w:rFonts w:eastAsia="MS Gothic"/>
          <w:b/>
          <w:sz w:val="24"/>
          <w:szCs w:val="24"/>
          <w:lang w:eastAsia="en-US"/>
        </w:rPr>
      </w:pPr>
      <w:r>
        <w:rPr>
          <w:rFonts w:eastAsia="MS Gothic"/>
          <w:b/>
          <w:sz w:val="24"/>
          <w:szCs w:val="24"/>
          <w:lang w:eastAsia="en-US"/>
        </w:rPr>
        <w:t>5.4.5.4.4</w:t>
        <w:tab/>
        <w:t>Ответственность за устранение Инцидентов</w:t>
      </w:r>
    </w:p>
    <w:p>
      <w:pPr>
        <w:pStyle w:val="Normal"/>
        <w:spacing w:lineRule="auto" w:line="240" w:before="0" w:after="0"/>
        <w:ind w:firstLine="709" w:start="0"/>
        <w:rPr>
          <w:rFonts w:eastAsia="Batang"/>
          <w:sz w:val="24"/>
          <w:szCs w:val="24"/>
        </w:rPr>
      </w:pPr>
      <w:r>
        <w:rPr>
          <w:rFonts w:eastAsia="Batang"/>
          <w:sz w:val="24"/>
          <w:szCs w:val="24"/>
        </w:rPr>
        <w:t>Ответственность за устранение инцидентов определена в (</w:t>
      </w:r>
      <w:r>
        <w:rPr>
          <w:rFonts w:eastAsia="Batang"/>
          <w:sz w:val="24"/>
          <w:szCs w:val="24"/>
        </w:rPr>
        <w:fldChar w:fldCharType="begin"/>
      </w:r>
      <w:r>
        <w:rPr>
          <w:sz w:val="24"/>
          <w:szCs w:val="24"/>
          <w:rFonts w:eastAsia="Batang"/>
        </w:rPr>
        <w:instrText xml:space="preserve"> REF _Ref192582303 \h </w:instrText>
      </w:r>
      <w:r>
        <w:rPr>
          <w:sz w:val="24"/>
          <w:szCs w:val="24"/>
          <w:rFonts w:eastAsia="Batang"/>
        </w:rPr>
        <w:fldChar w:fldCharType="separate"/>
      </w:r>
      <w:r>
        <w:rPr>
          <w:sz w:val="24"/>
          <w:szCs w:val="24"/>
          <w:rFonts w:eastAsia="Batang"/>
        </w:rPr>
        <w:t>Таблица 26</w:t>
      </w:r>
      <w:r>
        <w:rPr>
          <w:sz w:val="24"/>
          <w:szCs w:val="24"/>
          <w:rFonts w:eastAsia="Batang"/>
        </w:rPr>
        <w:fldChar w:fldCharType="end"/>
      </w:r>
      <w:r>
        <w:rPr>
          <w:rFonts w:eastAsia="Batang"/>
          <w:sz w:val="24"/>
          <w:szCs w:val="24"/>
        </w:rPr>
        <w:t>).</w:t>
      </w:r>
    </w:p>
    <w:p>
      <w:pPr>
        <w:pStyle w:val="Caption"/>
        <w:rPr>
          <w:rFonts w:eastAsia="Batang"/>
          <w:i w:val="false"/>
          <w:i w:val="false"/>
          <w:iCs w:val="false"/>
          <w:color w:val="auto"/>
          <w:sz w:val="24"/>
          <w:szCs w:val="24"/>
        </w:rPr>
      </w:pPr>
      <w:bookmarkStart w:id="212" w:name="_Ref192582303"/>
      <w:r>
        <w:rPr>
          <w:i w:val="false"/>
          <w:iCs w:val="false"/>
          <w:color w:val="auto"/>
          <w:sz w:val="24"/>
          <w:szCs w:val="24"/>
        </w:rPr>
        <w:t xml:space="preserve">Таблица </w:t>
      </w:r>
      <w:r>
        <w:rPr>
          <w:i w:val="false"/>
          <w:iCs w:val="false"/>
          <w:color w:val="auto"/>
          <w:sz w:val="24"/>
          <w:szCs w:val="24"/>
        </w:rPr>
        <w:fldChar w:fldCharType="begin"/>
      </w:r>
      <w:r>
        <w:rPr>
          <w:sz w:val="24"/>
          <w:i w:val="false"/>
          <w:szCs w:val="24"/>
          <w:iCs w:val="false"/>
          <w:color w:val="auto"/>
        </w:rPr>
        <w:instrText xml:space="preserve"> SEQ Таблица \* ARABIC </w:instrText>
      </w:r>
      <w:r>
        <w:rPr>
          <w:sz w:val="24"/>
          <w:i w:val="false"/>
          <w:szCs w:val="24"/>
          <w:iCs w:val="false"/>
          <w:color w:val="auto"/>
        </w:rPr>
        <w:fldChar w:fldCharType="separate"/>
      </w:r>
      <w:r>
        <w:rPr>
          <w:sz w:val="24"/>
          <w:i w:val="false"/>
          <w:szCs w:val="24"/>
          <w:iCs w:val="false"/>
          <w:color w:val="auto"/>
        </w:rPr>
        <w:t>26</w:t>
      </w:r>
      <w:r>
        <w:rPr>
          <w:sz w:val="24"/>
          <w:i w:val="false"/>
          <w:szCs w:val="24"/>
          <w:iCs w:val="false"/>
          <w:color w:val="auto"/>
        </w:rPr>
        <w:fldChar w:fldCharType="end"/>
      </w:r>
      <w:bookmarkEnd w:id="212"/>
      <w:r>
        <w:rPr>
          <w:rFonts w:eastAsia="Batang"/>
          <w:i w:val="false"/>
          <w:iCs w:val="false"/>
          <w:color w:val="auto"/>
          <w:sz w:val="24"/>
          <w:szCs w:val="24"/>
        </w:rPr>
        <w:t xml:space="preserve"> – Зоны ответственности при устранении инцидентов.</w:t>
      </w:r>
    </w:p>
    <w:tbl>
      <w:tblPr>
        <w:tblStyle w:val="affffff4"/>
        <w:tblW w:w="1009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671"/>
        <w:gridCol w:w="4380"/>
        <w:gridCol w:w="2044"/>
      </w:tblGrid>
      <w:tr>
        <w:trPr>
          <w:tblHeader w:val="true"/>
          <w:trHeight w:val="680" w:hRule="atLeast"/>
        </w:trPr>
        <w:tc>
          <w:tcPr>
            <w:tcW w:w="3671" w:type="dxa"/>
            <w:tcBorders/>
            <w:vAlign w:val="center"/>
          </w:tcPr>
          <w:p>
            <w:pPr>
              <w:pStyle w:val="Normal"/>
              <w:widowControl/>
              <w:suppressAutoHyphens w:val="true"/>
              <w:spacing w:lineRule="auto" w:line="240" w:before="120" w:after="0"/>
              <w:ind w:hanging="0" w:start="0"/>
              <w:contextualSpacing/>
              <w:jc w:val="center"/>
              <w:rPr>
                <w:rFonts w:eastAsia="Batang"/>
                <w:sz w:val="24"/>
                <w:szCs w:val="24"/>
              </w:rPr>
            </w:pPr>
            <w:r>
              <w:rPr>
                <w:rFonts w:eastAsia="Times New Roman" w:cs="Times New Roman"/>
                <w:b/>
                <w:kern w:val="0"/>
                <w:sz w:val="24"/>
                <w:szCs w:val="24"/>
                <w:lang w:val="ru-RU" w:bidi="ar-SA"/>
              </w:rPr>
              <w:t>Причины возникновения инцидента</w:t>
            </w:r>
          </w:p>
        </w:tc>
        <w:tc>
          <w:tcPr>
            <w:tcW w:w="4380" w:type="dxa"/>
            <w:tcBorders/>
            <w:vAlign w:val="center"/>
          </w:tcPr>
          <w:p>
            <w:pPr>
              <w:pStyle w:val="Normal"/>
              <w:widowControl/>
              <w:suppressAutoHyphens w:val="true"/>
              <w:spacing w:lineRule="auto" w:line="240" w:before="120" w:after="0"/>
              <w:ind w:hanging="0" w:start="0"/>
              <w:contextualSpacing/>
              <w:jc w:val="center"/>
              <w:rPr>
                <w:rFonts w:eastAsia="Batang"/>
                <w:sz w:val="24"/>
                <w:szCs w:val="24"/>
              </w:rPr>
            </w:pPr>
            <w:r>
              <w:rPr>
                <w:rFonts w:eastAsia="Times New Roman" w:cs="Times New Roman"/>
                <w:b/>
                <w:kern w:val="0"/>
                <w:sz w:val="24"/>
                <w:szCs w:val="24"/>
                <w:lang w:val="ru-RU" w:bidi="ar-SA"/>
              </w:rPr>
              <w:t>Способ устранения</w:t>
            </w:r>
          </w:p>
        </w:tc>
        <w:tc>
          <w:tcPr>
            <w:tcW w:w="2044" w:type="dxa"/>
            <w:tcBorders/>
            <w:vAlign w:val="center"/>
          </w:tcPr>
          <w:p>
            <w:pPr>
              <w:pStyle w:val="Normal"/>
              <w:widowControl/>
              <w:suppressAutoHyphens w:val="true"/>
              <w:spacing w:lineRule="auto" w:line="240" w:before="120" w:after="0"/>
              <w:ind w:hanging="0" w:start="0"/>
              <w:contextualSpacing/>
              <w:jc w:val="center"/>
              <w:rPr>
                <w:rFonts w:eastAsia="Batang"/>
                <w:sz w:val="24"/>
                <w:szCs w:val="24"/>
              </w:rPr>
            </w:pPr>
            <w:r>
              <w:rPr>
                <w:rFonts w:eastAsia="Times New Roman" w:cs="Times New Roman"/>
                <w:b/>
                <w:kern w:val="0"/>
                <w:sz w:val="24"/>
                <w:szCs w:val="24"/>
                <w:lang w:val="ru-RU" w:bidi="ar-SA"/>
              </w:rPr>
              <w:t>Ответственный за устранение</w:t>
            </w:r>
          </w:p>
        </w:tc>
      </w:tr>
      <w:tr>
        <w:trPr/>
        <w:tc>
          <w:tcPr>
            <w:tcW w:w="3671" w:type="dxa"/>
            <w:tcBorders/>
            <w:vAlign w:val="center"/>
          </w:tcPr>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Отказы:</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серверного оборудования;</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систем хранения данных;</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сетевого оборудования;</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каналов передачи данных;</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систем электропитания;</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системы управления виртуализацией</w:t>
            </w:r>
          </w:p>
          <w:p>
            <w:pPr>
              <w:pStyle w:val="Normal"/>
              <w:widowControl/>
              <w:suppressAutoHyphens w:val="true"/>
              <w:spacing w:lineRule="auto" w:line="240" w:before="120" w:after="0"/>
              <w:ind w:hanging="0" w:start="0"/>
              <w:contextualSpacing/>
              <w:jc w:val="start"/>
              <w:rPr>
                <w:rFonts w:eastAsia="Batang"/>
                <w:sz w:val="24"/>
                <w:szCs w:val="24"/>
              </w:rPr>
            </w:pPr>
            <w:r>
              <w:rPr>
                <w:rFonts w:eastAsia="Times New Roman" w:cs="Times New Roman"/>
                <w:kern w:val="0"/>
                <w:sz w:val="24"/>
                <w:szCs w:val="24"/>
                <w:lang w:val="ru-RU" w:bidi="ar-SA"/>
              </w:rPr>
              <w:t>и прочего оборудования</w:t>
            </w:r>
          </w:p>
        </w:tc>
        <w:tc>
          <w:tcPr>
            <w:tcW w:w="4380" w:type="dxa"/>
            <w:tcBorders/>
            <w:vAlign w:val="center"/>
          </w:tcPr>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Ремонт и восстановление оборудования;</w:t>
            </w:r>
          </w:p>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Восстановление каналов передачи данных;</w:t>
            </w:r>
          </w:p>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Ремонт и восстановление инженерных систем;</w:t>
            </w:r>
          </w:p>
          <w:p>
            <w:pPr>
              <w:pStyle w:val="Normal"/>
              <w:widowControl/>
              <w:suppressAutoHyphens w:val="true"/>
              <w:spacing w:lineRule="auto" w:line="240" w:before="120" w:after="0"/>
              <w:ind w:hanging="0" w:start="0"/>
              <w:contextualSpacing/>
              <w:jc w:val="start"/>
              <w:rPr>
                <w:rFonts w:eastAsia="Batang"/>
                <w:sz w:val="24"/>
                <w:szCs w:val="24"/>
              </w:rPr>
            </w:pPr>
            <w:r>
              <w:rPr>
                <w:rFonts w:eastAsia="Times New Roman" w:cs="Times New Roman"/>
                <w:kern w:val="0"/>
                <w:sz w:val="24"/>
                <w:szCs w:val="24"/>
                <w:lang w:val="ru-RU" w:bidi="ar-SA"/>
              </w:rPr>
              <w:t>Предоставление резервной копии Исполнителю для восстановления Системы;</w:t>
            </w:r>
          </w:p>
        </w:tc>
        <w:tc>
          <w:tcPr>
            <w:tcW w:w="2044" w:type="dxa"/>
            <w:tcBorders/>
            <w:vAlign w:val="center"/>
          </w:tcPr>
          <w:p>
            <w:pPr>
              <w:pStyle w:val="Normal"/>
              <w:widowControl/>
              <w:suppressAutoHyphens w:val="true"/>
              <w:spacing w:lineRule="auto" w:line="240" w:before="120" w:after="0"/>
              <w:ind w:hanging="0" w:start="0"/>
              <w:contextualSpacing/>
              <w:jc w:val="center"/>
              <w:rPr>
                <w:rFonts w:eastAsia="Batang"/>
                <w:sz w:val="24"/>
                <w:szCs w:val="24"/>
              </w:rPr>
            </w:pPr>
            <w:r>
              <w:rPr>
                <w:rFonts w:eastAsia="Times New Roman" w:cs="Times New Roman"/>
                <w:kern w:val="0"/>
                <w:sz w:val="24"/>
                <w:szCs w:val="24"/>
                <w:lang w:val="ru-RU" w:bidi="ar-SA"/>
              </w:rPr>
              <w:t>Оператор Системы</w:t>
            </w:r>
          </w:p>
        </w:tc>
      </w:tr>
      <w:tr>
        <w:trPr>
          <w:trHeight w:val="266" w:hRule="atLeast"/>
        </w:trPr>
        <w:tc>
          <w:tcPr>
            <w:tcW w:w="3671" w:type="dxa"/>
            <w:vMerge w:val="restart"/>
            <w:tcBorders/>
            <w:vAlign w:val="center"/>
          </w:tcPr>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Повреждение Системы вследствие отказов серверного оборудования;</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систем хранения данных;</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сетевого оборудования;</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каналов передачи данных;</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систем электропитания;</w:t>
            </w:r>
          </w:p>
          <w:p>
            <w:pPr>
              <w:pStyle w:val="Normal"/>
              <w:widowControl/>
              <w:suppressAutoHyphens w:val="true"/>
              <w:spacing w:lineRule="auto" w:line="240" w:before="120" w:after="0"/>
              <w:ind w:hanging="0" w:start="22"/>
              <w:contextualSpacing/>
              <w:jc w:val="start"/>
              <w:rPr>
                <w:sz w:val="24"/>
                <w:szCs w:val="24"/>
              </w:rPr>
            </w:pPr>
            <w:r>
              <w:rPr>
                <w:rFonts w:eastAsia="Times New Roman" w:cs="Times New Roman"/>
                <w:kern w:val="0"/>
                <w:sz w:val="24"/>
                <w:szCs w:val="24"/>
                <w:lang w:val="ru-RU" w:bidi="ar-SA"/>
              </w:rPr>
              <w:t>системы управления виртуализацией и прочего оборудования</w:t>
            </w:r>
          </w:p>
        </w:tc>
        <w:tc>
          <w:tcPr>
            <w:tcW w:w="4380" w:type="dxa"/>
            <w:tcBorders/>
            <w:vAlign w:val="center"/>
          </w:tcPr>
          <w:p>
            <w:pPr>
              <w:pStyle w:val="Normal"/>
              <w:widowControl/>
              <w:suppressAutoHyphens w:val="true"/>
              <w:spacing w:lineRule="auto" w:line="240" w:before="120" w:after="0"/>
              <w:ind w:hanging="0" w:start="0"/>
              <w:contextualSpacing/>
              <w:jc w:val="start"/>
              <w:rPr>
                <w:rFonts w:eastAsia="Batang"/>
                <w:sz w:val="24"/>
                <w:szCs w:val="24"/>
              </w:rPr>
            </w:pPr>
            <w:r>
              <w:rPr>
                <w:rFonts w:eastAsia="Times New Roman" w:cs="Times New Roman"/>
                <w:kern w:val="0"/>
                <w:sz w:val="24"/>
                <w:szCs w:val="24"/>
                <w:lang w:val="ru-RU" w:bidi="ar-SA"/>
              </w:rPr>
              <w:t>Предоставление резервных копий ОПО и СПО Системы Исполнителю</w:t>
            </w:r>
          </w:p>
        </w:tc>
        <w:tc>
          <w:tcPr>
            <w:tcW w:w="2044" w:type="dxa"/>
            <w:tcBorders/>
            <w:vAlign w:val="center"/>
          </w:tcPr>
          <w:p>
            <w:pPr>
              <w:pStyle w:val="Normal"/>
              <w:widowControl/>
              <w:suppressAutoHyphens w:val="true"/>
              <w:spacing w:lineRule="auto" w:line="240" w:before="120" w:after="0"/>
              <w:ind w:hanging="0" w:start="0"/>
              <w:contextualSpacing/>
              <w:jc w:val="center"/>
              <w:rPr>
                <w:rFonts w:eastAsia="Batang"/>
                <w:sz w:val="24"/>
                <w:szCs w:val="24"/>
              </w:rPr>
            </w:pPr>
            <w:r>
              <w:rPr>
                <w:rFonts w:eastAsia="Times New Roman" w:cs="Times New Roman"/>
                <w:kern w:val="0"/>
                <w:sz w:val="24"/>
                <w:szCs w:val="24"/>
                <w:lang w:val="ru-RU" w:bidi="ar-SA"/>
              </w:rPr>
              <w:t>Оператор Системы</w:t>
            </w:r>
          </w:p>
        </w:tc>
      </w:tr>
      <w:tr>
        <w:trPr>
          <w:trHeight w:val="994" w:hRule="atLeast"/>
        </w:trPr>
        <w:tc>
          <w:tcPr>
            <w:tcW w:w="3671" w:type="dxa"/>
            <w:vMerge w:val="continue"/>
            <w:tcBorders/>
            <w:vAlign w:val="center"/>
          </w:tcPr>
          <w:p>
            <w:pPr>
              <w:pStyle w:val="Normal"/>
              <w:widowControl/>
              <w:suppressAutoHyphens w:val="true"/>
              <w:spacing w:lineRule="auto" w:line="240" w:before="120" w:after="0"/>
              <w:ind w:hanging="0" w:start="0"/>
              <w:contextualSpacing/>
              <w:jc w:val="start"/>
              <w:rPr>
                <w:rFonts w:eastAsia="Batang"/>
                <w:sz w:val="24"/>
                <w:szCs w:val="24"/>
              </w:rPr>
            </w:pPr>
            <w:r>
              <w:rPr>
                <w:rFonts w:eastAsia="Batang"/>
                <w:sz w:val="24"/>
                <w:szCs w:val="24"/>
              </w:rPr>
            </w:r>
          </w:p>
        </w:tc>
        <w:tc>
          <w:tcPr>
            <w:tcW w:w="4380" w:type="dxa"/>
            <w:tcBorders/>
            <w:vAlign w:val="center"/>
          </w:tcPr>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Полное восстановление ОПО и СПО (включая настройки);</w:t>
            </w:r>
          </w:p>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Полное восстановление ОПО и СПО из резервных копий (включая настройки);</w:t>
            </w:r>
          </w:p>
          <w:p>
            <w:pPr>
              <w:pStyle w:val="Normal"/>
              <w:widowControl/>
              <w:suppressAutoHyphens w:val="true"/>
              <w:spacing w:lineRule="auto" w:line="240" w:before="120" w:after="0"/>
              <w:ind w:hanging="0" w:start="0"/>
              <w:contextualSpacing/>
              <w:jc w:val="start"/>
              <w:rPr>
                <w:rFonts w:eastAsia="Batang"/>
                <w:sz w:val="24"/>
                <w:szCs w:val="24"/>
              </w:rPr>
            </w:pPr>
            <w:r>
              <w:rPr>
                <w:rFonts w:eastAsia="Times New Roman" w:cs="Times New Roman"/>
                <w:kern w:val="0"/>
                <w:sz w:val="24"/>
                <w:szCs w:val="24"/>
                <w:lang w:val="ru-RU" w:bidi="ar-SA"/>
              </w:rPr>
              <w:t>Восстановление данных из резервных копий;</w:t>
            </w:r>
          </w:p>
        </w:tc>
        <w:tc>
          <w:tcPr>
            <w:tcW w:w="2044" w:type="dxa"/>
            <w:tcBorders/>
            <w:vAlign w:val="center"/>
          </w:tcPr>
          <w:p>
            <w:pPr>
              <w:pStyle w:val="Normal"/>
              <w:widowControl/>
              <w:suppressAutoHyphens w:val="true"/>
              <w:spacing w:lineRule="auto" w:line="240" w:before="120" w:after="0"/>
              <w:ind w:hanging="0" w:start="0"/>
              <w:contextualSpacing/>
              <w:jc w:val="center"/>
              <w:rPr>
                <w:rFonts w:eastAsia="Batang"/>
                <w:sz w:val="24"/>
                <w:szCs w:val="24"/>
              </w:rPr>
            </w:pPr>
            <w:r>
              <w:rPr>
                <w:rFonts w:eastAsia="Times New Roman" w:cs="Times New Roman"/>
                <w:kern w:val="0"/>
                <w:sz w:val="24"/>
                <w:szCs w:val="24"/>
                <w:lang w:val="ru-RU" w:bidi="ar-SA"/>
              </w:rPr>
              <w:t>Исполнитель</w:t>
            </w:r>
          </w:p>
        </w:tc>
      </w:tr>
      <w:tr>
        <w:trPr/>
        <w:tc>
          <w:tcPr>
            <w:tcW w:w="3671" w:type="dxa"/>
            <w:tcBorders/>
            <w:vAlign w:val="center"/>
          </w:tcPr>
          <w:p>
            <w:pPr>
              <w:pStyle w:val="Normal"/>
              <w:widowControl/>
              <w:suppressAutoHyphens w:val="true"/>
              <w:spacing w:lineRule="auto" w:line="240" w:before="120" w:after="0"/>
              <w:ind w:hanging="0" w:start="0"/>
              <w:contextualSpacing/>
              <w:jc w:val="start"/>
              <w:rPr>
                <w:rFonts w:eastAsia="Batang"/>
                <w:sz w:val="24"/>
                <w:szCs w:val="24"/>
              </w:rPr>
            </w:pPr>
            <w:r>
              <w:rPr>
                <w:rFonts w:eastAsia="Times New Roman" w:cs="Times New Roman"/>
                <w:kern w:val="0"/>
                <w:sz w:val="24"/>
                <w:szCs w:val="24"/>
                <w:lang w:val="ru-RU" w:bidi="ar-SA"/>
              </w:rPr>
              <w:t>Сбой на уровне ОПО или СПО</w:t>
            </w:r>
          </w:p>
        </w:tc>
        <w:tc>
          <w:tcPr>
            <w:tcW w:w="4380" w:type="dxa"/>
            <w:tcBorders/>
            <w:vAlign w:val="center"/>
          </w:tcPr>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Восстановление настроек ОПО и СПО;</w:t>
            </w:r>
          </w:p>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Установка обновлений ОПО и СПО;</w:t>
            </w:r>
          </w:p>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Полное восстановление ОПО и СПО из резервных копий (включая настройки);</w:t>
            </w:r>
          </w:p>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Восстановление данных из резервных копий;</w:t>
            </w:r>
          </w:p>
          <w:p>
            <w:pPr>
              <w:pStyle w:val="Normal"/>
              <w:widowControl/>
              <w:suppressAutoHyphens w:val="true"/>
              <w:spacing w:lineRule="auto" w:line="240" w:before="120" w:after="0"/>
              <w:ind w:hanging="0" w:start="0"/>
              <w:contextualSpacing/>
              <w:jc w:val="start"/>
              <w:rPr>
                <w:rFonts w:eastAsia="Batang"/>
                <w:sz w:val="24"/>
                <w:szCs w:val="24"/>
              </w:rPr>
            </w:pPr>
            <w:r>
              <w:rPr>
                <w:rFonts w:eastAsia="Times New Roman" w:cs="Times New Roman"/>
                <w:kern w:val="0"/>
                <w:sz w:val="24"/>
                <w:szCs w:val="24"/>
                <w:lang w:val="ru-RU" w:bidi="ar-SA"/>
              </w:rPr>
              <w:t>Изменение настроек СПО и ОПО;</w:t>
            </w:r>
          </w:p>
        </w:tc>
        <w:tc>
          <w:tcPr>
            <w:tcW w:w="2044" w:type="dxa"/>
            <w:tcBorders/>
            <w:vAlign w:val="center"/>
          </w:tcPr>
          <w:p>
            <w:pPr>
              <w:pStyle w:val="Normal"/>
              <w:widowControl/>
              <w:suppressAutoHyphens w:val="true"/>
              <w:spacing w:lineRule="auto" w:line="240" w:before="120" w:after="0"/>
              <w:ind w:hanging="0" w:start="0"/>
              <w:contextualSpacing/>
              <w:jc w:val="center"/>
              <w:rPr>
                <w:rFonts w:eastAsia="Batang"/>
                <w:sz w:val="24"/>
                <w:szCs w:val="24"/>
              </w:rPr>
            </w:pPr>
            <w:r>
              <w:rPr>
                <w:rFonts w:eastAsia="Times New Roman" w:cs="Times New Roman"/>
                <w:kern w:val="0"/>
                <w:sz w:val="24"/>
                <w:szCs w:val="24"/>
                <w:lang w:val="ru-RU" w:bidi="ar-SA"/>
              </w:rPr>
              <w:t>Исполнитель</w:t>
            </w:r>
          </w:p>
        </w:tc>
      </w:tr>
      <w:tr>
        <w:trPr/>
        <w:tc>
          <w:tcPr>
            <w:tcW w:w="3671" w:type="dxa"/>
            <w:tcBorders/>
            <w:vAlign w:val="center"/>
          </w:tcPr>
          <w:p>
            <w:pPr>
              <w:pStyle w:val="Normal"/>
              <w:widowControl/>
              <w:suppressAutoHyphens w:val="true"/>
              <w:spacing w:lineRule="auto" w:line="240" w:before="120" w:after="0"/>
              <w:ind w:hanging="0" w:start="0"/>
              <w:contextualSpacing/>
              <w:jc w:val="start"/>
              <w:rPr>
                <w:rFonts w:eastAsia="Batang"/>
                <w:sz w:val="24"/>
                <w:szCs w:val="24"/>
              </w:rPr>
            </w:pPr>
            <w:r>
              <w:rPr>
                <w:rFonts w:eastAsia="Times New Roman" w:cs="Times New Roman"/>
                <w:kern w:val="0"/>
                <w:sz w:val="24"/>
                <w:szCs w:val="24"/>
                <w:lang w:val="ru-RU" w:bidi="ar-SA"/>
              </w:rPr>
              <w:t>Сбой на уровне ОС без возможности подключения к терминалу Исполнителю</w:t>
            </w:r>
          </w:p>
        </w:tc>
        <w:tc>
          <w:tcPr>
            <w:tcW w:w="4380" w:type="dxa"/>
            <w:tcBorders/>
            <w:vAlign w:val="center"/>
          </w:tcPr>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Восстановление ОС;</w:t>
            </w:r>
          </w:p>
          <w:p>
            <w:pPr>
              <w:pStyle w:val="Normal"/>
              <w:widowControl/>
              <w:suppressAutoHyphens w:val="true"/>
              <w:spacing w:lineRule="auto" w:line="240" w:before="120" w:after="0"/>
              <w:ind w:hanging="0" w:start="0"/>
              <w:contextualSpacing/>
              <w:jc w:val="start"/>
              <w:rPr>
                <w:rFonts w:eastAsia="Batang"/>
                <w:sz w:val="24"/>
                <w:szCs w:val="24"/>
              </w:rPr>
            </w:pPr>
            <w:r>
              <w:rPr>
                <w:rFonts w:eastAsia="Times New Roman" w:cs="Times New Roman"/>
                <w:kern w:val="0"/>
                <w:sz w:val="24"/>
                <w:szCs w:val="24"/>
                <w:lang w:val="ru-RU" w:bidi="ar-SA"/>
              </w:rPr>
              <w:t>Предоставление доступа к терминалу ОС.</w:t>
            </w:r>
          </w:p>
        </w:tc>
        <w:tc>
          <w:tcPr>
            <w:tcW w:w="2044" w:type="dxa"/>
            <w:tcBorders/>
            <w:vAlign w:val="center"/>
          </w:tcPr>
          <w:p>
            <w:pPr>
              <w:pStyle w:val="Normal"/>
              <w:widowControl/>
              <w:suppressAutoHyphens w:val="true"/>
              <w:spacing w:lineRule="auto" w:line="240" w:before="120" w:after="0"/>
              <w:ind w:hanging="0" w:start="0"/>
              <w:contextualSpacing/>
              <w:jc w:val="center"/>
              <w:rPr>
                <w:rFonts w:eastAsia="Batang"/>
                <w:sz w:val="24"/>
                <w:szCs w:val="24"/>
              </w:rPr>
            </w:pPr>
            <w:r>
              <w:rPr>
                <w:rFonts w:eastAsia="Times New Roman" w:cs="Times New Roman"/>
                <w:kern w:val="0"/>
                <w:sz w:val="24"/>
                <w:szCs w:val="24"/>
                <w:lang w:val="ru-RU" w:bidi="ar-SA"/>
              </w:rPr>
              <w:t>Оператор Системы</w:t>
            </w:r>
          </w:p>
        </w:tc>
      </w:tr>
      <w:tr>
        <w:trPr/>
        <w:tc>
          <w:tcPr>
            <w:tcW w:w="3671" w:type="dxa"/>
            <w:tcBorders/>
            <w:vAlign w:val="center"/>
          </w:tcPr>
          <w:p>
            <w:pPr>
              <w:pStyle w:val="Normal"/>
              <w:widowControl/>
              <w:suppressAutoHyphens w:val="true"/>
              <w:spacing w:lineRule="auto" w:line="240" w:before="120" w:after="0"/>
              <w:ind w:hanging="0" w:start="0"/>
              <w:contextualSpacing/>
              <w:jc w:val="start"/>
              <w:rPr>
                <w:rFonts w:eastAsia="Batang"/>
                <w:sz w:val="24"/>
                <w:szCs w:val="24"/>
              </w:rPr>
            </w:pPr>
            <w:r>
              <w:rPr>
                <w:rFonts w:eastAsia="Times New Roman" w:cs="Times New Roman"/>
                <w:kern w:val="0"/>
                <w:sz w:val="24"/>
                <w:szCs w:val="24"/>
                <w:lang w:val="ru-RU" w:bidi="ar-SA"/>
              </w:rPr>
              <w:t>Сбой на уровне ОС с сохранением возможности подключения к терминалу ОС Исполнителем</w:t>
            </w:r>
          </w:p>
        </w:tc>
        <w:tc>
          <w:tcPr>
            <w:tcW w:w="4380" w:type="dxa"/>
            <w:tcBorders/>
            <w:vAlign w:val="center"/>
          </w:tcPr>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Восстановление ОС;</w:t>
            </w:r>
          </w:p>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Установка обновлений ОС;</w:t>
            </w:r>
          </w:p>
          <w:p>
            <w:pPr>
              <w:pStyle w:val="Normal"/>
              <w:widowControl/>
              <w:suppressAutoHyphens w:val="true"/>
              <w:spacing w:lineRule="auto" w:line="240" w:before="120" w:after="0"/>
              <w:ind w:firstLine="23" w:start="-23"/>
              <w:contextualSpacing/>
              <w:jc w:val="start"/>
              <w:rPr>
                <w:sz w:val="24"/>
                <w:szCs w:val="24"/>
              </w:rPr>
            </w:pPr>
            <w:r>
              <w:rPr>
                <w:rFonts w:eastAsia="Times New Roman" w:cs="Times New Roman"/>
                <w:kern w:val="0"/>
                <w:sz w:val="24"/>
                <w:szCs w:val="24"/>
                <w:lang w:val="ru-RU" w:bidi="ar-SA"/>
              </w:rPr>
              <w:t>Восстановление настроек ОС;</w:t>
            </w:r>
          </w:p>
          <w:p>
            <w:pPr>
              <w:pStyle w:val="Normal"/>
              <w:widowControl/>
              <w:suppressAutoHyphens w:val="true"/>
              <w:spacing w:lineRule="auto" w:line="240" w:before="120" w:after="0"/>
              <w:ind w:hanging="0" w:start="0"/>
              <w:contextualSpacing/>
              <w:jc w:val="start"/>
              <w:rPr>
                <w:rFonts w:eastAsia="Batang"/>
                <w:sz w:val="24"/>
                <w:szCs w:val="24"/>
              </w:rPr>
            </w:pPr>
            <w:r>
              <w:rPr>
                <w:rFonts w:eastAsia="Times New Roman" w:cs="Times New Roman"/>
                <w:kern w:val="0"/>
                <w:sz w:val="24"/>
                <w:szCs w:val="24"/>
                <w:lang w:val="ru-RU" w:bidi="ar-SA"/>
              </w:rPr>
              <w:t>Изменение настроек ОС.</w:t>
            </w:r>
          </w:p>
        </w:tc>
        <w:tc>
          <w:tcPr>
            <w:tcW w:w="2044" w:type="dxa"/>
            <w:tcBorders/>
            <w:vAlign w:val="center"/>
          </w:tcPr>
          <w:p>
            <w:pPr>
              <w:pStyle w:val="Normal"/>
              <w:widowControl/>
              <w:suppressAutoHyphens w:val="true"/>
              <w:spacing w:lineRule="auto" w:line="240" w:before="120" w:after="0"/>
              <w:ind w:hanging="0" w:start="0"/>
              <w:contextualSpacing/>
              <w:jc w:val="center"/>
              <w:rPr>
                <w:rFonts w:eastAsia="Batang"/>
                <w:sz w:val="24"/>
                <w:szCs w:val="24"/>
              </w:rPr>
            </w:pPr>
            <w:r>
              <w:rPr>
                <w:rFonts w:eastAsia="Times New Roman" w:cs="Times New Roman"/>
                <w:kern w:val="0"/>
                <w:sz w:val="24"/>
                <w:szCs w:val="24"/>
                <w:lang w:val="ru-RU" w:bidi="ar-SA"/>
              </w:rPr>
              <w:t>Исполнитель</w:t>
            </w:r>
            <w:bookmarkStart w:id="213" w:name="_Hlk177637999"/>
            <w:bookmarkEnd w:id="213"/>
          </w:p>
        </w:tc>
      </w:tr>
    </w:tbl>
    <w:p>
      <w:pPr>
        <w:pStyle w:val="Normal"/>
        <w:spacing w:lineRule="auto" w:line="240" w:before="120" w:after="0"/>
        <w:ind w:firstLine="709" w:start="0"/>
        <w:rPr>
          <w:rFonts w:eastAsia="Batang"/>
          <w:sz w:val="24"/>
          <w:szCs w:val="24"/>
        </w:rPr>
      </w:pPr>
      <w:r>
        <w:rPr>
          <w:rFonts w:eastAsia="Batang"/>
          <w:sz w:val="24"/>
          <w:szCs w:val="24"/>
        </w:rPr>
      </w:r>
    </w:p>
    <w:p>
      <w:pPr>
        <w:pStyle w:val="Normal"/>
        <w:keepNext w:val="true"/>
        <w:keepLines/>
        <w:numPr>
          <w:ilvl w:val="0"/>
          <w:numId w:val="0"/>
        </w:numPr>
        <w:spacing w:lineRule="auto" w:line="240" w:before="0" w:after="120"/>
        <w:ind w:firstLine="709" w:start="0"/>
        <w:outlineLvl w:val="3"/>
        <w:rPr>
          <w:rFonts w:eastAsia="MS Gothic"/>
          <w:b/>
          <w:sz w:val="24"/>
          <w:szCs w:val="24"/>
        </w:rPr>
      </w:pPr>
      <w:r>
        <w:rPr>
          <w:rFonts w:eastAsia="MS Gothic"/>
          <w:b/>
          <w:sz w:val="24"/>
          <w:szCs w:val="24"/>
        </w:rPr>
        <w:t>5.4.5.5</w:t>
        <w:tab/>
        <w:t>Устранение дефектов</w:t>
      </w:r>
    </w:p>
    <w:p>
      <w:pPr>
        <w:pStyle w:val="Normal"/>
        <w:spacing w:lineRule="auto" w:line="240" w:before="120" w:after="0"/>
        <w:ind w:firstLine="709" w:start="0"/>
        <w:rPr>
          <w:rFonts w:eastAsia="Batang"/>
          <w:sz w:val="24"/>
          <w:szCs w:val="24"/>
        </w:rPr>
      </w:pPr>
      <w:r>
        <w:rPr>
          <w:rFonts w:eastAsia="Batang"/>
          <w:sz w:val="24"/>
          <w:szCs w:val="24"/>
        </w:rPr>
        <w:t>В случае, если Система подлежит гарантийному обслуживанию производителем, информация о дефекте СПО должна быть передана производителю с указанием дефекта и ожидаемых сроках устранения дефекта. В срок, установленный соглашением о гарантийном обслуживании, Исполнитель должен получить от производителя Системы и зарегистрировать подтверждение факта обнаружения дефекта, подтверждение сроков устранения дефекта или причины невозможности устранения дефекта в запрашиваемые сроки и новые сроки устранения дефекта.</w:t>
      </w:r>
    </w:p>
    <w:p>
      <w:pPr>
        <w:pStyle w:val="Normal"/>
        <w:spacing w:lineRule="auto" w:line="240" w:before="0" w:after="0"/>
        <w:ind w:firstLine="709" w:start="0"/>
        <w:rPr>
          <w:rFonts w:eastAsia="Batang"/>
          <w:sz w:val="24"/>
          <w:szCs w:val="24"/>
        </w:rPr>
      </w:pPr>
      <w:r>
        <w:rPr>
          <w:rFonts w:eastAsia="Batang"/>
          <w:sz w:val="24"/>
          <w:szCs w:val="24"/>
        </w:rPr>
        <w:t xml:space="preserve">В случае выявления дефекта (дефекта СПО или дефекта документации на СПО), устранение которого не покрывается условиями гарантийного обслуживания по Договору, </w:t>
      </w:r>
      <w:bookmarkStart w:id="214" w:name="_Hlk177639892"/>
      <w:r>
        <w:rPr>
          <w:rFonts w:eastAsia="Batang"/>
          <w:sz w:val="24"/>
          <w:szCs w:val="24"/>
        </w:rPr>
        <w:t>Исполнитель должен подтвердить наличие ошибки путем повторения ситуации, приводящей к её появлению, зарегистрировать ошибку в Журнале обращений пользователя, определить ответственного за устранение ошибки и в регламентные сроки (</w:t>
      </w:r>
      <w:r>
        <w:rPr>
          <w:rFonts w:eastAsia="Batang"/>
          <w:sz w:val="24"/>
          <w:szCs w:val="24"/>
        </w:rPr>
        <w:fldChar w:fldCharType="begin"/>
      </w:r>
      <w:r>
        <w:rPr>
          <w:sz w:val="24"/>
          <w:szCs w:val="24"/>
          <w:rFonts w:eastAsia="Batang"/>
        </w:rPr>
        <w:instrText xml:space="preserve"> REF _Ref192577983 \h </w:instrText>
      </w:r>
      <w:r>
        <w:rPr>
          <w:sz w:val="24"/>
          <w:szCs w:val="24"/>
          <w:rFonts w:eastAsia="Batang"/>
        </w:rPr>
        <w:fldChar w:fldCharType="separate"/>
      </w:r>
      <w:r>
        <w:rPr>
          <w:sz w:val="24"/>
          <w:szCs w:val="24"/>
          <w:rFonts w:eastAsia="Batang"/>
        </w:rPr>
        <w:t>Таблица 22</w:t>
      </w:r>
      <w:r>
        <w:rPr>
          <w:sz w:val="24"/>
          <w:szCs w:val="24"/>
          <w:rFonts w:eastAsia="Batang"/>
        </w:rPr>
        <w:fldChar w:fldCharType="end"/>
      </w:r>
      <w:r>
        <w:rPr>
          <w:rFonts w:eastAsia="Batang"/>
          <w:sz w:val="24"/>
          <w:szCs w:val="24"/>
        </w:rPr>
        <w:t>)</w:t>
      </w:r>
      <w:bookmarkEnd w:id="214"/>
      <w:r>
        <w:rPr>
          <w:rFonts w:eastAsia="Batang"/>
          <w:sz w:val="24"/>
          <w:szCs w:val="24"/>
        </w:rPr>
        <w:t>, обеспечивает устранение выявленного дефекта, в том числе, при необходимости, путем изменения исходного кода СПО Системы. В случае, если происходит изменение исходного кода СПО Системы, Исполнитель предоставляет Заказчику доработанную документацию на СПО, доработанное СПО, а также обновление СПО Системы, которое необходимо установить для устранения дефекта на продуктивном стенде, обеспечивает его развертывание на предоставленном Заказчиком тестовом стенде для проверки Заказчиком (при необходимости – переносит на тестовый стенд актуальную версию СПО), после проверки Заказчиком – обеспечивает установку обновления.</w:t>
      </w:r>
    </w:p>
    <w:p>
      <w:pPr>
        <w:pStyle w:val="Normal"/>
        <w:spacing w:lineRule="auto" w:line="240" w:before="0" w:after="0"/>
        <w:ind w:firstLine="709" w:start="0"/>
        <w:rPr>
          <w:rFonts w:eastAsia="Batang"/>
          <w:sz w:val="24"/>
          <w:szCs w:val="24"/>
        </w:rPr>
      </w:pPr>
      <w:r>
        <w:rPr>
          <w:rFonts w:eastAsia="Batang"/>
          <w:sz w:val="24"/>
          <w:szCs w:val="24"/>
        </w:rPr>
        <w:t>В случае выявления дефекта ОС/ОПО Системы Исполнитель устанавливает необходимые, критичные, рекомендуемые обновления и /или исправления ОС/ОПО для устранения выявленного дефекта (при наличии в свободном доступе).</w:t>
      </w:r>
    </w:p>
    <w:p>
      <w:pPr>
        <w:pStyle w:val="Normal"/>
        <w:spacing w:lineRule="auto" w:line="240" w:before="0" w:after="0"/>
        <w:ind w:firstLine="709" w:start="0"/>
        <w:rPr>
          <w:rFonts w:eastAsia="Batang"/>
          <w:sz w:val="24"/>
          <w:szCs w:val="24"/>
        </w:rPr>
      </w:pPr>
      <w:bookmarkStart w:id="215" w:name="_Hlk177639452"/>
      <w:r>
        <w:rPr>
          <w:rFonts w:eastAsia="Batang"/>
          <w:sz w:val="24"/>
          <w:szCs w:val="24"/>
        </w:rPr>
        <w:t>Факт устранения дефекта должен быть зарегистрирован Исполнителем в Журнале обращений пользователей.</w:t>
      </w:r>
      <w:bookmarkEnd w:id="215"/>
    </w:p>
    <w:p>
      <w:pPr>
        <w:pStyle w:val="Normal"/>
        <w:spacing w:lineRule="auto" w:line="240" w:before="0" w:after="0"/>
        <w:ind w:hanging="0" w:start="0"/>
        <w:rPr>
          <w:rFonts w:eastAsia="Batang"/>
          <w:sz w:val="24"/>
          <w:szCs w:val="24"/>
        </w:rPr>
      </w:pPr>
      <w:r>
        <w:rPr>
          <w:rFonts w:eastAsia="Batang"/>
          <w:sz w:val="24"/>
          <w:szCs w:val="24"/>
        </w:rPr>
      </w:r>
    </w:p>
    <w:p>
      <w:pPr>
        <w:pStyle w:val="Normal"/>
        <w:keepNext w:val="true"/>
        <w:keepLines/>
        <w:numPr>
          <w:ilvl w:val="0"/>
          <w:numId w:val="0"/>
        </w:numPr>
        <w:spacing w:lineRule="auto" w:line="240" w:before="0" w:after="120"/>
        <w:ind w:firstLine="709" w:start="0"/>
        <w:outlineLvl w:val="3"/>
        <w:rPr>
          <w:rFonts w:eastAsia="MS Gothic"/>
          <w:b/>
          <w:sz w:val="24"/>
          <w:szCs w:val="24"/>
        </w:rPr>
      </w:pPr>
      <w:r>
        <w:rPr>
          <w:rFonts w:eastAsia="MS Gothic"/>
          <w:b/>
          <w:sz w:val="24"/>
          <w:szCs w:val="24"/>
        </w:rPr>
        <w:t>5.4.5.6</w:t>
        <w:tab/>
        <w:t>Анализ данных, поиск и устранение противоречий данных</w:t>
      </w:r>
    </w:p>
    <w:p>
      <w:pPr>
        <w:pStyle w:val="Normal"/>
        <w:spacing w:lineRule="auto" w:line="240" w:before="120" w:after="0"/>
        <w:ind w:firstLine="709" w:start="0"/>
        <w:rPr>
          <w:rFonts w:eastAsia="Batang"/>
          <w:sz w:val="24"/>
          <w:szCs w:val="24"/>
        </w:rPr>
      </w:pPr>
      <w:r>
        <w:rPr>
          <w:rFonts w:eastAsia="Batang"/>
          <w:sz w:val="24"/>
          <w:szCs w:val="24"/>
        </w:rPr>
        <w:t>В случае выявления пользователями ситуаций, предположительно связанных с противоречиями в хранимых в Системе данных, по обращению пользователя Исполнитель выполняет анализ хранимых в Системе данных на предмет наличия в них противоречий, в том числе нарушения связей в БД или потери части данных. В случае выявления противоречий данных Исполнитель устанавливает причину их возникновения и предлагает способ их устранения, указывая имеющиеся ограничения (при наличии).</w:t>
      </w:r>
    </w:p>
    <w:p>
      <w:pPr>
        <w:pStyle w:val="Normal"/>
        <w:spacing w:lineRule="auto" w:line="240" w:before="0" w:after="0"/>
        <w:ind w:firstLine="709" w:start="0"/>
        <w:rPr>
          <w:rFonts w:eastAsia="Batang"/>
          <w:sz w:val="24"/>
          <w:szCs w:val="24"/>
        </w:rPr>
      </w:pPr>
      <w:r>
        <w:rPr>
          <w:rFonts w:eastAsia="Batang"/>
          <w:sz w:val="24"/>
          <w:szCs w:val="24"/>
        </w:rPr>
        <w:t>После согласования пользователем предложенного способа, а также сроков его применения, устранения Исполнитель применяет его, предварительно выполнив резервное копирование данных в объеме, достаточном для восстановления данных в случае их некорректного изменения Исполнителем. Исполнитель должен обеспечить предварительную проверку корректности применения выбранного способа устранения противоречий данных с использованием копии БД, содержащей соответствующие противоречия данных.</w:t>
      </w:r>
    </w:p>
    <w:p>
      <w:pPr>
        <w:pStyle w:val="Normal"/>
        <w:spacing w:lineRule="auto" w:line="240" w:before="0" w:after="0"/>
        <w:ind w:firstLine="709" w:start="0"/>
        <w:rPr>
          <w:rFonts w:eastAsia="Batang"/>
          <w:sz w:val="24"/>
          <w:szCs w:val="24"/>
        </w:rPr>
      </w:pPr>
      <w:r>
        <w:rPr>
          <w:rFonts w:eastAsia="Batang"/>
          <w:sz w:val="24"/>
          <w:szCs w:val="24"/>
        </w:rPr>
        <w:t>Сведения о проведенных операциях должны быть отражены в Журнале обслуживания Системы.</w:t>
      </w:r>
    </w:p>
    <w:p>
      <w:pPr>
        <w:pStyle w:val="Normal"/>
        <w:spacing w:lineRule="auto" w:line="240" w:before="0" w:after="0"/>
        <w:ind w:firstLine="709" w:start="0"/>
        <w:rPr>
          <w:rFonts w:eastAsia="Batang"/>
          <w:sz w:val="24"/>
          <w:szCs w:val="24"/>
        </w:rPr>
      </w:pPr>
      <w:r>
        <w:rPr>
          <w:rFonts w:eastAsia="Batang"/>
          <w:sz w:val="24"/>
          <w:szCs w:val="24"/>
        </w:rPr>
        <w:t>В случае разработки для внесения изменений специальных утилит (например, скриптов СУБД) Исполнитель должен передать их Заказчику в составе результатов соответствующего отчетного периода.</w:t>
      </w:r>
    </w:p>
    <w:p>
      <w:pPr>
        <w:pStyle w:val="Normal"/>
        <w:spacing w:lineRule="auto" w:line="240" w:before="0" w:after="0"/>
        <w:ind w:firstLine="709" w:start="0"/>
        <w:rPr>
          <w:rFonts w:eastAsia="Batang"/>
          <w:sz w:val="24"/>
          <w:szCs w:val="24"/>
        </w:rPr>
      </w:pPr>
      <w:r>
        <w:rPr>
          <w:rFonts w:eastAsia="Batang"/>
          <w:sz w:val="24"/>
          <w:szCs w:val="24"/>
        </w:rPr>
      </w:r>
    </w:p>
    <w:p>
      <w:pPr>
        <w:pStyle w:val="Normal"/>
        <w:keepNext w:val="true"/>
        <w:keepLines/>
        <w:numPr>
          <w:ilvl w:val="0"/>
          <w:numId w:val="0"/>
        </w:numPr>
        <w:spacing w:lineRule="auto" w:line="240" w:before="0" w:after="120"/>
        <w:ind w:firstLine="709" w:start="0"/>
        <w:outlineLvl w:val="3"/>
        <w:rPr>
          <w:rFonts w:eastAsia="MS Gothic"/>
          <w:b/>
          <w:sz w:val="24"/>
          <w:szCs w:val="24"/>
        </w:rPr>
      </w:pPr>
      <w:bookmarkStart w:id="216" w:name="_Hlk177130638"/>
      <w:r>
        <w:rPr>
          <w:rFonts w:eastAsia="MS Gothic"/>
          <w:b/>
          <w:sz w:val="24"/>
          <w:szCs w:val="24"/>
        </w:rPr>
        <w:t>5.4.5.7</w:t>
        <w:tab/>
        <w:t>Сопровождение форматов обмена</w:t>
      </w:r>
      <w:bookmarkEnd w:id="216"/>
    </w:p>
    <w:p>
      <w:pPr>
        <w:pStyle w:val="Normal"/>
        <w:spacing w:lineRule="auto" w:line="240" w:before="0" w:after="0"/>
        <w:ind w:firstLine="709" w:start="0"/>
        <w:rPr>
          <w:rFonts w:eastAsia="MS Gothic"/>
          <w:bCs/>
          <w:sz w:val="24"/>
          <w:szCs w:val="24"/>
        </w:rPr>
      </w:pPr>
      <w:r>
        <w:rPr>
          <w:rFonts w:eastAsia="MS Gothic"/>
          <w:bCs/>
          <w:sz w:val="24"/>
          <w:szCs w:val="24"/>
        </w:rPr>
        <w:t>В случае изменения форматов и схем интеграции Системы с внешними информационными системами Исполнитель обязан в течение 3 (Трех) рабочих дней с момента его уведомления об этом проинформировать Заказчика о вносимых изменениях и сроках доработки, тестирования и выхода нового релиза СПО Системы с учетом изменений форматов и схем интеграции с внешними ИС.</w:t>
      </w:r>
    </w:p>
    <w:p>
      <w:pPr>
        <w:pStyle w:val="Normal"/>
        <w:spacing w:lineRule="auto" w:line="240" w:before="0" w:after="0"/>
        <w:ind w:firstLine="709" w:start="0"/>
        <w:rPr>
          <w:rFonts w:eastAsia="MS Gothic"/>
          <w:bCs/>
          <w:sz w:val="24"/>
          <w:szCs w:val="24"/>
        </w:rPr>
      </w:pPr>
      <w:r>
        <w:rPr>
          <w:rFonts w:eastAsia="MS Gothic"/>
          <w:bCs/>
          <w:sz w:val="24"/>
          <w:szCs w:val="24"/>
        </w:rPr>
        <w:t>По завершению тестирования и выхода нового релиза СПО Системы Исполнитель обязан уведомлять Заказчика о полученных результатах не позднее следующего рабочего дня.</w:t>
      </w:r>
    </w:p>
    <w:p>
      <w:pPr>
        <w:pStyle w:val="Normal"/>
        <w:spacing w:lineRule="auto" w:line="240" w:before="0" w:after="0"/>
        <w:ind w:firstLine="709" w:start="0"/>
        <w:rPr>
          <w:rFonts w:eastAsia="MS Gothic"/>
          <w:bCs/>
          <w:sz w:val="24"/>
          <w:szCs w:val="24"/>
        </w:rPr>
      </w:pPr>
      <w:bookmarkStart w:id="217" w:name="_Hlk177638117"/>
      <w:r>
        <w:rPr>
          <w:rFonts w:eastAsia="MS Gothic"/>
          <w:bCs/>
          <w:sz w:val="24"/>
          <w:szCs w:val="24"/>
        </w:rPr>
        <w:t>Исполнитель предоставляет Заказчику обновление СПО Системы, содержащее все необходимые изменения, и актуализированную в части, касающейся документацию на СПО Системы.</w:t>
      </w:r>
      <w:bookmarkEnd w:id="217"/>
    </w:p>
    <w:p>
      <w:pPr>
        <w:pStyle w:val="Normal"/>
        <w:spacing w:lineRule="auto" w:line="240" w:before="0" w:after="0"/>
        <w:ind w:firstLine="709" w:start="0"/>
        <w:rPr>
          <w:rFonts w:eastAsia="MS Gothic"/>
          <w:bCs/>
          <w:sz w:val="24"/>
          <w:szCs w:val="24"/>
        </w:rPr>
      </w:pPr>
      <w:r>
        <w:rPr>
          <w:rFonts w:eastAsia="MS Gothic"/>
          <w:bCs/>
          <w:sz w:val="24"/>
          <w:szCs w:val="24"/>
        </w:rPr>
        <w:t>Функции приема информации со стороны внешних систем обеспечиваются Заказчиком.</w:t>
      </w:r>
    </w:p>
    <w:p>
      <w:pPr>
        <w:pStyle w:val="Normal"/>
        <w:spacing w:lineRule="auto" w:line="240" w:before="0" w:after="0"/>
        <w:ind w:firstLine="709" w:start="0"/>
        <w:rPr>
          <w:rFonts w:eastAsia="MS Gothic"/>
          <w:bCs/>
          <w:sz w:val="24"/>
          <w:szCs w:val="24"/>
        </w:rPr>
      </w:pPr>
      <w:r>
        <w:rPr>
          <w:rFonts w:eastAsia="MS Gothic"/>
          <w:bCs/>
          <w:sz w:val="24"/>
          <w:szCs w:val="24"/>
        </w:rPr>
      </w:r>
    </w:p>
    <w:p>
      <w:pPr>
        <w:pStyle w:val="26"/>
        <w:spacing w:lineRule="auto" w:line="240"/>
        <w:ind w:firstLine="709" w:start="0"/>
        <w:rPr>
          <w:rFonts w:ascii="Times New Roman" w:hAnsi="Times New Roman"/>
          <w:szCs w:val="24"/>
        </w:rPr>
      </w:pPr>
      <w:bookmarkStart w:id="218" w:name="__RefHeading___Toc33562_3559854210"/>
      <w:bookmarkStart w:id="219" w:name="_Toc177129114"/>
      <w:bookmarkStart w:id="220" w:name="_Toc215755899"/>
      <w:bookmarkStart w:id="221" w:name="_Hlk177640127"/>
      <w:bookmarkEnd w:id="218"/>
      <w:bookmarkEnd w:id="221"/>
      <w:r>
        <w:rPr>
          <w:rFonts w:ascii="Times New Roman" w:hAnsi="Times New Roman"/>
          <w:szCs w:val="24"/>
        </w:rPr>
        <w:t>Требования к обеспечению конфиденциальности</w:t>
      </w:r>
      <w:bookmarkEnd w:id="219"/>
      <w:bookmarkEnd w:id="220"/>
    </w:p>
    <w:p>
      <w:pPr>
        <w:pStyle w:val="Normal"/>
        <w:spacing w:lineRule="auto" w:line="240" w:before="0" w:after="0"/>
        <w:ind w:firstLine="709" w:start="0"/>
        <w:rPr>
          <w:rFonts w:eastAsia="MS Gothic"/>
          <w:bCs/>
          <w:sz w:val="24"/>
          <w:szCs w:val="24"/>
        </w:rPr>
      </w:pPr>
      <w:r>
        <w:rPr>
          <w:rFonts w:eastAsia="MS Gothic"/>
          <w:bCs/>
          <w:sz w:val="24"/>
          <w:szCs w:val="24"/>
        </w:rPr>
        <w:t>В период оказания услуг Исполнитель обязуется не совершать неправомерного использования информации, которая относится к персональным данным физических лиц, к данным экономического, производственного, технического, организационного характера, связанную с осуществлением профессиональной и экономической деятельности, в том числе ограниченного доступа, а именно:</w:t>
      </w:r>
    </w:p>
    <w:p>
      <w:pPr>
        <w:pStyle w:val="Normal"/>
        <w:spacing w:lineRule="auto" w:line="240" w:before="0" w:after="0"/>
        <w:ind w:firstLine="709" w:start="0"/>
        <w:rPr>
          <w:rFonts w:eastAsia="MS Gothic"/>
          <w:bCs/>
          <w:sz w:val="24"/>
          <w:szCs w:val="24"/>
        </w:rPr>
      </w:pPr>
      <w:r>
        <w:rPr>
          <w:rFonts w:eastAsia="MS Gothic"/>
          <w:bCs/>
          <w:sz w:val="24"/>
          <w:szCs w:val="24"/>
        </w:rPr>
        <w:t>не уничтожать, не модифицировать (за исключением случаев, предусмотренных ТЗ), не блокировать (за исключением случаев, предусмотренных ТЗ), не копировать (за исключением случаев, предусмотренных ТЗ), не распространять, а также от иных неправомерных действий в отношении такой информации.</w:t>
      </w:r>
    </w:p>
    <w:p>
      <w:pPr>
        <w:pStyle w:val="Normal"/>
        <w:spacing w:lineRule="auto" w:line="240" w:before="0" w:after="0"/>
        <w:ind w:firstLine="709" w:start="0"/>
        <w:rPr>
          <w:rFonts w:eastAsia="MS Gothic"/>
          <w:bCs/>
          <w:sz w:val="24"/>
          <w:szCs w:val="24"/>
        </w:rPr>
      </w:pPr>
      <w:r>
        <w:rPr>
          <w:rFonts w:eastAsia="MS Gothic"/>
          <w:bCs/>
          <w:sz w:val="24"/>
          <w:szCs w:val="24"/>
        </w:rPr>
        <w:t>Исполнитель обязан использовать доступ к информационным ресурсам только в целях оказания услуг, не копировать, не размножать и не распространять в любой форме любые материалы, содержащиеся на рабочих местах, серверах и прочих средствах хранения информации.</w:t>
      </w:r>
    </w:p>
    <w:p>
      <w:pPr>
        <w:pStyle w:val="Normal"/>
        <w:spacing w:lineRule="auto" w:line="240" w:before="0" w:after="0"/>
        <w:ind w:firstLine="709" w:start="0"/>
        <w:rPr>
          <w:rFonts w:eastAsia="MS Gothic"/>
          <w:bCs/>
          <w:sz w:val="24"/>
          <w:szCs w:val="24"/>
        </w:rPr>
      </w:pPr>
      <w:r>
        <w:rPr>
          <w:rFonts w:eastAsia="MS Gothic"/>
          <w:bCs/>
          <w:sz w:val="24"/>
          <w:szCs w:val="24"/>
        </w:rPr>
        <w:t>Исполнитель несет ответственность за неправомерное использование конфиденциальной информации в соответствии с законодательством Российской Федерации.</w:t>
      </w:r>
    </w:p>
    <w:p>
      <w:pPr>
        <w:pStyle w:val="Normal"/>
        <w:spacing w:lineRule="auto" w:line="240" w:before="0" w:after="0"/>
        <w:ind w:firstLine="709" w:start="0"/>
        <w:rPr>
          <w:rFonts w:eastAsia="MS Gothic"/>
          <w:bCs/>
          <w:sz w:val="24"/>
          <w:szCs w:val="24"/>
        </w:rPr>
      </w:pPr>
      <w:r>
        <w:rPr>
          <w:rFonts w:eastAsia="MS Gothic"/>
          <w:bCs/>
          <w:sz w:val="24"/>
          <w:szCs w:val="24"/>
        </w:rPr>
        <w:t>В течение 3 (трех) дней с момента заключения Договора Стороны в соответствии с п. 1 ст. 3 Федерального закона от 29.07.2004 № 98-ФЗ «О коммерческой тайне», ст. 7 Федерального закона от 27.07.2006 № 152-ФЗ заключают Соглашение о конфиденциальности, оформленное по форме Приложения В к ТЗ.</w:t>
      </w:r>
    </w:p>
    <w:p>
      <w:pPr>
        <w:pStyle w:val="Normal"/>
        <w:spacing w:lineRule="auto" w:line="240" w:before="0" w:after="0"/>
        <w:ind w:firstLine="709" w:start="0"/>
        <w:rPr>
          <w:rFonts w:eastAsia="MS Gothic"/>
          <w:bCs/>
          <w:sz w:val="24"/>
          <w:szCs w:val="24"/>
        </w:rPr>
      </w:pPr>
      <w:r>
        <w:rPr>
          <w:rFonts w:eastAsia="MS Gothic"/>
          <w:bCs/>
          <w:sz w:val="24"/>
          <w:szCs w:val="24"/>
        </w:rPr>
        <w:t>Исполнитель гарантирует соблюдение принципов и правил обработки персональных данных, предусмотренных Федеральным законом от 27.07.2006 № 152-ФЗ «О персональных данных». В том числе, соблюдать конфиденциальность персональных данных и обеспечивать их безопасность при обработке. Исполнитель обязуется применять организационные и технические меры по обеспечению вышеуказанной безопасности при обработке персональных данных в том числе в информационных системах, необходимые для выполнения требований к их защите, установленные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pPr>
        <w:pStyle w:val="Normal"/>
        <w:spacing w:lineRule="auto" w:line="240" w:before="0" w:after="0"/>
        <w:ind w:firstLine="709" w:start="0"/>
        <w:rPr>
          <w:rFonts w:eastAsia="MS Gothic"/>
          <w:bCs/>
          <w:sz w:val="24"/>
          <w:szCs w:val="24"/>
        </w:rPr>
      </w:pPr>
      <w:r>
        <w:rPr>
          <w:rFonts w:eastAsia="MS Gothic"/>
          <w:bCs/>
          <w:sz w:val="24"/>
          <w:szCs w:val="24"/>
        </w:rPr>
      </w:r>
    </w:p>
    <w:p>
      <w:pPr>
        <w:pStyle w:val="26"/>
        <w:spacing w:lineRule="auto" w:line="240"/>
        <w:ind w:firstLine="709" w:start="0"/>
        <w:rPr>
          <w:rFonts w:ascii="Times New Roman" w:hAnsi="Times New Roman"/>
          <w:szCs w:val="24"/>
        </w:rPr>
      </w:pPr>
      <w:bookmarkStart w:id="222" w:name="__RefHeading___Toc33564_3559854210"/>
      <w:bookmarkStart w:id="223" w:name="_Toc215755900"/>
      <w:bookmarkStart w:id="224" w:name="_Toc177129115"/>
      <w:bookmarkEnd w:id="222"/>
      <w:r>
        <w:rPr>
          <w:rFonts w:ascii="Times New Roman" w:hAnsi="Times New Roman"/>
          <w:szCs w:val="24"/>
        </w:rPr>
        <w:t>Требования к патентной чистоте</w:t>
      </w:r>
      <w:bookmarkEnd w:id="223"/>
      <w:bookmarkEnd w:id="224"/>
    </w:p>
    <w:p>
      <w:pPr>
        <w:pStyle w:val="Normal"/>
        <w:spacing w:lineRule="auto" w:line="240" w:before="0" w:after="0"/>
        <w:ind w:firstLine="709" w:start="0"/>
        <w:rPr>
          <w:rFonts w:eastAsia="MS Gothic"/>
          <w:bCs/>
          <w:sz w:val="24"/>
          <w:szCs w:val="24"/>
        </w:rPr>
      </w:pPr>
      <w:r>
        <w:rPr>
          <w:rFonts w:eastAsia="MS Gothic"/>
          <w:bCs/>
          <w:sz w:val="24"/>
          <w:szCs w:val="24"/>
        </w:rPr>
        <w:t>Патентная чистота должна быть обеспечена в отношении патентов, действующих на территории Российской Федерации.</w:t>
      </w:r>
    </w:p>
    <w:p>
      <w:pPr>
        <w:pStyle w:val="Normal"/>
        <w:spacing w:lineRule="auto" w:line="240" w:before="0" w:after="0"/>
        <w:ind w:firstLine="709" w:start="0"/>
        <w:rPr>
          <w:rFonts w:eastAsia="MS Gothic"/>
          <w:bCs/>
          <w:sz w:val="24"/>
          <w:szCs w:val="24"/>
        </w:rPr>
      </w:pPr>
      <w:r>
        <w:rPr>
          <w:rFonts w:eastAsia="MS Gothic"/>
          <w:bCs/>
          <w:sz w:val="24"/>
          <w:szCs w:val="24"/>
        </w:rPr>
        <w:t>Реализация технических, программных, организационных и иных решений, используемых в процессе оказания услуг, не должна приводить к нарушению авторских и смежных прав третьих лиц.</w:t>
      </w:r>
    </w:p>
    <w:p>
      <w:pPr>
        <w:pStyle w:val="15"/>
        <w:spacing w:lineRule="auto" w:line="276" w:before="0" w:after="0"/>
        <w:ind w:firstLine="709" w:start="0"/>
        <w:rPr>
          <w:rFonts w:ascii="Times New Roman" w:hAnsi="Times New Roman"/>
        </w:rPr>
      </w:pPr>
      <w:bookmarkStart w:id="225" w:name="__RefHeading___Toc33566_3559854210"/>
      <w:bookmarkStart w:id="226" w:name="_Toc215755901"/>
      <w:bookmarkStart w:id="227" w:name="_Toc177129116"/>
      <w:bookmarkStart w:id="228" w:name="_Hlk177640127_Копия_1"/>
      <w:bookmarkEnd w:id="225"/>
      <w:bookmarkEnd w:id="228"/>
      <w:r>
        <w:rPr>
          <w:rFonts w:ascii="Times New Roman" w:hAnsi="Times New Roman"/>
        </w:rPr>
        <w:t>Требования к документации</w:t>
      </w:r>
      <w:bookmarkEnd w:id="226"/>
      <w:bookmarkEnd w:id="227"/>
    </w:p>
    <w:p>
      <w:pPr>
        <w:pStyle w:val="120"/>
        <w:spacing w:lineRule="auto" w:line="276" w:before="119" w:after="0"/>
        <w:ind w:firstLine="709" w:start="0"/>
        <w:contextualSpacing/>
        <w:jc w:val="both"/>
        <w:rPr/>
      </w:pPr>
      <w:r>
        <w:rPr/>
        <w:t>Документы, разрабатываемые/дорабатываемые Исполнителем в рамках настоящего ТЗ, должны удовлетворять требованиям комплекса стандартов и руководящих документов на автоматизированные системы:</w:t>
      </w:r>
    </w:p>
    <w:p>
      <w:pPr>
        <w:pStyle w:val="120"/>
        <w:spacing w:lineRule="auto" w:line="276" w:before="119" w:after="0"/>
        <w:ind w:firstLine="709" w:start="0"/>
        <w:contextualSpacing/>
        <w:jc w:val="both"/>
        <w:rPr/>
      </w:pPr>
      <w:r>
        <w:rPr/>
        <w:t>– </w:t>
      </w:r>
      <w:r>
        <w:rPr/>
        <w:t>ГОСТ Р 59853-2021 «Национальный стандарт Российской Федерации. Информационные технологии. Комплекс стандартов» – в части терминологии;</w:t>
      </w:r>
    </w:p>
    <w:p>
      <w:pPr>
        <w:pStyle w:val="120"/>
        <w:spacing w:lineRule="auto" w:line="276" w:before="119" w:after="0"/>
        <w:ind w:firstLine="709" w:start="0"/>
        <w:contextualSpacing/>
        <w:jc w:val="both"/>
        <w:rPr/>
      </w:pPr>
      <w:r>
        <w:rPr/>
        <w:t>– </w:t>
      </w:r>
      <w:r>
        <w:rPr/>
        <w:t>ГОСТ 34.201-2020 «Межгосударственный стандарт. Информационные технологии. Комплекс стандартов. Виды, комплектность и обозначение документов при создании автоматизированных систем» – в части обозначений документов;</w:t>
      </w:r>
    </w:p>
    <w:p>
      <w:pPr>
        <w:pStyle w:val="120"/>
        <w:spacing w:lineRule="auto" w:line="276" w:before="119" w:after="0"/>
        <w:ind w:firstLine="709" w:start="0"/>
        <w:contextualSpacing/>
        <w:jc w:val="both"/>
        <w:rPr/>
      </w:pPr>
      <w:r>
        <w:rPr/>
        <w:t>– </w:t>
      </w:r>
      <w:r>
        <w:rPr/>
        <w:t>ГОСТ 34.602-2020 «Межгосударственный стандарт. Информационные технологии. Комплекс стандартов. Техническое задание на создание автоматизированной системы»;</w:t>
      </w:r>
    </w:p>
    <w:p>
      <w:pPr>
        <w:pStyle w:val="120"/>
        <w:spacing w:lineRule="auto" w:line="276" w:before="119" w:after="0"/>
        <w:ind w:firstLine="709" w:start="0"/>
        <w:contextualSpacing/>
        <w:jc w:val="both"/>
        <w:rPr/>
      </w:pPr>
      <w:r>
        <w:rPr/>
        <w:t>– </w:t>
      </w:r>
      <w:r>
        <w:rPr/>
        <w:t>ГОСТ 34.602-2020 «Межгосударственный стандарт. Информационные технологии. Комплекс стандартов. Техническое задание на создание автоматизированной системы» (раздел 3) либо ГОСТ 19.106-78 «Госстандарт Союза ССР. Единая система программной документации. Требования к программным документам, выполненным программным способом» – в части оформления;</w:t>
      </w:r>
    </w:p>
    <w:p>
      <w:pPr>
        <w:pStyle w:val="120"/>
        <w:spacing w:lineRule="auto" w:line="276" w:before="119" w:after="0"/>
        <w:ind w:firstLine="709" w:start="0"/>
        <w:contextualSpacing/>
        <w:jc w:val="both"/>
        <w:rPr/>
      </w:pPr>
      <w:r>
        <w:rPr/>
        <w:t>– </w:t>
      </w:r>
      <w:r>
        <w:rPr/>
        <w:t>ГОСТ Р 59792-2021 «Национальный стандарт Российской Федерации. Информационные технологии. Комплекс стандартов на автоматизированные системы. Виды испытаний автоматизированных систем»;</w:t>
      </w:r>
    </w:p>
    <w:p>
      <w:pPr>
        <w:pStyle w:val="120"/>
        <w:spacing w:lineRule="auto" w:line="276" w:before="119" w:after="0"/>
        <w:ind w:firstLine="709" w:start="0"/>
        <w:contextualSpacing/>
        <w:jc w:val="both"/>
        <w:rPr/>
      </w:pPr>
      <w:r>
        <w:rPr/>
        <w:t>– </w:t>
      </w:r>
      <w:r>
        <w:rPr/>
        <w:t>Постановление Правительства Российской Федерации от 06.07.2015 №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pPr>
        <w:pStyle w:val="120"/>
        <w:spacing w:lineRule="auto" w:line="276" w:before="119" w:after="0"/>
        <w:ind w:firstLine="709" w:start="0"/>
        <w:contextualSpacing/>
        <w:jc w:val="both"/>
        <w:rPr/>
      </w:pPr>
      <w:r>
        <w:rPr/>
        <w:t>– </w:t>
      </w:r>
      <w:r>
        <w:rPr/>
        <w:t>Распоряжение Министерства государственного управления, информационных технологий и связи Московской области от 08.07.2016 № 10-49/РВ «О размещении информационных систем на вычислительных ресурсах Единой инфраструктуры технологического обеспечения Правительства Московской области»;</w:t>
      </w:r>
    </w:p>
    <w:p>
      <w:pPr>
        <w:pStyle w:val="120"/>
        <w:spacing w:lineRule="auto" w:line="276" w:before="119" w:after="0"/>
        <w:ind w:firstLine="709" w:start="0"/>
        <w:contextualSpacing/>
        <w:jc w:val="both"/>
        <w:rPr/>
      </w:pPr>
      <w:r>
        <w:rPr/>
        <w:t>Документы не должны содержать в колонтитулах указаний на организацию Исполнителя (логотипы, реквизиты, контактную информацию и т.п.).</w:t>
      </w:r>
    </w:p>
    <w:p>
      <w:pPr>
        <w:pStyle w:val="120"/>
        <w:spacing w:lineRule="auto" w:line="276" w:before="119" w:after="0"/>
        <w:ind w:firstLine="709" w:start="0"/>
        <w:contextualSpacing/>
        <w:jc w:val="both"/>
        <w:rPr/>
      </w:pPr>
      <w:bookmarkStart w:id="229" w:name="_Hlk176440302"/>
      <w:bookmarkStart w:id="230" w:name="_Hlk175755254"/>
      <w:r>
        <w:rPr/>
        <w:t>Документы на Систему должны быть оформлены в соответствии с требованиями ГОСТ 2.301-68 «Межгосударственный стандарт. Единая система конструкторской документации. Форматы». Допускается для размещения рисунков и таблиц использование листов формата А3 с подшивкой по короткой стороне листа. Документы объемом более 25 листов должны содержать информационную часть, состоящую из аннотации и содержания. Документы не должны содержать в колонтитулах указаний на организацию Исполнителя (логотипы, реквизиты, контактную информацию и т.п.). Все документы должны быть оформлены в едином стиле.</w:t>
      </w:r>
      <w:bookmarkEnd w:id="229"/>
      <w:bookmarkEnd w:id="230"/>
    </w:p>
    <w:p>
      <w:pPr>
        <w:pStyle w:val="120"/>
        <w:spacing w:lineRule="auto" w:line="276" w:before="119" w:after="0"/>
        <w:ind w:firstLine="709" w:start="0"/>
        <w:contextualSpacing/>
        <w:jc w:val="both"/>
        <w:rPr/>
      </w:pPr>
      <w:r>
        <w:rPr/>
        <w:t>Документация на Систему передается на бумажном носителе и на машинных носителях (CD/DVD) в двух экземплярах (по одному экземпляру для Заказчика и Исполнителя). Все документы на машинных носителях предоставляются в открытом структурированном формате (Office Open XML или OpenDocument Format) и должны быть доступны для редактирования.</w:t>
      </w:r>
    </w:p>
    <w:p>
      <w:pPr>
        <w:pStyle w:val="120"/>
        <w:spacing w:lineRule="auto" w:line="276" w:before="119" w:after="0"/>
        <w:ind w:firstLine="709" w:start="0"/>
        <w:contextualSpacing/>
        <w:jc w:val="both"/>
        <w:rPr/>
      </w:pPr>
      <w:r>
        <w:rPr/>
        <w:t>Если в состав документации на Систему включаются схемы, чертежи, фотоматериалы и пр., то, по согласованию с Заказчиком, допускается выполнение таких приложений в форматах: TIFF, JPEG, открытый структурированный формат (Office Open XML или OpenDocument Format) и др. При этом основная часть документа выпускается в соответствии с требованиями, определенными выше.</w:t>
      </w:r>
    </w:p>
    <w:p>
      <w:pPr>
        <w:pStyle w:val="120"/>
        <w:spacing w:lineRule="auto" w:line="276" w:before="119" w:after="240"/>
        <w:ind w:firstLine="709" w:start="0"/>
        <w:contextualSpacing/>
        <w:jc w:val="both"/>
        <w:rPr/>
      </w:pPr>
      <w:bookmarkStart w:id="231" w:name="_Hlk177651474"/>
      <w:r>
        <w:rPr/>
        <w:t>До проведения приемки услуг или испытаний по результатам каждого из этапов Договора все документы, подготовленные Исполнителем, должны быть согласованы Заказчиком.</w:t>
      </w:r>
      <w:bookmarkEnd w:id="231"/>
    </w:p>
    <w:p>
      <w:pPr>
        <w:pStyle w:val="120"/>
        <w:spacing w:lineRule="auto" w:line="276" w:before="119" w:after="240"/>
        <w:ind w:firstLine="709" w:start="0"/>
        <w:contextualSpacing/>
        <w:jc w:val="both"/>
        <w:rPr/>
      </w:pPr>
      <w:r>
        <w:rPr/>
      </w:r>
    </w:p>
    <w:p>
      <w:pPr>
        <w:pStyle w:val="15"/>
        <w:spacing w:lineRule="auto" w:line="276" w:before="0" w:after="0"/>
        <w:ind w:firstLine="709" w:start="0"/>
        <w:rPr>
          <w:rFonts w:ascii="Times New Roman" w:hAnsi="Times New Roman"/>
          <w:szCs w:val="24"/>
        </w:rPr>
      </w:pPr>
      <w:bookmarkStart w:id="232" w:name="__RefHeading___Toc33568_3559854210"/>
      <w:bookmarkStart w:id="233" w:name="_Toc215755902"/>
      <w:bookmarkStart w:id="234" w:name="_Toc177129117"/>
      <w:bookmarkEnd w:id="232"/>
      <w:r>
        <w:rPr>
          <w:rFonts w:ascii="Times New Roman" w:hAnsi="Times New Roman"/>
          <w:szCs w:val="24"/>
        </w:rPr>
        <w:t>Порядок контроля и приемки результатов услуг</w:t>
      </w:r>
      <w:bookmarkEnd w:id="233"/>
      <w:bookmarkEnd w:id="234"/>
    </w:p>
    <w:p>
      <w:pPr>
        <w:pStyle w:val="120"/>
        <w:spacing w:lineRule="auto" w:line="276" w:before="119" w:after="240"/>
        <w:ind w:firstLine="709" w:start="0"/>
        <w:contextualSpacing/>
        <w:jc w:val="both"/>
        <w:rPr/>
      </w:pPr>
      <w:r>
        <w:rPr/>
        <w:t>Приемка результатов Услуг осуществляется в соответствии с условиями Государственного Договора поэтапно в соответствии со сроками выполнения отдельных этапов оказания услуг, приведенных в Календарном плане (Приложение № 1 к ТЗ).</w:t>
      </w:r>
    </w:p>
    <w:p>
      <w:pPr>
        <w:pStyle w:val="120"/>
        <w:spacing w:lineRule="auto" w:line="276" w:before="119" w:after="240"/>
        <w:ind w:firstLine="709" w:start="0"/>
        <w:contextualSpacing/>
        <w:jc w:val="both"/>
        <w:rPr/>
      </w:pPr>
      <w:r>
        <w:rPr/>
        <w:t>Отчетные документы, указанные в Календарном плане (Приложение 1 к ТЗ), передаются в течение 3 (трёх) рабочих дней с даты завершения этапа</w:t>
      </w:r>
      <w:r>
        <w:rPr>
          <w:rStyle w:val="CommentReference"/>
          <w:lang w:eastAsia="ru-RU"/>
        </w:rPr>
        <w:t>.</w:t>
      </w:r>
    </w:p>
    <w:p>
      <w:pPr>
        <w:pStyle w:val="120"/>
        <w:spacing w:lineRule="auto" w:line="276" w:before="119" w:after="240"/>
        <w:ind w:firstLine="709" w:start="0"/>
        <w:contextualSpacing/>
        <w:jc w:val="both"/>
        <w:rPr/>
      </w:pPr>
      <w:r>
        <w:rPr/>
        <w:t>Исполнитель в течение 3 (трёх) рабочих дней с даты завершения этапа направляет Заказчику Акт (ДОП), формат УПД, утвержденный приказом ФНС России, подписанный Исполнителем, а также прочие результаты оказанных услуг в соответствии с Календарным планом (Приложение 1 к ТЗ).</w:t>
      </w:r>
    </w:p>
    <w:p>
      <w:pPr>
        <w:pStyle w:val="120"/>
        <w:spacing w:lineRule="auto" w:line="276" w:before="119" w:after="240"/>
        <w:ind w:firstLine="709" w:start="0"/>
        <w:contextualSpacing/>
        <w:jc w:val="both"/>
        <w:rPr/>
      </w:pPr>
      <w:r>
        <w:rPr/>
        <w:t>Журнал обращений, помимо обращений, поступивших в течение отчетного периода, должен включать обращения, не решенные на момент завершения предыдущего отчетного периода.</w:t>
      </w:r>
    </w:p>
    <w:p>
      <w:pPr>
        <w:pStyle w:val="120"/>
        <w:spacing w:lineRule="auto" w:line="276" w:before="119" w:after="240"/>
        <w:ind w:firstLine="709" w:start="0"/>
        <w:contextualSpacing/>
        <w:jc w:val="both"/>
        <w:rPr/>
      </w:pPr>
      <w:r>
        <w:rPr/>
        <w:t>Заказчиком может быть запрошено внеочередное предоставление отчетных материалов по текущему этапу исполнения Договора. В случае такого запроса по текущему этапу исполнения Договора Заказчику должны быть представлены в течение 3 (трёх) рабочих дней с даты получения запроса Исполнителем отчетные материалы, содержащие сведения об услугах, фактически оказанных на момент поступления данного запроса. Заказчик вправе организовать проверку качества оказываемых услуг путем созыва специальной комиссии, в этом случае Заказчик уведомляет Исполнителя не менее чем за 1 (один) рабочий день до даты проведения такой проверки. В состав комиссии должны входить сотрудники Заказчика и Исполнителя. По инициативе любой из сторон в состав комиссии могут быть включены независимые эксперты.</w:t>
      </w:r>
    </w:p>
    <w:p>
      <w:pPr>
        <w:pStyle w:val="120"/>
        <w:spacing w:lineRule="auto" w:line="276" w:before="119" w:after="240"/>
        <w:ind w:firstLine="709" w:start="0"/>
        <w:contextualSpacing/>
        <w:jc w:val="both"/>
        <w:rPr/>
      </w:pPr>
      <w:r>
        <w:rPr/>
        <w:t>Заказчик производит проверку представленных результатов оказания услуг в течение 5 (пяти) рабочих дней в порядке, предусмотренном Государственным Договором.</w:t>
      </w:r>
    </w:p>
    <w:p>
      <w:pPr>
        <w:pStyle w:val="120"/>
        <w:spacing w:lineRule="auto" w:line="276" w:before="119" w:after="240"/>
        <w:ind w:firstLine="709" w:start="0"/>
        <w:contextualSpacing/>
        <w:jc w:val="both"/>
        <w:rPr/>
      </w:pPr>
      <w:r>
        <w:rPr/>
        <w:t>В случае если при проверке установлены неактуальность, противоречивость либо неполнота сведений, представленных в результатах оказания Услуг, Заказчик в порядке, определенном Государственным Договором, возвращает результаты оказания Услуг Исполнителю на доработку с указанием причин отказа в приемке. В этом случае приемка осуществляется в порядке, определенном Государственным Договором.</w:t>
      </w:r>
    </w:p>
    <w:p>
      <w:pPr>
        <w:pStyle w:val="120"/>
        <w:spacing w:lineRule="auto" w:line="276" w:before="119" w:after="240"/>
        <w:ind w:firstLine="476" w:start="233"/>
        <w:contextualSpacing/>
        <w:jc w:val="both"/>
        <w:rPr/>
      </w:pPr>
      <w:r>
        <w:rPr/>
        <w:t xml:space="preserve">При нарушении сроков предоставления результатов оказания услуг Исполнитель несет ответственность в соответствии с условиями Государственного Договора. </w:t>
      </w:r>
    </w:p>
    <w:p>
      <w:pPr>
        <w:pStyle w:val="15"/>
        <w:spacing w:lineRule="auto" w:line="240" w:before="0" w:after="0"/>
        <w:ind w:firstLine="709" w:start="0"/>
        <w:rPr>
          <w:rFonts w:ascii="Times New Roman" w:hAnsi="Times New Roman"/>
        </w:rPr>
      </w:pPr>
      <w:bookmarkStart w:id="235" w:name="__RefHeading___Toc33570_3559854210"/>
      <w:bookmarkStart w:id="236" w:name="_Toc215755903"/>
      <w:bookmarkEnd w:id="235"/>
      <w:r>
        <w:rPr>
          <w:rFonts w:ascii="Times New Roman" w:hAnsi="Times New Roman"/>
        </w:rPr>
        <w:t>Гарантийные обязательства исполнителя</w:t>
      </w:r>
      <w:bookmarkEnd w:id="236"/>
    </w:p>
    <w:p>
      <w:pPr>
        <w:pStyle w:val="120"/>
        <w:spacing w:lineRule="auto" w:line="276" w:before="119" w:after="240"/>
        <w:ind w:firstLine="709" w:start="0"/>
        <w:contextualSpacing/>
        <w:jc w:val="both"/>
        <w:rPr/>
      </w:pPr>
      <w:r>
        <w:rPr/>
        <w:t>Исполнитель обеспечивает гарантию работоспособности результатов изменений СПО в течение 6 (шести) месяцев с даты подписания Заказчиком Акта (ДОП), формат УПД, утвержденного приказом ФНС России, по последнему этапу Государственного Договора.</w:t>
      </w:r>
    </w:p>
    <w:p>
      <w:pPr>
        <w:pStyle w:val="120"/>
        <w:spacing w:lineRule="auto" w:line="276" w:before="119" w:after="240"/>
        <w:ind w:firstLine="709" w:start="0"/>
        <w:contextualSpacing/>
        <w:jc w:val="both"/>
        <w:rPr/>
      </w:pPr>
      <w:r>
        <w:rPr/>
        <w:t>В рамках гарантийной поддержки СПО Исполнитель должен:</w:t>
      </w:r>
    </w:p>
    <w:p>
      <w:pPr>
        <w:pStyle w:val="120"/>
        <w:spacing w:lineRule="auto" w:line="276" w:before="119" w:after="240"/>
        <w:ind w:firstLine="709" w:start="0"/>
        <w:contextualSpacing/>
        <w:jc w:val="both"/>
        <w:rPr/>
      </w:pPr>
      <w:r>
        <w:rPr/>
        <w:t>− </w:t>
      </w:r>
      <w:r>
        <w:rPr/>
        <w:t>восстанавливать работоспособность СПО и баз данных при возникновении внештатных ситуаций, связанных с ошибками в программном обеспечении СПО, с обеспечением выезда специалистов Исполнителя на объект автоматизации;</w:t>
      </w:r>
    </w:p>
    <w:p>
      <w:pPr>
        <w:pStyle w:val="120"/>
        <w:spacing w:lineRule="auto" w:line="276" w:before="119" w:after="240"/>
        <w:ind w:firstLine="709" w:start="0"/>
        <w:contextualSpacing/>
        <w:jc w:val="both"/>
        <w:rPr/>
      </w:pPr>
      <w:r>
        <w:rPr/>
        <w:t>− </w:t>
      </w:r>
      <w:r>
        <w:rPr/>
        <w:t>устранять сбои и некорректное функционирование СПО в сроки, согласованные с Заказчиком;</w:t>
      </w:r>
    </w:p>
    <w:p>
      <w:pPr>
        <w:pStyle w:val="120"/>
        <w:spacing w:lineRule="auto" w:line="276" w:before="119" w:after="240"/>
        <w:ind w:firstLine="709" w:start="0"/>
        <w:contextualSpacing/>
        <w:jc w:val="both"/>
        <w:rPr/>
      </w:pPr>
      <w:r>
        <w:rPr/>
        <w:t>− </w:t>
      </w:r>
      <w:r>
        <w:rPr/>
        <w:t>проводить работы по устранению выявляемых технических ошибок (дефектов), в том числе, при необходимости внесение изменений в СПО в целях устранения выявленных технических ошибок (дефектов) и предоставление Заказчику документированных обновлений СПО;</w:t>
      </w:r>
    </w:p>
    <w:p>
      <w:pPr>
        <w:pStyle w:val="120"/>
        <w:spacing w:lineRule="auto" w:line="276" w:before="119" w:after="240"/>
        <w:ind w:firstLine="709" w:start="0"/>
        <w:contextualSpacing/>
        <w:jc w:val="both"/>
        <w:rPr/>
      </w:pPr>
      <w:r>
        <w:rPr/>
        <w:t>− </w:t>
      </w:r>
      <w:r>
        <w:rPr/>
        <w:t>проводить иные работы, необходимые для обеспечения бесперебойного функционирования СПО.</w:t>
      </w:r>
    </w:p>
    <w:p>
      <w:pPr>
        <w:pStyle w:val="120"/>
        <w:spacing w:lineRule="auto" w:line="276" w:before="119" w:after="240"/>
        <w:ind w:firstLine="709" w:start="0"/>
        <w:contextualSpacing/>
        <w:jc w:val="both"/>
        <w:rPr/>
      </w:pPr>
      <w:r>
        <w:rPr/>
        <w:t>Гарантийные обязательства не распространяются на следующие случаи:</w:t>
      </w:r>
    </w:p>
    <w:p>
      <w:pPr>
        <w:pStyle w:val="120"/>
        <w:spacing w:lineRule="auto" w:line="276" w:before="119" w:after="240"/>
        <w:ind w:firstLine="709" w:start="0"/>
        <w:contextualSpacing/>
        <w:jc w:val="both"/>
        <w:rPr/>
      </w:pPr>
      <w:r>
        <w:rPr/>
        <w:t>− </w:t>
      </w:r>
      <w:r>
        <w:rPr/>
        <w:t>использование СПО с нарушением требований документации;</w:t>
      </w:r>
    </w:p>
    <w:p>
      <w:pPr>
        <w:pStyle w:val="120"/>
        <w:spacing w:lineRule="auto" w:line="276" w:before="119" w:after="240"/>
        <w:ind w:firstLine="709" w:start="0"/>
        <w:contextualSpacing/>
        <w:jc w:val="both"/>
        <w:rPr/>
      </w:pPr>
      <w:r>
        <w:rPr/>
        <w:t>− </w:t>
      </w:r>
      <w:r>
        <w:rPr/>
        <w:t>изменение Заказчиком программного кода СПО;</w:t>
      </w:r>
    </w:p>
    <w:p>
      <w:pPr>
        <w:pStyle w:val="120"/>
        <w:spacing w:lineRule="auto" w:line="276" w:before="119" w:after="240"/>
        <w:ind w:firstLine="709" w:start="0"/>
        <w:contextualSpacing/>
        <w:jc w:val="both"/>
        <w:rPr/>
      </w:pPr>
      <w:r>
        <w:rPr/>
        <w:t>− </w:t>
      </w:r>
      <w:r>
        <w:rPr/>
        <w:t>повреждение СПО вследствие нестабильной работы или сбоев технического обеспечения;</w:t>
      </w:r>
    </w:p>
    <w:p>
      <w:pPr>
        <w:pStyle w:val="120"/>
        <w:spacing w:lineRule="auto" w:line="276" w:before="119" w:after="240"/>
        <w:ind w:firstLine="709" w:start="0"/>
        <w:contextualSpacing/>
        <w:jc w:val="both"/>
        <w:rPr/>
      </w:pPr>
      <w:r>
        <w:rPr/>
        <w:t>− </w:t>
      </w:r>
      <w:r>
        <w:rPr/>
        <w:t>повреждение СПО вследствие действий третьих лиц;</w:t>
      </w:r>
    </w:p>
    <w:p>
      <w:pPr>
        <w:pStyle w:val="120"/>
        <w:spacing w:lineRule="auto" w:line="276" w:before="119" w:after="240"/>
        <w:ind w:firstLine="709" w:start="0"/>
        <w:contextualSpacing/>
        <w:jc w:val="both"/>
        <w:rPr/>
      </w:pPr>
      <w:r>
        <w:rPr/>
        <w:t>− </w:t>
      </w:r>
      <w:r>
        <w:rPr/>
        <w:t>повреждение СПО в результате действия компьютерных вирусов.</w:t>
      </w:r>
    </w:p>
    <w:p>
      <w:pPr>
        <w:pStyle w:val="15"/>
        <w:spacing w:lineRule="auto" w:line="240" w:before="0" w:after="0"/>
        <w:ind w:firstLine="709" w:start="0"/>
        <w:rPr>
          <w:rFonts w:ascii="Times New Roman" w:hAnsi="Times New Roman"/>
        </w:rPr>
      </w:pPr>
      <w:bookmarkStart w:id="237" w:name="__RefHeading___Toc33572_3559854210"/>
      <w:bookmarkStart w:id="238" w:name="_Toc177129118"/>
      <w:bookmarkStart w:id="239" w:name="_Toc215755904"/>
      <w:bookmarkEnd w:id="237"/>
      <w:r>
        <w:rPr>
          <w:rFonts w:ascii="Times New Roman" w:hAnsi="Times New Roman"/>
        </w:rPr>
        <w:t>Источники разработки</w:t>
      </w:r>
      <w:bookmarkEnd w:id="238"/>
      <w:bookmarkEnd w:id="239"/>
    </w:p>
    <w:p>
      <w:pPr>
        <w:pStyle w:val="120"/>
        <w:spacing w:lineRule="auto" w:line="276" w:before="119" w:after="0"/>
        <w:ind w:firstLine="709" w:start="0"/>
        <w:contextualSpacing/>
        <w:jc w:val="both"/>
        <w:rPr/>
      </w:pPr>
      <w:r>
        <w:rPr/>
        <w:t>Исходными документами для разработки настоящих Технических требований являются:</w:t>
      </w:r>
    </w:p>
    <w:p>
      <w:pPr>
        <w:pStyle w:val="120"/>
        <w:spacing w:lineRule="auto" w:line="276" w:before="119" w:after="0"/>
        <w:ind w:firstLine="709" w:start="0"/>
        <w:contextualSpacing/>
        <w:jc w:val="both"/>
        <w:rPr/>
      </w:pPr>
      <w:r>
        <w:rPr/>
        <w:t>– </w:t>
      </w:r>
      <w:r>
        <w:rPr/>
        <w:t>Федеральный закон от 27.07.2006 № 152-ФЗ «О персональных данных»;</w:t>
      </w:r>
    </w:p>
    <w:p>
      <w:pPr>
        <w:pStyle w:val="120"/>
        <w:spacing w:lineRule="auto" w:line="276" w:before="119" w:after="0"/>
        <w:ind w:firstLine="709" w:start="0"/>
        <w:contextualSpacing/>
        <w:jc w:val="both"/>
        <w:rPr/>
      </w:pPr>
      <w:r>
        <w:rPr/>
        <w:t>– </w:t>
      </w:r>
      <w:r>
        <w:rPr/>
        <w:t>Федеральный закон от 27.07.2006 № 149-ФЗ «Об информации, информационных технологиях и о защите информации»;</w:t>
      </w:r>
    </w:p>
    <w:p>
      <w:pPr>
        <w:pStyle w:val="120"/>
        <w:spacing w:lineRule="auto" w:line="276" w:before="119" w:after="0"/>
        <w:ind w:firstLine="709" w:start="0"/>
        <w:contextualSpacing/>
        <w:jc w:val="both"/>
        <w:rPr/>
      </w:pPr>
      <w:r>
        <w:rPr/>
        <w:t>– </w:t>
      </w:r>
      <w:r>
        <w:rPr/>
        <w:t>Закон Московской области от 10.07.2009 № 80/2009-ОЗ «О государственных информационных системах Московской области и обеспечении доступа к содержащейся в них информации»;</w:t>
      </w:r>
    </w:p>
    <w:p>
      <w:pPr>
        <w:pStyle w:val="120"/>
        <w:spacing w:lineRule="auto" w:line="276" w:before="119" w:after="0"/>
        <w:ind w:firstLine="709" w:start="0"/>
        <w:contextualSpacing/>
        <w:jc w:val="both"/>
        <w:rPr/>
      </w:pPr>
      <w:r>
        <w:rPr/>
        <w:t>– </w:t>
      </w:r>
      <w:r>
        <w:rP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pPr>
        <w:pStyle w:val="120"/>
        <w:spacing w:lineRule="auto" w:line="276" w:before="119" w:after="0"/>
        <w:ind w:firstLine="709" w:start="0"/>
        <w:contextualSpacing/>
        <w:jc w:val="both"/>
        <w:rPr/>
      </w:pPr>
      <w:r>
        <w:rPr/>
        <w:t>– </w:t>
      </w:r>
      <w:r>
        <w:rPr/>
        <w:t>постановление Правительства Российской Федерации от 06.07.2015 №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pPr>
        <w:pStyle w:val="120"/>
        <w:spacing w:lineRule="auto" w:line="276" w:before="119" w:after="0"/>
        <w:ind w:firstLine="709" w:start="0"/>
        <w:contextualSpacing/>
        <w:jc w:val="both"/>
        <w:rPr/>
      </w:pPr>
      <w:r>
        <w:rPr/>
        <w:t>– </w:t>
      </w:r>
      <w:r>
        <w:rPr/>
        <w:t>приказ ФСТЭК России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pPr>
        <w:pStyle w:val="120"/>
        <w:spacing w:lineRule="auto" w:line="276" w:before="119" w:after="0"/>
        <w:ind w:firstLine="709" w:start="0"/>
        <w:contextualSpacing/>
        <w:jc w:val="both"/>
        <w:rPr/>
      </w:pPr>
      <w:r>
        <w:rPr/>
        <w:t>– </w:t>
      </w:r>
      <w:r>
        <w:rPr/>
        <w:t>письмо Минцифры России от 07.09.2021 № П11-2-05-200-38749;</w:t>
      </w:r>
    </w:p>
    <w:p>
      <w:pPr>
        <w:pStyle w:val="120"/>
        <w:spacing w:lineRule="auto" w:line="276" w:before="119" w:after="0"/>
        <w:ind w:firstLine="709" w:start="0"/>
        <w:contextualSpacing/>
        <w:jc w:val="both"/>
        <w:rPr/>
      </w:pPr>
      <w:r>
        <w:rPr/>
        <w:t>– </w:t>
      </w:r>
      <w:r>
        <w:rPr/>
        <w:t>письмо Минцифры России от 15.03.2023 № МП-П11-070-17504;</w:t>
      </w:r>
    </w:p>
    <w:p>
      <w:pPr>
        <w:pStyle w:val="120"/>
        <w:spacing w:lineRule="auto" w:line="276" w:before="119" w:after="0"/>
        <w:ind w:firstLine="709" w:start="0"/>
        <w:contextualSpacing/>
        <w:jc w:val="both"/>
        <w:rPr/>
      </w:pPr>
      <w:r>
        <w:rPr/>
        <w:t>– </w:t>
      </w:r>
      <w:r>
        <w:rPr/>
        <w:t>ГОСТ Р ИСО/МЭК 14764-2002 «Информационная технология. Сопровождение программных средств»;</w:t>
      </w:r>
    </w:p>
    <w:p>
      <w:pPr>
        <w:pStyle w:val="120"/>
        <w:spacing w:lineRule="auto" w:line="276" w:before="119" w:after="0"/>
        <w:ind w:firstLine="709" w:start="0"/>
        <w:contextualSpacing/>
        <w:jc w:val="both"/>
        <w:rPr/>
      </w:pPr>
      <w:r>
        <w:rPr/>
        <w:t>– </w:t>
      </w:r>
      <w:r>
        <w:rPr/>
        <w:t>ГОСТ Р ИСО/МЭК 9126-93 «Информационная технология. Оценка программной продукции. Характеристика качества и руководства по их применению»;</w:t>
      </w:r>
    </w:p>
    <w:p>
      <w:pPr>
        <w:pStyle w:val="120"/>
        <w:spacing w:lineRule="auto" w:line="276" w:before="119" w:after="0"/>
        <w:ind w:firstLine="709" w:start="0"/>
        <w:contextualSpacing/>
        <w:jc w:val="both"/>
        <w:rPr/>
      </w:pPr>
      <w:r>
        <w:rPr/>
        <w:t>– </w:t>
      </w:r>
      <w:r>
        <w:rPr/>
        <w:t>ГОСТ Р 50922-2006 «Национальный стандарт Российской Федерации. Защита информации. Основные термины и определения»;</w:t>
      </w:r>
    </w:p>
    <w:p>
      <w:pPr>
        <w:pStyle w:val="120"/>
        <w:spacing w:lineRule="auto" w:line="276" w:before="119" w:after="0"/>
        <w:ind w:firstLine="709" w:start="0"/>
        <w:contextualSpacing/>
        <w:jc w:val="both"/>
        <w:rPr/>
      </w:pPr>
      <w:r>
        <w:rPr/>
        <w:t>– </w:t>
      </w:r>
      <w:r>
        <w:rPr/>
        <w:t>ГОСТ Р 59853-2021 «Национальный стандарт Российской Федерации. Информационные технологии. Комплекс стандартов на автоматизированные системы. Автоматизированные системы. Термины и определения»;</w:t>
      </w:r>
    </w:p>
    <w:p>
      <w:pPr>
        <w:pStyle w:val="120"/>
        <w:spacing w:lineRule="auto" w:line="276" w:before="119" w:after="0"/>
        <w:ind w:firstLine="709" w:start="0"/>
        <w:contextualSpacing/>
        <w:jc w:val="both"/>
        <w:rPr/>
      </w:pPr>
      <w:r>
        <w:rPr/>
        <w:t>– </w:t>
      </w:r>
      <w:r>
        <w:rPr/>
        <w:t>ГОСТ Р 27.102-2021 «Национальный стандарт Российской Федерации. Надежность в технике. Надежность объекта. Термины и определения»;</w:t>
      </w:r>
    </w:p>
    <w:p>
      <w:pPr>
        <w:sectPr>
          <w:headerReference w:type="even" r:id="rId49"/>
          <w:headerReference w:type="default" r:id="rId50"/>
          <w:headerReference w:type="first" r:id="rId51"/>
          <w:footerReference w:type="even" r:id="rId52"/>
          <w:footerReference w:type="default" r:id="rId53"/>
          <w:footerReference w:type="first" r:id="rId54"/>
          <w:footnotePr>
            <w:numFmt w:val="decimal"/>
          </w:footnotePr>
          <w:type w:val="nextPage"/>
          <w:pgSz w:w="11906" w:h="16838"/>
          <w:pgMar w:left="1134" w:right="851" w:gutter="0" w:header="709" w:top="1134" w:footer="709" w:bottom="1134"/>
          <w:pgNumType w:fmt="decimal"/>
          <w:formProt w:val="false"/>
          <w:textDirection w:val="lrTb"/>
          <w:docGrid w:type="default" w:linePitch="299" w:charSpace="0"/>
        </w:sectPr>
        <w:pStyle w:val="120"/>
        <w:spacing w:lineRule="auto" w:line="276" w:before="119" w:after="0"/>
        <w:ind w:firstLine="709" w:start="0"/>
        <w:contextualSpacing/>
        <w:jc w:val="both"/>
        <w:rPr/>
      </w:pPr>
      <w:r>
        <w:rPr/>
        <w:t>– </w:t>
      </w:r>
      <w:r>
        <w:rPr/>
        <w:t>ГОСТ 33707-2016 (ISO/IEC 2382:2015) «Межгосударственный стандарт. Информационные технологии. Словарь»;</w:t>
      </w:r>
    </w:p>
    <w:p>
      <w:pPr>
        <w:pStyle w:val="15"/>
        <w:numPr>
          <w:ilvl w:val="0"/>
          <w:numId w:val="0"/>
        </w:numPr>
        <w:spacing w:lineRule="auto" w:line="240" w:before="0" w:after="0"/>
        <w:ind w:hanging="0" w:start="709"/>
        <w:jc w:val="end"/>
        <w:rPr>
          <w:rFonts w:ascii="Times New Roman" w:hAnsi="Times New Roman"/>
        </w:rPr>
      </w:pPr>
      <w:bookmarkStart w:id="240" w:name="__RefHeading___Toc33574_3559854210"/>
      <w:bookmarkStart w:id="241" w:name="_Hlk177129405"/>
      <w:bookmarkStart w:id="242" w:name="_Ref126600009"/>
      <w:bookmarkStart w:id="243" w:name="_Toc215755905"/>
      <w:bookmarkEnd w:id="240"/>
      <w:r>
        <w:rPr>
          <w:rFonts w:ascii="Times New Roman" w:hAnsi="Times New Roman"/>
        </w:rPr>
        <w:t>Приложение 1</w:t>
      </w:r>
      <w:bookmarkEnd w:id="243"/>
    </w:p>
    <w:p>
      <w:pPr>
        <w:pStyle w:val="Normal"/>
        <w:spacing w:lineRule="auto" w:line="276" w:before="0" w:after="0"/>
        <w:ind w:firstLine="709" w:start="357"/>
        <w:contextualSpacing/>
        <w:jc w:val="end"/>
        <w:rPr>
          <w:rFonts w:eastAsia="Calibri"/>
          <w:b/>
          <w:bCs/>
          <w:sz w:val="24"/>
          <w:szCs w:val="24"/>
        </w:rPr>
      </w:pPr>
      <w:r>
        <w:rPr>
          <w:rFonts w:eastAsia="Calibri"/>
          <w:b/>
          <w:bCs/>
          <w:sz w:val="24"/>
          <w:szCs w:val="24"/>
        </w:rPr>
        <w:t>к Техническому заданию</w:t>
      </w:r>
    </w:p>
    <w:p>
      <w:pPr>
        <w:pStyle w:val="Normal"/>
        <w:spacing w:lineRule="auto" w:line="276"/>
        <w:ind w:firstLine="709" w:start="357"/>
        <w:jc w:val="center"/>
        <w:rPr>
          <w:rFonts w:eastAsia="Calibri"/>
          <w:b/>
          <w:sz w:val="24"/>
          <w:szCs w:val="24"/>
        </w:rPr>
      </w:pPr>
      <w:r>
        <w:rPr>
          <w:rFonts w:eastAsia="Calibri"/>
          <w:b/>
          <w:sz w:val="24"/>
          <w:szCs w:val="24"/>
        </w:rPr>
      </w:r>
    </w:p>
    <w:p>
      <w:pPr>
        <w:pStyle w:val="Normal"/>
        <w:spacing w:lineRule="auto" w:line="276"/>
        <w:ind w:firstLine="709" w:start="357"/>
        <w:jc w:val="center"/>
        <w:rPr>
          <w:rFonts w:eastAsia="Calibri"/>
          <w:b/>
          <w:sz w:val="24"/>
          <w:szCs w:val="24"/>
        </w:rPr>
      </w:pPr>
      <w:r>
        <w:rPr>
          <w:rFonts w:eastAsia="Calibri"/>
          <w:b/>
          <w:sz w:val="24"/>
          <w:szCs w:val="24"/>
        </w:rPr>
        <w:t>КАЛЕНДАРНЫЙ ПЛАН</w:t>
      </w:r>
    </w:p>
    <w:tbl>
      <w:tblPr>
        <w:tblW w:w="15540" w:type="dxa"/>
        <w:jc w:val="start"/>
        <w:tblInd w:w="-471" w:type="dxa"/>
        <w:tblLayout w:type="fixed"/>
        <w:tblCellMar>
          <w:top w:w="0" w:type="dxa"/>
          <w:start w:w="108" w:type="dxa"/>
          <w:bottom w:w="0" w:type="dxa"/>
          <w:end w:w="108" w:type="dxa"/>
        </w:tblCellMar>
        <w:tblLook w:val="04a0" w:noHBand="0" w:noVBand="1" w:firstColumn="1" w:lastRow="0" w:lastColumn="0" w:firstRow="1"/>
      </w:tblPr>
      <w:tblGrid>
        <w:gridCol w:w="803"/>
        <w:gridCol w:w="2707"/>
        <w:gridCol w:w="4185"/>
        <w:gridCol w:w="1829"/>
        <w:gridCol w:w="1532"/>
        <w:gridCol w:w="2039"/>
        <w:gridCol w:w="2444"/>
      </w:tblGrid>
      <w:tr>
        <w:trPr>
          <w:tblHeader w:val="true"/>
          <w:trHeight w:val="712" w:hRule="atLeast"/>
        </w:trPr>
        <w:tc>
          <w:tcPr>
            <w:tcW w:w="15539" w:type="dxa"/>
            <w:gridSpan w:val="7"/>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76" w:before="0" w:after="0"/>
              <w:contextualSpacing/>
              <w:jc w:val="center"/>
              <w:rPr>
                <w:b/>
                <w:sz w:val="24"/>
                <w:szCs w:val="24"/>
                <w:lang w:eastAsia="ru-RU"/>
              </w:rPr>
            </w:pPr>
            <w:r>
              <w:rPr>
                <w:b/>
                <w:sz w:val="24"/>
                <w:szCs w:val="24"/>
                <w:lang w:eastAsia="ru-RU"/>
              </w:rPr>
              <w:t>Оказание услуг по сопровождению государственной информационной системы САСДУЭ МО</w:t>
            </w:r>
          </w:p>
        </w:tc>
      </w:tr>
      <w:tr>
        <w:trPr>
          <w:tblHeader w:val="true"/>
          <w:trHeight w:val="410" w:hRule="atLeast"/>
        </w:trPr>
        <w:tc>
          <w:tcPr>
            <w:tcW w:w="803"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b/>
                <w:sz w:val="20"/>
                <w:szCs w:val="20"/>
                <w:lang w:eastAsia="ru-RU"/>
              </w:rPr>
            </w:pPr>
            <w:r>
              <w:rPr>
                <w:rFonts w:eastAsia="Cambria"/>
                <w:b/>
                <w:sz w:val="20"/>
                <w:szCs w:val="20"/>
                <w:lang w:eastAsia="ru-RU"/>
              </w:rPr>
              <w:t xml:space="preserve">№ </w:t>
            </w:r>
            <w:r>
              <w:rPr>
                <w:rFonts w:eastAsia="Cambria"/>
                <w:b/>
                <w:sz w:val="20"/>
                <w:szCs w:val="20"/>
                <w:lang w:eastAsia="ru-RU"/>
              </w:rPr>
              <w:t>этапа</w:t>
            </w:r>
          </w:p>
        </w:tc>
        <w:tc>
          <w:tcPr>
            <w:tcW w:w="2707"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b/>
                <w:sz w:val="20"/>
                <w:szCs w:val="20"/>
              </w:rPr>
            </w:pPr>
            <w:r>
              <w:rPr>
                <w:rFonts w:eastAsia="Cambria"/>
                <w:b/>
                <w:sz w:val="20"/>
                <w:szCs w:val="20"/>
                <w:lang w:eastAsia="ru-RU"/>
              </w:rPr>
              <w:t>Наименование этапа и содержание услуг</w:t>
            </w:r>
          </w:p>
        </w:tc>
        <w:tc>
          <w:tcPr>
            <w:tcW w:w="4185"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b/>
                <w:sz w:val="20"/>
                <w:szCs w:val="20"/>
              </w:rPr>
            </w:pPr>
            <w:r>
              <w:rPr>
                <w:rFonts w:eastAsia="Cambria"/>
                <w:b/>
                <w:sz w:val="20"/>
                <w:szCs w:val="20"/>
                <w:lang w:eastAsia="ru-RU"/>
              </w:rPr>
              <w:t>Результаты оказанных услуг</w:t>
            </w:r>
          </w:p>
        </w:tc>
        <w:tc>
          <w:tcPr>
            <w:tcW w:w="3361" w:type="dxa"/>
            <w:gridSpan w:val="2"/>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b/>
                <w:sz w:val="20"/>
                <w:szCs w:val="20"/>
              </w:rPr>
            </w:pPr>
            <w:r>
              <w:rPr>
                <w:rFonts w:eastAsia="Cambria"/>
                <w:b/>
                <w:sz w:val="20"/>
                <w:szCs w:val="20"/>
                <w:lang w:eastAsia="ru-RU"/>
              </w:rPr>
              <w:t>Срок оказания услуг</w:t>
            </w:r>
          </w:p>
        </w:tc>
        <w:tc>
          <w:tcPr>
            <w:tcW w:w="2039"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b/>
                <w:sz w:val="20"/>
                <w:szCs w:val="20"/>
              </w:rPr>
            </w:pPr>
            <w:r>
              <w:rPr>
                <w:rFonts w:eastAsia="Cambria"/>
                <w:b/>
                <w:sz w:val="20"/>
                <w:szCs w:val="20"/>
                <w:lang w:eastAsia="ru-RU"/>
              </w:rPr>
              <w:t>Сроки предоставления результатов оказанных услуг</w:t>
            </w:r>
          </w:p>
        </w:tc>
        <w:tc>
          <w:tcPr>
            <w:tcW w:w="2444" w:type="dxa"/>
            <w:vMerge w:val="restart"/>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rFonts w:eastAsia="Cambria"/>
                <w:b/>
                <w:sz w:val="20"/>
                <w:szCs w:val="20"/>
              </w:rPr>
            </w:pPr>
            <w:r>
              <w:rPr>
                <w:rFonts w:eastAsia="Cambria"/>
                <w:b/>
                <w:sz w:val="20"/>
                <w:szCs w:val="20"/>
                <w:lang w:eastAsia="ru-RU"/>
              </w:rPr>
              <w:t>Сроки проведения приемки</w:t>
            </w:r>
          </w:p>
        </w:tc>
      </w:tr>
      <w:tr>
        <w:trPr>
          <w:tblHeader w:val="true"/>
          <w:trHeight w:val="314" w:hRule="atLeast"/>
        </w:trPr>
        <w:tc>
          <w:tcPr>
            <w:tcW w:w="803" w:type="dxa"/>
            <w:vMerge w:val="continue"/>
            <w:tcBorders>
              <w:top w:val="single" w:sz="4" w:space="0" w:color="000000"/>
              <w:start w:val="single" w:sz="4" w:space="0" w:color="000000"/>
              <w:bottom w:val="single" w:sz="4" w:space="0" w:color="000000"/>
              <w:end w:val="single" w:sz="4" w:space="0" w:color="000000"/>
            </w:tcBorders>
            <w:shd w:color="FFFFFF" w:fill="FFFFFF" w:val="clear"/>
          </w:tcPr>
          <w:p>
            <w:pPr>
              <w:pStyle w:val="Normal"/>
              <w:spacing w:before="120" w:after="120"/>
              <w:contextualSpacing/>
              <w:rPr>
                <w:sz w:val="20"/>
                <w:szCs w:val="20"/>
                <w:lang w:eastAsia="ru-RU"/>
              </w:rPr>
            </w:pPr>
            <w:r>
              <w:rPr>
                <w:sz w:val="20"/>
                <w:szCs w:val="20"/>
                <w:lang w:eastAsia="ru-RU"/>
              </w:rPr>
            </w:r>
          </w:p>
        </w:tc>
        <w:tc>
          <w:tcPr>
            <w:tcW w:w="2707" w:type="dxa"/>
            <w:vMerge w:val="continue"/>
            <w:tcBorders>
              <w:top w:val="single" w:sz="4" w:space="0" w:color="000000"/>
              <w:start w:val="single" w:sz="4" w:space="0" w:color="000000"/>
              <w:bottom w:val="single" w:sz="4" w:space="0" w:color="000000"/>
              <w:end w:val="single" w:sz="4" w:space="0" w:color="000000"/>
            </w:tcBorders>
            <w:shd w:color="FFFFFF" w:fill="FFFFFF" w:val="clear"/>
          </w:tcPr>
          <w:p>
            <w:pPr>
              <w:pStyle w:val="Normal"/>
              <w:spacing w:before="120" w:after="120"/>
              <w:contextualSpacing/>
              <w:rPr>
                <w:sz w:val="20"/>
                <w:szCs w:val="20"/>
                <w:lang w:eastAsia="ru-RU"/>
              </w:rPr>
            </w:pPr>
            <w:r>
              <w:rPr>
                <w:sz w:val="20"/>
                <w:szCs w:val="20"/>
                <w:lang w:eastAsia="ru-RU"/>
              </w:rPr>
            </w:r>
          </w:p>
        </w:tc>
        <w:tc>
          <w:tcPr>
            <w:tcW w:w="4185" w:type="dxa"/>
            <w:vMerge w:val="continue"/>
            <w:tcBorders>
              <w:top w:val="single" w:sz="4" w:space="0" w:color="000000"/>
              <w:start w:val="single" w:sz="4" w:space="0" w:color="000000"/>
              <w:bottom w:val="single" w:sz="4" w:space="0" w:color="000000"/>
              <w:end w:val="single" w:sz="4" w:space="0" w:color="000000"/>
            </w:tcBorders>
            <w:shd w:color="FFFFFF" w:fill="FFFFFF" w:val="clear"/>
          </w:tcPr>
          <w:p>
            <w:pPr>
              <w:pStyle w:val="Normal"/>
              <w:spacing w:before="120" w:after="120"/>
              <w:contextualSpacing/>
              <w:rPr>
                <w:sz w:val="20"/>
                <w:szCs w:val="20"/>
                <w:lang w:eastAsia="ru-RU"/>
              </w:rPr>
            </w:pPr>
            <w:r>
              <w:rPr>
                <w:sz w:val="20"/>
                <w:szCs w:val="20"/>
                <w:lang w:eastAsia="ru-RU"/>
              </w:rPr>
            </w:r>
          </w:p>
        </w:tc>
        <w:tc>
          <w:tcPr>
            <w:tcW w:w="182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b/>
                <w:sz w:val="20"/>
                <w:szCs w:val="20"/>
              </w:rPr>
            </w:pPr>
            <w:r>
              <w:rPr>
                <w:b/>
                <w:sz w:val="20"/>
                <w:szCs w:val="20"/>
                <w:lang w:eastAsia="ru-RU"/>
              </w:rPr>
              <w:t>Начало</w:t>
            </w:r>
          </w:p>
        </w:tc>
        <w:tc>
          <w:tcPr>
            <w:tcW w:w="1532"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b/>
                <w:sz w:val="20"/>
                <w:szCs w:val="20"/>
              </w:rPr>
            </w:pPr>
            <w:r>
              <w:rPr>
                <w:b/>
                <w:sz w:val="20"/>
                <w:szCs w:val="20"/>
                <w:lang w:eastAsia="ru-RU"/>
              </w:rPr>
              <w:t>Конец</w:t>
            </w:r>
          </w:p>
        </w:tc>
        <w:tc>
          <w:tcPr>
            <w:tcW w:w="2039" w:type="dxa"/>
            <w:vMerge w:val="continue"/>
            <w:tcBorders>
              <w:top w:val="single" w:sz="4" w:space="0" w:color="000000"/>
              <w:start w:val="single" w:sz="4" w:space="0" w:color="000000"/>
              <w:bottom w:val="single" w:sz="4" w:space="0" w:color="000000"/>
              <w:end w:val="single" w:sz="4" w:space="0" w:color="000000"/>
            </w:tcBorders>
            <w:shd w:color="FFFFFF" w:fill="FFFFFF" w:val="clear"/>
          </w:tcPr>
          <w:p>
            <w:pPr>
              <w:pStyle w:val="Normal"/>
              <w:spacing w:before="120" w:after="120"/>
              <w:contextualSpacing/>
              <w:rPr>
                <w:sz w:val="20"/>
                <w:szCs w:val="20"/>
                <w:lang w:eastAsia="ru-RU"/>
              </w:rPr>
            </w:pPr>
            <w:r>
              <w:rPr>
                <w:sz w:val="20"/>
                <w:szCs w:val="20"/>
                <w:lang w:eastAsia="ru-RU"/>
              </w:rPr>
            </w:r>
          </w:p>
        </w:tc>
        <w:tc>
          <w:tcPr>
            <w:tcW w:w="2444" w:type="dxa"/>
            <w:vMerge w:val="continue"/>
            <w:tcBorders>
              <w:top w:val="single" w:sz="4" w:space="0" w:color="000000"/>
              <w:start w:val="single" w:sz="4" w:space="0" w:color="000000"/>
              <w:bottom w:val="single" w:sz="4" w:space="0" w:color="000000"/>
              <w:end w:val="single" w:sz="4" w:space="0" w:color="000000"/>
            </w:tcBorders>
            <w:shd w:color="FFFFFF" w:fill="FFFFFF" w:val="clear"/>
          </w:tcPr>
          <w:p>
            <w:pPr>
              <w:pStyle w:val="Normal"/>
              <w:spacing w:before="120" w:after="120"/>
              <w:contextualSpacing/>
              <w:rPr>
                <w:sz w:val="20"/>
                <w:szCs w:val="20"/>
                <w:lang w:eastAsia="ru-RU"/>
              </w:rPr>
            </w:pPr>
            <w:r>
              <w:rPr>
                <w:sz w:val="20"/>
                <w:szCs w:val="20"/>
                <w:lang w:eastAsia="ru-RU"/>
              </w:rPr>
            </w:r>
          </w:p>
        </w:tc>
      </w:tr>
      <w:tr>
        <w:trPr>
          <w:trHeight w:val="1504" w:hRule="atLeast"/>
        </w:trPr>
        <w:tc>
          <w:tcPr>
            <w:tcW w:w="803"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before="120" w:after="120"/>
              <w:contextualSpacing/>
              <w:jc w:val="center"/>
              <w:rPr>
                <w:b/>
                <w:bCs/>
                <w:sz w:val="20"/>
                <w:szCs w:val="20"/>
                <w:lang w:eastAsia="ru-RU"/>
              </w:rPr>
            </w:pPr>
            <w:r>
              <w:rPr>
                <w:b/>
                <w:bCs/>
                <w:sz w:val="20"/>
                <w:szCs w:val="20"/>
                <w:lang w:eastAsia="ru-RU"/>
              </w:rPr>
              <w:t>1</w:t>
            </w:r>
          </w:p>
        </w:tc>
        <w:tc>
          <w:tcPr>
            <w:tcW w:w="2707"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start"/>
              <w:rPr>
                <w:sz w:val="20"/>
                <w:szCs w:val="20"/>
              </w:rPr>
            </w:pPr>
            <w:r>
              <w:rPr>
                <w:sz w:val="20"/>
                <w:szCs w:val="20"/>
              </w:rPr>
              <w:t>Сопровождение Системы в соответствии с разделом 5 ТЗ.</w:t>
            </w:r>
          </w:p>
          <w:p>
            <w:pPr>
              <w:pStyle w:val="Normal"/>
              <w:spacing w:lineRule="auto" w:line="240" w:before="0" w:after="0"/>
              <w:ind w:hanging="0" w:start="0"/>
              <w:contextualSpacing/>
              <w:jc w:val="start"/>
              <w:rPr>
                <w:sz w:val="20"/>
                <w:szCs w:val="20"/>
              </w:rPr>
            </w:pPr>
            <w:r>
              <w:rPr>
                <w:sz w:val="20"/>
                <w:szCs w:val="20"/>
              </w:rPr>
            </w:r>
          </w:p>
          <w:p>
            <w:pPr>
              <w:pStyle w:val="Normal"/>
              <w:spacing w:lineRule="auto" w:line="240" w:before="0" w:after="0"/>
              <w:ind w:hanging="0" w:start="0"/>
              <w:contextualSpacing/>
              <w:jc w:val="start"/>
              <w:rPr>
                <w:sz w:val="20"/>
                <w:szCs w:val="20"/>
              </w:rPr>
            </w:pPr>
            <w:r>
              <w:rPr>
                <w:sz w:val="20"/>
                <w:szCs w:val="20"/>
              </w:rPr>
              <w:t>1. Консультирование пользователей;</w:t>
            </w:r>
          </w:p>
          <w:p>
            <w:pPr>
              <w:pStyle w:val="Normal"/>
              <w:spacing w:lineRule="auto" w:line="240" w:before="0" w:after="0"/>
              <w:ind w:hanging="0" w:start="0"/>
              <w:contextualSpacing/>
              <w:jc w:val="start"/>
              <w:rPr>
                <w:sz w:val="20"/>
                <w:szCs w:val="20"/>
              </w:rPr>
            </w:pPr>
            <w:r>
              <w:rPr>
                <w:sz w:val="20"/>
                <w:szCs w:val="20"/>
              </w:rPr>
              <w:t>2. Обслуживание Системы;</w:t>
            </w:r>
          </w:p>
          <w:p>
            <w:pPr>
              <w:pStyle w:val="Normal"/>
              <w:spacing w:lineRule="auto" w:line="240" w:before="0" w:after="0"/>
              <w:ind w:hanging="0" w:start="0"/>
              <w:contextualSpacing/>
              <w:jc w:val="start"/>
              <w:rPr>
                <w:sz w:val="20"/>
                <w:szCs w:val="20"/>
              </w:rPr>
            </w:pPr>
            <w:r>
              <w:rPr>
                <w:sz w:val="20"/>
                <w:szCs w:val="20"/>
              </w:rPr>
              <w:t>3. Резервное копирование ВМ и баз данных Системы;</w:t>
            </w:r>
          </w:p>
          <w:p>
            <w:pPr>
              <w:pStyle w:val="Normal"/>
              <w:spacing w:lineRule="auto" w:line="240" w:before="0" w:after="0"/>
              <w:ind w:hanging="0" w:start="0"/>
              <w:contextualSpacing/>
              <w:jc w:val="start"/>
              <w:rPr>
                <w:b/>
                <w:bCs/>
                <w:sz w:val="20"/>
                <w:szCs w:val="20"/>
                <w:lang w:eastAsia="ru-RU"/>
              </w:rPr>
            </w:pPr>
            <w:r>
              <w:rPr>
                <w:sz w:val="20"/>
                <w:szCs w:val="20"/>
              </w:rPr>
              <w:t>4. Восстановление работоспособности Системы при возникновении инцидентов.</w:t>
            </w:r>
          </w:p>
        </w:tc>
        <w:tc>
          <w:tcPr>
            <w:tcW w:w="4185" w:type="dxa"/>
            <w:tcBorders>
              <w:top w:val="single" w:sz="4" w:space="0" w:color="000000"/>
              <w:start w:val="single" w:sz="4" w:space="0" w:color="000000"/>
              <w:bottom w:val="single" w:sz="4" w:space="0" w:color="000000"/>
              <w:end w:val="single" w:sz="4" w:space="0" w:color="000000"/>
            </w:tcBorders>
            <w:shd w:color="FFFFFF" w:fill="FFFFFF" w:val="clear"/>
          </w:tcPr>
          <w:p>
            <w:pPr>
              <w:pStyle w:val="Normal"/>
              <w:spacing w:lineRule="auto" w:line="240" w:before="0" w:after="0"/>
              <w:ind w:hanging="0" w:start="0"/>
              <w:contextualSpacing/>
              <w:jc w:val="start"/>
              <w:rPr>
                <w:bCs/>
                <w:sz w:val="20"/>
                <w:szCs w:val="20"/>
              </w:rPr>
            </w:pPr>
            <w:r>
              <w:rPr>
                <w:bCs/>
                <w:sz w:val="20"/>
                <w:szCs w:val="20"/>
              </w:rPr>
              <w:t>1. Журнал регистрации обращений;</w:t>
            </w:r>
          </w:p>
          <w:p>
            <w:pPr>
              <w:pStyle w:val="Normal"/>
              <w:spacing w:lineRule="auto" w:line="240" w:before="0" w:after="0"/>
              <w:ind w:hanging="0" w:start="0"/>
              <w:contextualSpacing/>
              <w:jc w:val="start"/>
              <w:rPr>
                <w:bCs/>
                <w:sz w:val="20"/>
                <w:szCs w:val="20"/>
              </w:rPr>
            </w:pPr>
            <w:r>
              <w:rPr>
                <w:bCs/>
                <w:sz w:val="20"/>
                <w:szCs w:val="20"/>
              </w:rPr>
              <w:t>2. Отчет о проведении инструктажей (при необходимости);</w:t>
            </w:r>
          </w:p>
          <w:p>
            <w:pPr>
              <w:pStyle w:val="Normal"/>
              <w:spacing w:lineRule="auto" w:line="240" w:before="0" w:after="0"/>
              <w:ind w:hanging="0" w:start="0"/>
              <w:contextualSpacing/>
              <w:jc w:val="start"/>
              <w:rPr>
                <w:bCs/>
                <w:sz w:val="20"/>
                <w:szCs w:val="20"/>
              </w:rPr>
            </w:pPr>
            <w:r>
              <w:rPr>
                <w:bCs/>
                <w:sz w:val="20"/>
                <w:szCs w:val="20"/>
              </w:rPr>
              <w:t>3. Журнал обслуживания Системы;</w:t>
            </w:r>
          </w:p>
          <w:p>
            <w:pPr>
              <w:pStyle w:val="Normal"/>
              <w:spacing w:lineRule="auto" w:line="240" w:before="0" w:after="0"/>
              <w:ind w:hanging="0" w:start="0"/>
              <w:contextualSpacing/>
              <w:jc w:val="start"/>
              <w:rPr>
                <w:bCs/>
                <w:sz w:val="20"/>
                <w:szCs w:val="20"/>
              </w:rPr>
            </w:pPr>
            <w:r>
              <w:rPr>
                <w:bCs/>
                <w:sz w:val="20"/>
                <w:szCs w:val="20"/>
              </w:rPr>
              <w:t>4 Журнал резервного копирования и проверки целостности резервных копий;</w:t>
            </w:r>
          </w:p>
          <w:p>
            <w:pPr>
              <w:pStyle w:val="Normal"/>
              <w:spacing w:lineRule="auto" w:line="240" w:before="0" w:after="0"/>
              <w:ind w:hanging="0" w:start="0"/>
              <w:contextualSpacing/>
              <w:jc w:val="start"/>
              <w:rPr>
                <w:bCs/>
                <w:sz w:val="20"/>
                <w:szCs w:val="20"/>
              </w:rPr>
            </w:pPr>
            <w:r>
              <w:rPr>
                <w:bCs/>
                <w:sz w:val="20"/>
                <w:szCs w:val="20"/>
              </w:rPr>
              <w:t>5. Отчет о недоступности Системы;</w:t>
            </w:r>
          </w:p>
          <w:p>
            <w:pPr>
              <w:pStyle w:val="Normal"/>
              <w:spacing w:lineRule="auto" w:line="240" w:before="0" w:after="0"/>
              <w:ind w:hanging="0" w:start="0"/>
              <w:contextualSpacing/>
              <w:jc w:val="start"/>
              <w:rPr>
                <w:bCs/>
                <w:sz w:val="20"/>
                <w:szCs w:val="20"/>
              </w:rPr>
            </w:pPr>
            <w:r>
              <w:rPr>
                <w:bCs/>
                <w:sz w:val="20"/>
                <w:szCs w:val="20"/>
              </w:rPr>
              <w:t>6. Отчет о качестве оказанных услуг за отчетный период;</w:t>
            </w:r>
          </w:p>
          <w:p>
            <w:pPr>
              <w:pStyle w:val="Normal"/>
              <w:spacing w:lineRule="auto" w:line="240" w:before="0" w:after="0"/>
              <w:ind w:hanging="0" w:start="0"/>
              <w:contextualSpacing/>
              <w:jc w:val="start"/>
              <w:rPr>
                <w:bCs/>
                <w:sz w:val="20"/>
                <w:szCs w:val="20"/>
              </w:rPr>
            </w:pPr>
            <w:r>
              <w:rPr>
                <w:bCs/>
                <w:sz w:val="20"/>
                <w:szCs w:val="20"/>
              </w:rPr>
              <w:t>7. Акт (ДОП), формат УПД, утвержденный приказом ФНС России</w:t>
            </w:r>
          </w:p>
        </w:tc>
        <w:tc>
          <w:tcPr>
            <w:tcW w:w="182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pPr>
            <w:r>
              <w:rPr>
                <w:bCs/>
                <w:sz w:val="20"/>
                <w:szCs w:val="20"/>
                <w:lang w:eastAsia="ru-RU"/>
              </w:rPr>
              <w:t>07.12.2026</w:t>
            </w:r>
          </w:p>
        </w:tc>
        <w:tc>
          <w:tcPr>
            <w:tcW w:w="1532"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pPr>
            <w:r>
              <w:rPr>
                <w:bCs/>
                <w:sz w:val="20"/>
                <w:szCs w:val="20"/>
                <w:lang w:eastAsia="ru-RU"/>
              </w:rPr>
              <w:t>70 календарных дней</w:t>
            </w:r>
          </w:p>
        </w:tc>
        <w:tc>
          <w:tcPr>
            <w:tcW w:w="2039"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pPr>
            <w:r>
              <w:rPr>
                <w:sz w:val="20"/>
                <w:szCs w:val="20"/>
              </w:rPr>
              <w:t>не более 5 раб. дн. от даты завершения этапа 4</w:t>
            </w:r>
          </w:p>
        </w:tc>
        <w:tc>
          <w:tcPr>
            <w:tcW w:w="2444" w:type="dxa"/>
            <w:tcBorders>
              <w:top w:val="single" w:sz="4" w:space="0" w:color="000000"/>
              <w:start w:val="single" w:sz="4" w:space="0" w:color="000000"/>
              <w:bottom w:val="single" w:sz="4" w:space="0" w:color="000000"/>
              <w:end w:val="single" w:sz="4" w:space="0" w:color="000000"/>
            </w:tcBorders>
            <w:shd w:color="FFFFFF" w:fill="FFFFFF" w:val="clear"/>
            <w:vAlign w:val="center"/>
          </w:tcPr>
          <w:p>
            <w:pPr>
              <w:pStyle w:val="Normal"/>
              <w:spacing w:lineRule="auto" w:line="240" w:before="0" w:after="0"/>
              <w:ind w:hanging="0" w:start="0"/>
              <w:contextualSpacing/>
              <w:jc w:val="center"/>
              <w:rPr/>
            </w:pPr>
            <w:r>
              <w:rPr>
                <w:sz w:val="20"/>
                <w:szCs w:val="20"/>
              </w:rPr>
              <w:t>не более 15 раб. дн. от даты получения документа Акт (ДОП), формат УПД, утвержденный приказом ФНС России по этапу 4</w:t>
            </w:r>
          </w:p>
        </w:tc>
      </w:tr>
    </w:tbl>
    <w:p>
      <w:pPr>
        <w:pStyle w:val="Normal"/>
        <w:spacing w:lineRule="auto" w:line="276"/>
        <w:ind w:firstLine="709" w:start="357"/>
        <w:jc w:val="center"/>
        <w:rPr>
          <w:rFonts w:eastAsia="Calibri"/>
          <w:b/>
          <w:sz w:val="24"/>
          <w:szCs w:val="24"/>
        </w:rPr>
      </w:pPr>
      <w:r>
        <w:rPr>
          <w:rFonts w:eastAsia="Calibri"/>
          <w:b/>
          <w:sz w:val="24"/>
          <w:szCs w:val="24"/>
        </w:rPr>
      </w:r>
    </w:p>
    <w:p>
      <w:pPr>
        <w:pStyle w:val="15"/>
        <w:numPr>
          <w:ilvl w:val="0"/>
          <w:numId w:val="0"/>
        </w:numPr>
        <w:spacing w:lineRule="auto" w:line="240" w:before="0" w:after="0"/>
        <w:ind w:hanging="0" w:start="709"/>
        <w:jc w:val="end"/>
        <w:rPr>
          <w:rFonts w:ascii="Times New Roman" w:hAnsi="Times New Roman"/>
        </w:rPr>
      </w:pPr>
      <w:bookmarkStart w:id="244" w:name="__RefHeading___Toc33576_3559854210"/>
      <w:bookmarkStart w:id="245" w:name="_Toc215755906"/>
      <w:bookmarkEnd w:id="244"/>
      <w:r>
        <w:rPr>
          <w:rFonts w:ascii="Times New Roman" w:hAnsi="Times New Roman"/>
        </w:rPr>
        <w:t xml:space="preserve">Приложение </w:t>
      </w:r>
      <w:bookmarkEnd w:id="245"/>
      <w:r>
        <w:rPr>
          <w:rFonts w:ascii="Times New Roman" w:hAnsi="Times New Roman"/>
        </w:rPr>
        <w:fldChar w:fldCharType="begin"/>
      </w:r>
      <w:r>
        <w:rPr>
          <w:rFonts w:ascii="Times New Roman" w:hAnsi="Times New Roman"/>
        </w:rPr>
        <w:instrText xml:space="preserve"> SEQ Приложение \* ALPHABETIC </w:instrText>
      </w:r>
      <w:r>
        <w:rPr>
          <w:rFonts w:ascii="Times New Roman" w:hAnsi="Times New Roman"/>
        </w:rPr>
        <w:fldChar w:fldCharType="separate"/>
      </w:r>
      <w:r>
        <w:rPr>
          <w:rFonts w:ascii="Times New Roman" w:hAnsi="Times New Roman"/>
        </w:rPr>
        <w:t>A</w:t>
      </w:r>
      <w:r>
        <w:rPr>
          <w:rFonts w:ascii="Times New Roman" w:hAnsi="Times New Roman"/>
        </w:rPr>
        <w:fldChar w:fldCharType="end"/>
      </w:r>
      <w:bookmarkEnd w:id="241"/>
      <w:bookmarkEnd w:id="242"/>
    </w:p>
    <w:p>
      <w:pPr>
        <w:pStyle w:val="Normal"/>
        <w:spacing w:lineRule="auto" w:line="276" w:before="0" w:after="0"/>
        <w:jc w:val="center"/>
        <w:rPr>
          <w:b/>
          <w:bCs/>
          <w:sz w:val="24"/>
          <w:szCs w:val="24"/>
          <w:lang w:eastAsia="ru-RU"/>
        </w:rPr>
      </w:pPr>
      <w:r>
        <w:rPr>
          <w:b/>
          <w:bCs/>
          <w:sz w:val="24"/>
          <w:szCs w:val="24"/>
          <w:lang w:eastAsia="ru-RU"/>
        </w:rPr>
      </w:r>
    </w:p>
    <w:p>
      <w:pPr>
        <w:pStyle w:val="Normal"/>
        <w:spacing w:lineRule="auto" w:line="276" w:before="0" w:after="120"/>
        <w:jc w:val="center"/>
        <w:rPr>
          <w:b/>
          <w:bCs/>
          <w:sz w:val="24"/>
          <w:szCs w:val="24"/>
          <w:lang w:eastAsia="ru-RU"/>
        </w:rPr>
      </w:pPr>
      <w:r>
        <w:rPr>
          <w:b/>
          <w:bCs/>
          <w:sz w:val="24"/>
          <w:szCs w:val="24"/>
          <w:lang w:eastAsia="ru-RU"/>
        </w:rPr>
        <w:t>Методика оценки качества оказанных услуг по техническому сопровождению Системы</w:t>
      </w:r>
    </w:p>
    <w:p>
      <w:pPr>
        <w:pStyle w:val="Normal"/>
        <w:spacing w:lineRule="auto" w:line="276"/>
        <w:ind w:firstLine="709" w:start="0"/>
        <w:rPr>
          <w:sz w:val="24"/>
          <w:szCs w:val="24"/>
          <w:lang w:eastAsia="ru-RU"/>
        </w:rPr>
      </w:pPr>
      <w:r>
        <w:rPr>
          <w:sz w:val="24"/>
          <w:szCs w:val="24"/>
          <w:lang w:eastAsia="ru-RU"/>
        </w:rPr>
        <w:t xml:space="preserve">Для </w:t>
      </w:r>
      <w:bookmarkStart w:id="246" w:name="_Hlk177047083"/>
      <w:r>
        <w:rPr>
          <w:sz w:val="24"/>
          <w:szCs w:val="24"/>
          <w:lang w:eastAsia="ru-RU"/>
        </w:rPr>
        <w:t xml:space="preserve">оценки качества оказанных Исполнителем услуг по техническому сопровождению Системы </w:t>
      </w:r>
      <w:bookmarkEnd w:id="246"/>
      <w:r>
        <w:rPr>
          <w:sz w:val="24"/>
          <w:szCs w:val="24"/>
          <w:lang w:eastAsia="ru-RU"/>
        </w:rPr>
        <w:t>применяются метрики качества, приведенные в Таблице А.1.</w:t>
      </w:r>
    </w:p>
    <w:p>
      <w:pPr>
        <w:pStyle w:val="Normal"/>
        <w:spacing w:lineRule="auto" w:line="276"/>
        <w:ind w:firstLine="709" w:start="0"/>
        <w:rPr>
          <w:sz w:val="24"/>
          <w:szCs w:val="24"/>
          <w:lang w:eastAsia="ru-RU"/>
        </w:rPr>
      </w:pPr>
      <w:r>
        <w:rPr>
          <w:sz w:val="24"/>
          <w:szCs w:val="24"/>
          <w:lang w:eastAsia="ru-RU"/>
        </w:rPr>
        <w:t>Таблица А.1 – Метрики качества оказанных услуг.</w:t>
      </w:r>
    </w:p>
    <w:tbl>
      <w:tblPr>
        <w:tblW w:w="13858"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702"/>
        <w:gridCol w:w="3516"/>
        <w:gridCol w:w="5105"/>
        <w:gridCol w:w="1983"/>
        <w:gridCol w:w="992"/>
        <w:gridCol w:w="1559"/>
      </w:tblGrid>
      <w:tr>
        <w:trPr>
          <w:tblHeader w:val="true"/>
          <w:trHeight w:val="20" w:hRule="atLeast"/>
        </w:trPr>
        <w:tc>
          <w:tcPr>
            <w:tcW w:w="702"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pPr>
            <w:r>
              <w:rPr/>
              <w:t xml:space="preserve">№ </w:t>
            </w:r>
            <w:r>
              <w:rPr/>
              <w:t>п/п</w:t>
            </w:r>
          </w:p>
        </w:tc>
        <w:tc>
          <w:tcPr>
            <w:tcW w:w="3516"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pPr>
            <w:r>
              <w:rPr/>
              <w:t>Метрика</w:t>
            </w:r>
          </w:p>
        </w:tc>
        <w:tc>
          <w:tcPr>
            <w:tcW w:w="5105"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pPr>
            <w:r>
              <w:rPr/>
              <w:t>Параметр, от которого зависит метрика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pPr>
            <w:r>
              <w:rPr/>
              <w:t>Объем (количество) нарушений</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lang w:val="en-US"/>
              </w:rPr>
            </w:pPr>
            <w:r>
              <w:rPr>
                <w:lang w:val="en-US"/>
              </w:rPr>
              <w:t>q</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lang w:val="en-US"/>
              </w:rPr>
            </w:pPr>
            <w:r>
              <w:rPr/>
              <w:t xml:space="preserve">Вес метрики, </w:t>
            </w:r>
            <w:r>
              <w:rPr>
                <w:lang w:val="en-US"/>
              </w:rPr>
              <w:t>P</w:t>
            </w:r>
          </w:p>
        </w:tc>
      </w:tr>
      <w:tr>
        <w:trPr>
          <w:trHeight w:val="397" w:hRule="atLeast"/>
        </w:trPr>
        <w:tc>
          <w:tcPr>
            <w:tcW w:w="702" w:type="dxa"/>
            <w:vMerge w:val="restart"/>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t>1</w:t>
            </w:r>
          </w:p>
        </w:tc>
        <w:tc>
          <w:tcPr>
            <w:tcW w:w="3516" w:type="dxa"/>
            <w:vMerge w:val="restart"/>
            <w:tcBorders>
              <w:top w:val="single" w:sz="4" w:space="0" w:color="000000"/>
              <w:start w:val="single" w:sz="4" w:space="0" w:color="000000"/>
              <w:bottom w:val="single" w:sz="4" w:space="0" w:color="000000"/>
              <w:end w:val="single" w:sz="4" w:space="0" w:color="000000"/>
            </w:tcBorders>
            <w:vAlign w:val="center"/>
          </w:tcPr>
          <w:p>
            <w:pPr>
              <w:pStyle w:val="Style68"/>
              <w:rPr/>
            </w:pPr>
            <w:r>
              <w:rPr/>
              <w:t>1. Соблюдение режима доступности функций СТП, закрепленных за Исполнителем</w:t>
            </w:r>
          </w:p>
        </w:tc>
        <w:tc>
          <w:tcPr>
            <w:tcW w:w="5105" w:type="dxa"/>
            <w:vMerge w:val="restart"/>
            <w:tcBorders>
              <w:top w:val="single" w:sz="4" w:space="0" w:color="000000"/>
              <w:start w:val="single" w:sz="4" w:space="0" w:color="000000"/>
              <w:bottom w:val="single" w:sz="4" w:space="0" w:color="000000"/>
              <w:end w:val="single" w:sz="4" w:space="0" w:color="000000"/>
            </w:tcBorders>
            <w:vAlign w:val="center"/>
          </w:tcPr>
          <w:p>
            <w:pPr>
              <w:pStyle w:val="Style68"/>
              <w:rPr/>
            </w:pPr>
            <w:r>
              <w:rPr/>
              <w:t>1. Нарушение режима доступности функций СТП, определенных в Таблице 17ТЗ</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t>0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t>0,1</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pPr>
            <w:r>
              <w:rPr/>
            </w:r>
          </w:p>
        </w:tc>
        <w:tc>
          <w:tcPr>
            <w:tcW w:w="3516"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t>от 1 до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t>0,5</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pPr>
            <w:r>
              <w:rPr/>
            </w:r>
          </w:p>
        </w:tc>
        <w:tc>
          <w:tcPr>
            <w:tcW w:w="3516"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t>более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user6"/>
              <w:spacing w:lineRule="auto" w:line="240"/>
              <w:rPr>
                <w:b w:val="false"/>
                <w:bCs/>
              </w:rPr>
            </w:pPr>
            <w:r>
              <w:rPr>
                <w:b w:val="false"/>
                <w:bCs/>
              </w:rPr>
            </w:r>
          </w:p>
        </w:tc>
      </w:tr>
      <w:tr>
        <w:trPr>
          <w:trHeight w:val="397" w:hRule="atLeast"/>
        </w:trPr>
        <w:tc>
          <w:tcPr>
            <w:tcW w:w="702"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2</w:t>
            </w:r>
          </w:p>
        </w:tc>
        <w:tc>
          <w:tcPr>
            <w:tcW w:w="3516" w:type="dxa"/>
            <w:vMerge w:val="restart"/>
            <w:tcBorders>
              <w:top w:val="single" w:sz="4" w:space="0" w:color="000000"/>
              <w:start w:val="single" w:sz="4" w:space="0" w:color="000000"/>
              <w:bottom w:val="single" w:sz="4" w:space="0" w:color="000000"/>
              <w:end w:val="single" w:sz="4" w:space="0" w:color="000000"/>
            </w:tcBorders>
          </w:tcPr>
          <w:p>
            <w:pPr>
              <w:pStyle w:val="Style68"/>
              <w:rPr/>
            </w:pPr>
            <w:r>
              <w:rPr/>
              <w:t>1. Нарушение контрольных сроков обработки обращений пользователей (кроме обращений типа «Инцидент»)</w:t>
            </w:r>
          </w:p>
        </w:tc>
        <w:tc>
          <w:tcPr>
            <w:tcW w:w="5105" w:type="dxa"/>
            <w:vMerge w:val="restart"/>
            <w:tcBorders>
              <w:top w:val="single" w:sz="4" w:space="0" w:color="000000"/>
              <w:start w:val="single" w:sz="4" w:space="0" w:color="000000"/>
              <w:bottom w:val="single" w:sz="4" w:space="0" w:color="000000"/>
              <w:end w:val="single" w:sz="4" w:space="0" w:color="000000"/>
            </w:tcBorders>
          </w:tcPr>
          <w:p>
            <w:pPr>
              <w:pStyle w:val="Style68"/>
              <w:rPr/>
            </w:pPr>
            <w:r>
              <w:rPr/>
              <w:t>1. Нарушение контрольных сроков обработки обращений пользователей, определенных в Таблице 23ТЗ</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0,1</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 xml:space="preserve">от 1% до </w:t>
            </w:r>
            <w:r>
              <w:rPr>
                <w:lang w:val="en-US"/>
              </w:rPr>
              <w:t>5</w:t>
            </w:r>
            <w:r>
              <w:rPr/>
              <w:t>%</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0,5</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более 5%</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restart"/>
            <w:tcBorders>
              <w:top w:val="single" w:sz="4" w:space="0" w:color="000000"/>
              <w:start w:val="single" w:sz="4" w:space="0" w:color="000000"/>
              <w:bottom w:val="single" w:sz="4" w:space="0" w:color="000000"/>
              <w:end w:val="single" w:sz="4" w:space="0" w:color="000000"/>
            </w:tcBorders>
          </w:tcPr>
          <w:p>
            <w:pPr>
              <w:pStyle w:val="Style68"/>
              <w:rPr/>
            </w:pPr>
            <w:r>
              <w:rPr/>
              <w:t>2. Нарушение сроков предоставления записей проведенного инструктажа</w:t>
            </w:r>
          </w:p>
        </w:tc>
        <w:tc>
          <w:tcPr>
            <w:tcW w:w="5105" w:type="dxa"/>
            <w:vMerge w:val="restart"/>
            <w:tcBorders>
              <w:top w:val="single" w:sz="4" w:space="0" w:color="000000"/>
              <w:start w:val="single" w:sz="4" w:space="0" w:color="000000"/>
              <w:bottom w:val="single" w:sz="4" w:space="0" w:color="000000"/>
              <w:end w:val="single" w:sz="4" w:space="0" w:color="000000"/>
            </w:tcBorders>
          </w:tcPr>
          <w:p>
            <w:pPr>
              <w:pStyle w:val="Style68"/>
              <w:rPr/>
            </w:pPr>
            <w:r>
              <w:rPr/>
              <w:t>2. Нарушение сроков предоставления Заказчику записей проведенного инструктажа, определенных в п. 5.4.1.2ТЗ</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не нарушены</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0,1</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нарушены</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0,5</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20"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запись не предоставлена</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3</w:t>
            </w:r>
          </w:p>
        </w:tc>
        <w:tc>
          <w:tcPr>
            <w:tcW w:w="3516" w:type="dxa"/>
            <w:vMerge w:val="restart"/>
            <w:tcBorders>
              <w:top w:val="single" w:sz="4" w:space="0" w:color="000000"/>
              <w:start w:val="single" w:sz="4" w:space="0" w:color="000000"/>
              <w:bottom w:val="single" w:sz="4" w:space="0" w:color="000000"/>
              <w:end w:val="single" w:sz="4" w:space="0" w:color="000000"/>
            </w:tcBorders>
          </w:tcPr>
          <w:p>
            <w:pPr>
              <w:pStyle w:val="Style68"/>
              <w:rPr/>
            </w:pPr>
            <w:r>
              <w:rPr/>
              <w:t>1.Невыполнение регулярных операций по обслуживанию ОС/ОПО и СПО периодичностью</w:t>
            </w:r>
          </w:p>
        </w:tc>
        <w:tc>
          <w:tcPr>
            <w:tcW w:w="5105" w:type="dxa"/>
            <w:vMerge w:val="restart"/>
            <w:tcBorders>
              <w:top w:val="single" w:sz="4" w:space="0" w:color="000000"/>
              <w:start w:val="single" w:sz="4" w:space="0" w:color="000000"/>
              <w:bottom w:val="single" w:sz="4" w:space="0" w:color="000000"/>
              <w:end w:val="single" w:sz="4" w:space="0" w:color="000000"/>
            </w:tcBorders>
          </w:tcPr>
          <w:p>
            <w:pPr>
              <w:pStyle w:val="Style68"/>
              <w:jc w:val="both"/>
              <w:rPr/>
            </w:pPr>
            <w:r>
              <w:rPr/>
              <w:t>1. Нарушение периодичности регулярных операций по обслуживанию ОС/ОПО и СПО Системы, установленной в Таблице 25ТЗ</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0,1</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jc w:val="both"/>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от 1 до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0,5</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jc w:val="both"/>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более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4</w:t>
            </w:r>
          </w:p>
        </w:tc>
        <w:tc>
          <w:tcPr>
            <w:tcW w:w="3516" w:type="dxa"/>
            <w:vMerge w:val="restart"/>
            <w:tcBorders>
              <w:top w:val="single" w:sz="4" w:space="0" w:color="000000"/>
              <w:start w:val="single" w:sz="4" w:space="0" w:color="000000"/>
              <w:bottom w:val="single" w:sz="4" w:space="0" w:color="000000"/>
              <w:end w:val="single" w:sz="4" w:space="0" w:color="000000"/>
            </w:tcBorders>
          </w:tcPr>
          <w:p>
            <w:pPr>
              <w:pStyle w:val="Style68"/>
              <w:rPr/>
            </w:pPr>
            <w:r>
              <w:rPr/>
              <w:t>1. Нарушение срока разработки и предоставления Заказчику Регламента РК</w:t>
            </w:r>
          </w:p>
        </w:tc>
        <w:tc>
          <w:tcPr>
            <w:tcW w:w="5105" w:type="dxa"/>
            <w:vMerge w:val="restart"/>
            <w:tcBorders>
              <w:top w:val="single" w:sz="4" w:space="0" w:color="000000"/>
              <w:start w:val="single" w:sz="4" w:space="0" w:color="000000"/>
              <w:bottom w:val="single" w:sz="4" w:space="0" w:color="000000"/>
              <w:end w:val="single" w:sz="4" w:space="0" w:color="000000"/>
            </w:tcBorders>
          </w:tcPr>
          <w:p>
            <w:pPr>
              <w:pStyle w:val="Style68"/>
              <w:rPr/>
            </w:pPr>
            <w:r>
              <w:rPr/>
              <w:t>1.Нарушение срока разработки и предоставления Заказчику Регламента РК</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срок соблюдён</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0,1</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jc w:val="both"/>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срок нарушен</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restart"/>
            <w:tcBorders>
              <w:top w:val="single" w:sz="4" w:space="0" w:color="000000"/>
              <w:start w:val="single" w:sz="4" w:space="0" w:color="000000"/>
              <w:bottom w:val="single" w:sz="4" w:space="0" w:color="000000"/>
              <w:end w:val="single" w:sz="4" w:space="0" w:color="000000"/>
            </w:tcBorders>
          </w:tcPr>
          <w:p>
            <w:pPr>
              <w:pStyle w:val="Style68"/>
              <w:rPr/>
            </w:pPr>
            <w:r>
              <w:rPr/>
              <w:t>2. Нарушение требований к резервному копированию, установленных Регламентом РК</w:t>
            </w:r>
          </w:p>
        </w:tc>
        <w:tc>
          <w:tcPr>
            <w:tcW w:w="5105" w:type="dxa"/>
            <w:vMerge w:val="restart"/>
            <w:tcBorders>
              <w:top w:val="single" w:sz="4" w:space="0" w:color="000000"/>
              <w:start w:val="single" w:sz="4" w:space="0" w:color="000000"/>
              <w:bottom w:val="single" w:sz="4" w:space="0" w:color="000000"/>
              <w:end w:val="single" w:sz="4" w:space="0" w:color="000000"/>
            </w:tcBorders>
          </w:tcPr>
          <w:p>
            <w:pPr>
              <w:pStyle w:val="Style68"/>
              <w:jc w:val="both"/>
              <w:rPr/>
            </w:pPr>
            <w:r>
              <w:rPr/>
              <w:t>2. Нарушение Исполнителем Регламента РК</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0,1</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от 1 до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0,5</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более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5</w:t>
            </w:r>
          </w:p>
        </w:tc>
        <w:tc>
          <w:tcPr>
            <w:tcW w:w="3516" w:type="dxa"/>
            <w:vMerge w:val="restart"/>
            <w:tcBorders>
              <w:top w:val="single" w:sz="4" w:space="0" w:color="000000"/>
              <w:start w:val="single" w:sz="4" w:space="0" w:color="000000"/>
              <w:bottom w:val="single" w:sz="4" w:space="0" w:color="000000"/>
              <w:end w:val="single" w:sz="4" w:space="0" w:color="000000"/>
            </w:tcBorders>
          </w:tcPr>
          <w:p>
            <w:pPr>
              <w:pStyle w:val="Style68"/>
              <w:rPr/>
            </w:pPr>
            <w:r>
              <w:rPr/>
              <w:t>1. Нарушение срока разработки и предоставления Заказчику плана мониторинга</w:t>
            </w:r>
          </w:p>
        </w:tc>
        <w:tc>
          <w:tcPr>
            <w:tcW w:w="5105" w:type="dxa"/>
            <w:vMerge w:val="restart"/>
            <w:tcBorders>
              <w:top w:val="single" w:sz="4" w:space="0" w:color="000000"/>
              <w:start w:val="single" w:sz="4" w:space="0" w:color="000000"/>
              <w:bottom w:val="single" w:sz="4" w:space="0" w:color="000000"/>
              <w:end w:val="single" w:sz="4" w:space="0" w:color="000000"/>
            </w:tcBorders>
          </w:tcPr>
          <w:p>
            <w:pPr>
              <w:pStyle w:val="Style68"/>
              <w:rPr/>
            </w:pPr>
            <w:r>
              <w:rPr/>
              <w:t>1. Нарушение срока разработки и предоставления Заказчику плана мониторинга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срок соблюдён</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0,1</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срок нарушен</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569"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restart"/>
            <w:tcBorders>
              <w:top w:val="single" w:sz="4" w:space="0" w:color="000000"/>
              <w:start w:val="single" w:sz="4" w:space="0" w:color="000000"/>
              <w:bottom w:val="single" w:sz="4" w:space="0" w:color="000000"/>
              <w:end w:val="single" w:sz="4" w:space="0" w:color="000000"/>
            </w:tcBorders>
          </w:tcPr>
          <w:p>
            <w:pPr>
              <w:pStyle w:val="Style68"/>
              <w:rPr/>
            </w:pPr>
            <w:r>
              <w:rPr/>
              <w:t>2. Соблюдение сроков решения инцидентов</w:t>
            </w:r>
          </w:p>
        </w:tc>
        <w:tc>
          <w:tcPr>
            <w:tcW w:w="5105" w:type="dxa"/>
            <w:vMerge w:val="restart"/>
            <w:tcBorders>
              <w:top w:val="single" w:sz="4" w:space="0" w:color="000000"/>
              <w:start w:val="single" w:sz="4" w:space="0" w:color="000000"/>
              <w:bottom w:val="single" w:sz="4" w:space="0" w:color="000000"/>
              <w:end w:val="single" w:sz="4" w:space="0" w:color="000000"/>
            </w:tcBorders>
          </w:tcPr>
          <w:p>
            <w:pPr>
              <w:pStyle w:val="Style68"/>
              <w:rPr/>
            </w:pPr>
            <w:r>
              <w:rPr/>
              <w:t>1. Время недоступности Системы в следствие критичных инцидентов (Таблица № 21) в зоне ответственности Исполнителя, определенной в Таблице 28ТЗ</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менее 4 часов</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b/>
              </w:rPr>
            </w:pPr>
            <w:r>
              <w:rPr/>
              <w:t>0,1</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более 5 часов</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b/>
              </w:rPr>
            </w:pPr>
            <w:r>
              <w:rPr>
                <w:b/>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restart"/>
            <w:tcBorders>
              <w:top w:val="single" w:sz="4" w:space="0" w:color="000000"/>
              <w:start w:val="single" w:sz="4" w:space="0" w:color="000000"/>
              <w:bottom w:val="single" w:sz="4" w:space="0" w:color="000000"/>
              <w:end w:val="single" w:sz="4" w:space="0" w:color="000000"/>
            </w:tcBorders>
          </w:tcPr>
          <w:p>
            <w:pPr>
              <w:pStyle w:val="Style68"/>
              <w:rPr/>
            </w:pPr>
            <w:r>
              <w:rPr/>
              <w:t>3.Нарушение контрольных сроков обработки обращений с типом «Инцидент» в зоне ответственности Исполнителя</w:t>
            </w:r>
          </w:p>
        </w:tc>
        <w:tc>
          <w:tcPr>
            <w:tcW w:w="5105" w:type="dxa"/>
            <w:vMerge w:val="restart"/>
            <w:tcBorders>
              <w:top w:val="single" w:sz="4" w:space="0" w:color="000000"/>
              <w:start w:val="single" w:sz="4" w:space="0" w:color="000000"/>
              <w:bottom w:val="single" w:sz="4" w:space="0" w:color="000000"/>
              <w:end w:val="single" w:sz="4" w:space="0" w:color="000000"/>
            </w:tcBorders>
          </w:tcPr>
          <w:p>
            <w:pPr>
              <w:pStyle w:val="Style68"/>
              <w:rPr/>
            </w:pPr>
            <w:r>
              <w:rPr/>
              <w:t>1. Нарушение контрольных сроков обработки обращений с типом «критичных инцидент» (Таблица № 21), определенных в Таблице 28ТЗ</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0,1</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от 1 до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0,5</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более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restart"/>
            <w:tcBorders>
              <w:top w:val="single" w:sz="4" w:space="0" w:color="000000"/>
              <w:start w:val="single" w:sz="4" w:space="0" w:color="000000"/>
              <w:bottom w:val="single" w:sz="4" w:space="0" w:color="000000"/>
              <w:end w:val="single" w:sz="4" w:space="0" w:color="000000"/>
            </w:tcBorders>
          </w:tcPr>
          <w:p>
            <w:pPr>
              <w:pStyle w:val="Style68"/>
              <w:rPr/>
            </w:pPr>
            <w:r>
              <w:rPr/>
              <w:t>2. Нарушение контрольных сроков обработки обращений с типом «высокий инцидент» (Таблица № 21), определенных в Таблице 28ТЗ</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0,05</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от 1 до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0,5</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более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restart"/>
            <w:tcBorders>
              <w:top w:val="single" w:sz="4" w:space="0" w:color="000000"/>
              <w:start w:val="single" w:sz="4" w:space="0" w:color="000000"/>
              <w:bottom w:val="single" w:sz="4" w:space="0" w:color="000000"/>
              <w:end w:val="single" w:sz="4" w:space="0" w:color="000000"/>
            </w:tcBorders>
          </w:tcPr>
          <w:p>
            <w:pPr>
              <w:pStyle w:val="Style68"/>
              <w:rPr/>
            </w:pPr>
            <w:r>
              <w:rPr/>
              <w:t>3. Нарушение контрольных сроков обработки обращений с типом «стандартный инцидент» (Таблица № 21), определенных в Таблице 28ТЗ</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1</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0,05</w:t>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от 1 до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0,5</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r>
      <w:tr>
        <w:trPr>
          <w:trHeight w:val="397" w:hRule="atLeast"/>
        </w:trPr>
        <w:tc>
          <w:tcPr>
            <w:tcW w:w="702"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p>
        </w:tc>
        <w:tc>
          <w:tcPr>
            <w:tcW w:w="3516"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5105" w:type="dxa"/>
            <w:vMerge w:val="continue"/>
            <w:tcBorders>
              <w:top w:val="single" w:sz="4" w:space="0" w:color="000000"/>
              <w:start w:val="single" w:sz="4" w:space="0" w:color="000000"/>
              <w:bottom w:val="single" w:sz="4" w:space="0" w:color="000000"/>
              <w:end w:val="single" w:sz="4" w:space="0" w:color="000000"/>
            </w:tcBorders>
          </w:tcPr>
          <w:p>
            <w:pPr>
              <w:pStyle w:val="Style68"/>
              <w:rPr/>
            </w:pPr>
            <w:r>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более 5 ед.</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t>0</w:t>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Style68"/>
              <w:jc w:val="center"/>
              <w:rPr/>
            </w:pPr>
            <w:r>
              <w:rPr/>
            </w:r>
            <w:bookmarkStart w:id="247" w:name="_Hlk177050400"/>
            <w:bookmarkStart w:id="248" w:name="_Hlk177050400"/>
            <w:bookmarkEnd w:id="248"/>
          </w:p>
        </w:tc>
      </w:tr>
    </w:tbl>
    <w:p>
      <w:pPr>
        <w:pStyle w:val="Normal"/>
        <w:spacing w:lineRule="auto" w:line="276" w:before="240" w:after="0"/>
        <w:ind w:firstLine="709" w:start="0"/>
        <w:rPr>
          <w:rFonts w:eastAsia="Batang"/>
          <w:sz w:val="24"/>
          <w:szCs w:val="20"/>
        </w:rPr>
      </w:pPr>
      <w:r>
        <w:rPr>
          <w:rFonts w:eastAsia="Batang"/>
          <w:sz w:val="24"/>
          <w:szCs w:val="20"/>
        </w:rPr>
        <w:t>Итоговый показатель качества технической поддержки QoS (Quality of Service) рассчитывается по формуле:</w:t>
      </w:r>
    </w:p>
    <w:p>
      <w:pPr>
        <w:pStyle w:val="Normal"/>
        <w:spacing w:lineRule="auto" w:line="276" w:before="240" w:after="0"/>
        <w:ind w:firstLine="709" w:start="0"/>
        <w:jc w:val="center"/>
        <w:rPr>
          <w:rFonts w:eastAsia="Batang"/>
          <w:sz w:val="28"/>
        </w:rPr>
      </w:pPr>
      <w:r>
        <w:rPr/>
      </w:r>
      <m:oMath xmlns:m="http://schemas.openxmlformats.org/officeDocument/2006/math">
        <m:r>
          <m:t xml:space="preserve">QoS</m:t>
        </m:r>
        <m:r>
          <m:rPr>
            <m:lit/>
            <m:nor/>
          </m:rPr>
          <m:t xml:space="preserve">=</m:t>
        </m:r>
        <m:nary>
          <m:naryPr>
            <m:chr m:val="∑"/>
            <m:subHide m:val="1"/>
            <m:supHide m:val="1"/>
          </m:naryPr>
          <m:sub/>
          <m:sup/>
          <m:e>
            <m:sSub>
              <m:e>
                <m:r>
                  <m:t xml:space="preserve">P</m:t>
                </m:r>
              </m:e>
              <m:sub>
                <m:r>
                  <m:t xml:space="preserve">i</m:t>
                </m:r>
              </m:sub>
            </m:sSub>
          </m:e>
        </m:nary>
        <m:sSub>
          <m:e>
            <m:r>
              <m:t xml:space="preserve">q</m:t>
            </m:r>
          </m:e>
          <m:sub>
            <m:r>
              <m:t xml:space="preserve">i</m:t>
            </m:r>
          </m:sub>
        </m:sSub>
      </m:oMath>
      <w:r>
        <w:rPr>
          <w:rFonts w:eastAsia="Batang"/>
          <w:sz w:val="24"/>
          <w:szCs w:val="24"/>
          <w:lang w:eastAsia="ar-SA"/>
        </w:rPr>
        <w:t xml:space="preserve"> </w:t>
      </w:r>
      <w:r>
        <w:rPr>
          <w:rFonts w:eastAsia="Batang"/>
          <w:sz w:val="24"/>
          <w:szCs w:val="24"/>
          <w:lang w:eastAsia="ar-SA"/>
        </w:rPr>
        <w:t>х 100%,</w:t>
      </w:r>
    </w:p>
    <w:p>
      <w:pPr>
        <w:pStyle w:val="Normal"/>
        <w:spacing w:lineRule="auto" w:line="276" w:before="0" w:after="0"/>
        <w:ind w:hanging="0" w:start="0"/>
        <w:rPr>
          <w:rFonts w:eastAsia="Batang"/>
          <w:sz w:val="24"/>
          <w:szCs w:val="20"/>
        </w:rPr>
      </w:pPr>
      <w:r>
        <w:rPr>
          <w:rFonts w:eastAsia="Batang"/>
          <w:sz w:val="24"/>
          <w:szCs w:val="20"/>
        </w:rPr>
        <w:t>где</w:t>
      </w:r>
    </w:p>
    <w:p>
      <w:pPr>
        <w:pStyle w:val="Normal"/>
        <w:spacing w:lineRule="auto" w:line="276" w:before="0" w:after="0"/>
        <w:ind w:hanging="0" w:start="0"/>
        <w:rPr>
          <w:rFonts w:eastAsia="Batang"/>
          <w:sz w:val="24"/>
          <w:szCs w:val="20"/>
        </w:rPr>
      </w:pPr>
      <w:r>
        <w:rPr>
          <w:rFonts w:eastAsia="Batang"/>
          <w:sz w:val="24"/>
          <w:szCs w:val="20"/>
        </w:rPr>
        <w:t>i – номер метрики;</w:t>
      </w:r>
    </w:p>
    <w:p>
      <w:pPr>
        <w:pStyle w:val="Normal"/>
        <w:spacing w:lineRule="auto" w:line="276" w:before="0" w:after="0"/>
        <w:ind w:hanging="0" w:start="0"/>
        <w:rPr>
          <w:rFonts w:eastAsia="Batang"/>
          <w:sz w:val="24"/>
          <w:szCs w:val="20"/>
        </w:rPr>
      </w:pPr>
      <w:r>
        <w:rPr>
          <w:rFonts w:eastAsia="Batang"/>
          <w:sz w:val="24"/>
          <w:szCs w:val="20"/>
        </w:rPr>
        <w:t>Pi – вес i-й метрики в соответствии с Таблицей А.1;</w:t>
      </w:r>
    </w:p>
    <w:p>
      <w:pPr>
        <w:pStyle w:val="Normal"/>
        <w:tabs>
          <w:tab w:val="clear" w:pos="708"/>
          <w:tab w:val="left" w:pos="13350" w:leader="none"/>
        </w:tabs>
        <w:spacing w:lineRule="auto" w:line="276" w:before="0" w:after="0"/>
        <w:ind w:hanging="0" w:start="0"/>
        <w:rPr>
          <w:rFonts w:eastAsia="Batang"/>
          <w:sz w:val="24"/>
          <w:szCs w:val="20"/>
        </w:rPr>
      </w:pPr>
      <w:r>
        <w:rPr>
          <w:rFonts w:eastAsia="Batang"/>
          <w:sz w:val="24"/>
          <w:szCs w:val="20"/>
          <w:lang w:val="en-US"/>
        </w:rPr>
        <w:t>q</w:t>
      </w:r>
      <w:r>
        <w:rPr>
          <w:rFonts w:eastAsia="Batang"/>
          <w:sz w:val="24"/>
          <w:szCs w:val="20"/>
        </w:rPr>
        <w:t>i – значение i-й метрики в соответствии с Таблицей А.1.</w:t>
      </w:r>
    </w:p>
    <w:p>
      <w:pPr>
        <w:pStyle w:val="Normal"/>
        <w:tabs>
          <w:tab w:val="clear" w:pos="708"/>
          <w:tab w:val="left" w:pos="13350" w:leader="none"/>
        </w:tabs>
        <w:spacing w:lineRule="auto" w:line="276" w:before="0" w:after="0"/>
        <w:ind w:hanging="0" w:start="0"/>
        <w:rPr>
          <w:rFonts w:eastAsia="Batang"/>
          <w:sz w:val="24"/>
          <w:szCs w:val="20"/>
        </w:rPr>
      </w:pPr>
      <w:r>
        <w:rPr>
          <w:rFonts w:eastAsia="Batang"/>
          <w:sz w:val="24"/>
          <w:szCs w:val="20"/>
        </w:rPr>
      </w:r>
    </w:p>
    <w:p>
      <w:pPr>
        <w:pStyle w:val="Normal"/>
        <w:spacing w:lineRule="auto" w:line="276"/>
        <w:ind w:firstLine="709" w:start="0"/>
        <w:rPr>
          <w:rFonts w:eastAsia="Batang"/>
          <w:sz w:val="24"/>
          <w:szCs w:val="20"/>
        </w:rPr>
      </w:pPr>
      <w:r>
        <w:rPr>
          <w:rFonts w:eastAsia="Batang"/>
          <w:sz w:val="24"/>
          <w:szCs w:val="20"/>
        </w:rPr>
        <w:t>Итоговый вывод о качестве оказанных услуг формулируется в соответствии с таблицей А.2.</w:t>
      </w:r>
    </w:p>
    <w:p>
      <w:pPr>
        <w:pStyle w:val="Normal"/>
        <w:spacing w:lineRule="auto" w:line="276"/>
        <w:ind w:firstLine="709" w:start="0"/>
        <w:rPr>
          <w:sz w:val="24"/>
          <w:szCs w:val="24"/>
          <w:lang w:eastAsia="ru-RU"/>
        </w:rPr>
      </w:pPr>
      <w:r>
        <w:rPr>
          <w:sz w:val="24"/>
          <w:szCs w:val="24"/>
          <w:lang w:eastAsia="ru-RU"/>
        </w:rPr>
        <w:t>Таблица А.2 – Оценка качества оказанных услуг.</w:t>
      </w:r>
    </w:p>
    <w:tbl>
      <w:tblPr>
        <w:tblW w:w="15029"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809"/>
        <w:gridCol w:w="10219"/>
      </w:tblGrid>
      <w:tr>
        <w:trPr>
          <w:tblHeader w:val="true"/>
          <w:cantSplit w:val="true"/>
        </w:trPr>
        <w:tc>
          <w:tcPr>
            <w:tcW w:w="480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b/>
                <w:sz w:val="24"/>
              </w:rPr>
            </w:pPr>
            <w:r>
              <w:rPr>
                <w:rFonts w:eastAsia="Batang"/>
                <w:b/>
                <w:sz w:val="24"/>
              </w:rPr>
              <w:t>Оценка</w:t>
            </w:r>
          </w:p>
        </w:tc>
        <w:tc>
          <w:tcPr>
            <w:tcW w:w="1021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b/>
                <w:sz w:val="24"/>
              </w:rPr>
            </w:pPr>
            <w:r>
              <w:rPr>
                <w:rFonts w:eastAsia="Batang"/>
                <w:b/>
                <w:sz w:val="24"/>
              </w:rPr>
              <w:t>Критерии</w:t>
            </w:r>
          </w:p>
        </w:tc>
      </w:tr>
      <w:tr>
        <w:trPr/>
        <w:tc>
          <w:tcPr>
            <w:tcW w:w="480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s>
              <w:spacing w:lineRule="auto" w:line="240" w:before="0" w:after="0"/>
              <w:ind w:hanging="0" w:start="0"/>
              <w:jc w:val="start"/>
              <w:rPr>
                <w:rFonts w:eastAsia="Batang"/>
                <w:sz w:val="24"/>
              </w:rPr>
            </w:pPr>
            <w:r>
              <w:rPr>
                <w:rFonts w:eastAsia="Batang"/>
                <w:sz w:val="24"/>
              </w:rPr>
              <w:t>Услуги оказаны надлежащим образом</w:t>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323" w:leader="none"/>
              </w:tabs>
              <w:spacing w:lineRule="auto" w:line="240" w:before="0" w:after="0"/>
              <w:ind w:hanging="0" w:start="0"/>
              <w:jc w:val="start"/>
              <w:rPr>
                <w:rFonts w:eastAsia="Batang"/>
                <w:sz w:val="24"/>
                <w:szCs w:val="24"/>
              </w:rPr>
            </w:pPr>
            <w:r>
              <w:rPr>
                <w:rFonts w:eastAsia="Batang"/>
                <w:sz w:val="24"/>
                <w:szCs w:val="24"/>
              </w:rPr>
              <w:t xml:space="preserve">Значение </w:t>
            </w:r>
            <w:r>
              <w:rPr>
                <w:rFonts w:eastAsia="Batang"/>
                <w:sz w:val="24"/>
                <w:szCs w:val="20"/>
              </w:rPr>
              <w:t>QoS</w:t>
            </w:r>
            <w:r>
              <w:rPr>
                <w:rFonts w:eastAsia="Batang"/>
                <w:sz w:val="24"/>
                <w:szCs w:val="24"/>
              </w:rPr>
              <w:t xml:space="preserve"> составляет 100%</w:t>
            </w:r>
          </w:p>
        </w:tc>
      </w:tr>
      <w:tr>
        <w:trPr>
          <w:trHeight w:val="454" w:hRule="atLeast"/>
        </w:trPr>
        <w:tc>
          <w:tcPr>
            <w:tcW w:w="48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s>
              <w:spacing w:lineRule="auto" w:line="240" w:before="0" w:after="0"/>
              <w:ind w:hanging="0" w:start="0"/>
              <w:jc w:val="start"/>
              <w:rPr>
                <w:rFonts w:eastAsia="Batang"/>
                <w:sz w:val="24"/>
              </w:rPr>
            </w:pPr>
            <w:r>
              <w:rPr>
                <w:rFonts w:eastAsia="Batang"/>
                <w:sz w:val="24"/>
              </w:rPr>
              <w:t>Услуги оказаны ненадлежащим образом*</w:t>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start"/>
              <w:rPr>
                <w:rFonts w:eastAsia="Batang"/>
                <w:sz w:val="24"/>
                <w:szCs w:val="24"/>
              </w:rPr>
            </w:pPr>
            <w:r>
              <w:rPr>
                <w:rFonts w:eastAsia="Batang"/>
                <w:sz w:val="24"/>
                <w:szCs w:val="24"/>
              </w:rPr>
              <w:t xml:space="preserve">Значение </w:t>
            </w:r>
            <w:r>
              <w:rPr>
                <w:rFonts w:eastAsia="Batang"/>
                <w:sz w:val="24"/>
                <w:szCs w:val="20"/>
              </w:rPr>
              <w:t>QoS</w:t>
            </w:r>
            <w:r>
              <w:rPr>
                <w:rFonts w:eastAsia="Batang"/>
                <w:sz w:val="24"/>
                <w:szCs w:val="24"/>
              </w:rPr>
              <w:t xml:space="preserve"> составляет от 90% до 99%</w:t>
            </w:r>
          </w:p>
        </w:tc>
      </w:tr>
      <w:tr>
        <w:trPr>
          <w:trHeight w:val="132" w:hRule="atLeast"/>
        </w:trPr>
        <w:tc>
          <w:tcPr>
            <w:tcW w:w="48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start"/>
              <w:rPr>
                <w:rFonts w:eastAsia="Batang"/>
                <w:sz w:val="24"/>
              </w:rPr>
            </w:pPr>
            <w:r>
              <w:rPr>
                <w:rFonts w:eastAsia="Batang"/>
                <w:sz w:val="24"/>
              </w:rPr>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start"/>
              <w:rPr>
                <w:rFonts w:eastAsia="Batang"/>
                <w:sz w:val="24"/>
                <w:szCs w:val="24"/>
              </w:rPr>
            </w:pPr>
            <w:r>
              <w:rPr>
                <w:rFonts w:eastAsia="Batang"/>
                <w:sz w:val="24"/>
                <w:szCs w:val="24"/>
              </w:rPr>
              <w:t>Общее время недоступности Системы в любой календарный месяц периода, в рамках которого оказываются услуги (этап) составляет более 4 часов</w:t>
            </w:r>
          </w:p>
        </w:tc>
      </w:tr>
      <w:tr>
        <w:trPr>
          <w:trHeight w:val="454" w:hRule="atLeast"/>
        </w:trPr>
        <w:tc>
          <w:tcPr>
            <w:tcW w:w="48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start"/>
              <w:rPr>
                <w:rFonts w:eastAsia="Batang"/>
                <w:sz w:val="24"/>
              </w:rPr>
            </w:pPr>
            <w:r>
              <w:rPr>
                <w:rFonts w:eastAsia="Batang"/>
                <w:sz w:val="24"/>
              </w:rPr>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start"/>
              <w:rPr>
                <w:rFonts w:eastAsia="Batang"/>
                <w:sz w:val="24"/>
                <w:szCs w:val="24"/>
              </w:rPr>
            </w:pPr>
            <w:r>
              <w:rPr>
                <w:rFonts w:eastAsia="Batang"/>
                <w:sz w:val="24"/>
                <w:szCs w:val="24"/>
              </w:rPr>
              <w:t>Выявлены нарушения требований к оказанию услуг</w:t>
            </w:r>
          </w:p>
        </w:tc>
      </w:tr>
      <w:tr>
        <w:trPr>
          <w:trHeight w:val="454" w:hRule="atLeast"/>
        </w:trPr>
        <w:tc>
          <w:tcPr>
            <w:tcW w:w="48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284" w:leader="none"/>
              </w:tabs>
              <w:spacing w:lineRule="auto" w:line="240" w:before="0" w:after="0"/>
              <w:ind w:hanging="0" w:start="0"/>
              <w:jc w:val="start"/>
              <w:rPr>
                <w:rFonts w:eastAsia="Batang"/>
                <w:sz w:val="24"/>
              </w:rPr>
            </w:pPr>
            <w:r>
              <w:rPr>
                <w:rFonts w:eastAsia="Batang"/>
                <w:sz w:val="24"/>
              </w:rPr>
              <w:t>Существенное нарушение Договора**</w:t>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39"/>
              <w:jc w:val="start"/>
              <w:rPr>
                <w:rFonts w:eastAsia="Batang"/>
                <w:sz w:val="24"/>
                <w:szCs w:val="24"/>
              </w:rPr>
            </w:pPr>
            <w:r>
              <w:rPr>
                <w:rFonts w:eastAsia="Batang"/>
                <w:sz w:val="24"/>
                <w:szCs w:val="24"/>
              </w:rPr>
              <w:t xml:space="preserve">Значение </w:t>
            </w:r>
            <w:r>
              <w:rPr>
                <w:rFonts w:eastAsia="Batang"/>
                <w:sz w:val="24"/>
                <w:szCs w:val="20"/>
              </w:rPr>
              <w:t>QoS</w:t>
            </w:r>
            <w:r>
              <w:rPr>
                <w:rFonts w:eastAsia="Batang"/>
                <w:sz w:val="24"/>
                <w:szCs w:val="24"/>
              </w:rPr>
              <w:t xml:space="preserve"> составляет менее 90%</w:t>
            </w:r>
          </w:p>
        </w:tc>
      </w:tr>
      <w:tr>
        <w:trPr>
          <w:trHeight w:val="70" w:hRule="atLeast"/>
        </w:trPr>
        <w:tc>
          <w:tcPr>
            <w:tcW w:w="4809"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39"/>
              <w:jc w:val="start"/>
              <w:rPr>
                <w:rFonts w:eastAsia="Batang"/>
                <w:sz w:val="24"/>
                <w:szCs w:val="24"/>
              </w:rPr>
            </w:pPr>
            <w:r>
              <w:rPr>
                <w:rFonts w:eastAsia="Batang"/>
                <w:sz w:val="24"/>
                <w:szCs w:val="24"/>
              </w:rPr>
              <w:t>Общее время недоступности Системы в любой календарный месяц периода, в рамках которого оказываются услуги (этап) составляет более 8 часов</w:t>
            </w:r>
          </w:p>
        </w:tc>
      </w:tr>
      <w:tr>
        <w:trPr>
          <w:trHeight w:val="454" w:hRule="atLeast"/>
        </w:trPr>
        <w:tc>
          <w:tcPr>
            <w:tcW w:w="4809"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39"/>
              <w:jc w:val="start"/>
              <w:rPr>
                <w:rFonts w:eastAsia="Batang"/>
                <w:sz w:val="24"/>
                <w:szCs w:val="24"/>
              </w:rPr>
            </w:pPr>
            <w:r>
              <w:rPr>
                <w:rFonts w:eastAsia="Batang"/>
                <w:sz w:val="24"/>
                <w:szCs w:val="24"/>
              </w:rPr>
              <w:t>Нарушение требований согласованного Регламента резервного копирования Системы</w:t>
            </w:r>
          </w:p>
        </w:tc>
      </w:tr>
      <w:tr>
        <w:trPr>
          <w:trHeight w:val="454" w:hRule="atLeast"/>
        </w:trPr>
        <w:tc>
          <w:tcPr>
            <w:tcW w:w="4809"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39"/>
              <w:jc w:val="start"/>
              <w:rPr>
                <w:rFonts w:eastAsia="Batang"/>
                <w:sz w:val="24"/>
                <w:szCs w:val="24"/>
              </w:rPr>
            </w:pPr>
            <w:r>
              <w:rPr>
                <w:rFonts w:eastAsia="Batang"/>
                <w:sz w:val="24"/>
                <w:szCs w:val="24"/>
              </w:rPr>
              <w:t>Нарушение требований согласованного Плана мониторинга Системы</w:t>
            </w:r>
          </w:p>
        </w:tc>
      </w:tr>
      <w:tr>
        <w:trPr>
          <w:trHeight w:val="70" w:hRule="atLeast"/>
        </w:trPr>
        <w:tc>
          <w:tcPr>
            <w:tcW w:w="4809"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39"/>
              <w:jc w:val="start"/>
              <w:rPr>
                <w:rFonts w:eastAsia="Batang"/>
                <w:sz w:val="24"/>
                <w:szCs w:val="24"/>
              </w:rPr>
            </w:pPr>
            <w:r>
              <w:rPr>
                <w:rFonts w:eastAsia="Batang"/>
                <w:sz w:val="24"/>
                <w:szCs w:val="24"/>
              </w:rPr>
              <w:t>Нарушение сроков подготовки, изменения Регламента резервного копирования или настройки операций по резервному копированию</w:t>
            </w:r>
          </w:p>
        </w:tc>
      </w:tr>
      <w:tr>
        <w:trPr>
          <w:trHeight w:val="70" w:hRule="atLeast"/>
        </w:trPr>
        <w:tc>
          <w:tcPr>
            <w:tcW w:w="4809"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39"/>
              <w:jc w:val="start"/>
              <w:rPr>
                <w:rFonts w:eastAsia="Batang"/>
                <w:sz w:val="24"/>
                <w:szCs w:val="24"/>
              </w:rPr>
            </w:pPr>
            <w:r>
              <w:rPr>
                <w:rFonts w:eastAsia="Batang"/>
                <w:sz w:val="24"/>
                <w:szCs w:val="24"/>
              </w:rPr>
              <w:t>Нарушение сроков подготовки или изменения Плана мониторинга, настройки системы мониторинга</w:t>
            </w:r>
          </w:p>
        </w:tc>
      </w:tr>
      <w:tr>
        <w:trPr>
          <w:trHeight w:val="454" w:hRule="atLeast"/>
        </w:trPr>
        <w:tc>
          <w:tcPr>
            <w:tcW w:w="4809"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39"/>
              <w:jc w:val="start"/>
              <w:rPr>
                <w:rFonts w:eastAsia="Batang"/>
                <w:sz w:val="24"/>
                <w:szCs w:val="24"/>
              </w:rPr>
            </w:pPr>
            <w:r>
              <w:rPr>
                <w:rFonts w:eastAsia="Batang"/>
                <w:sz w:val="24"/>
                <w:szCs w:val="24"/>
              </w:rPr>
              <w:t>Нарушение периодичности выполнения работ по обслуживанию Системы</w:t>
            </w:r>
          </w:p>
        </w:tc>
      </w:tr>
      <w:tr>
        <w:trPr>
          <w:trHeight w:val="454" w:hRule="atLeast"/>
        </w:trPr>
        <w:tc>
          <w:tcPr>
            <w:tcW w:w="4809"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r>
          </w:p>
        </w:tc>
        <w:tc>
          <w:tcPr>
            <w:tcW w:w="10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39"/>
              <w:jc w:val="start"/>
              <w:rPr>
                <w:rFonts w:eastAsia="Batang"/>
                <w:sz w:val="24"/>
                <w:szCs w:val="24"/>
              </w:rPr>
            </w:pPr>
            <w:r>
              <w:rPr>
                <w:rFonts w:eastAsia="Batang"/>
                <w:sz w:val="24"/>
                <w:szCs w:val="24"/>
              </w:rPr>
              <w:t>Нарушение сроков восстановления работоспособности Системы</w:t>
            </w:r>
          </w:p>
        </w:tc>
      </w:tr>
    </w:tbl>
    <w:p>
      <w:pPr>
        <w:pStyle w:val="Normal"/>
        <w:spacing w:lineRule="auto" w:line="276"/>
        <w:ind w:hanging="0" w:start="0"/>
        <w:rPr>
          <w:sz w:val="24"/>
          <w:szCs w:val="24"/>
          <w:lang w:eastAsia="ru-RU"/>
        </w:rPr>
      </w:pPr>
      <w:r>
        <w:rPr>
          <w:sz w:val="24"/>
          <w:szCs w:val="24"/>
          <w:lang w:eastAsia="ru-RU"/>
        </w:rPr>
        <w:t>*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Исполнителю устанавливается штраф в соответствии с действующим законодательством Российской Федерации.</w:t>
      </w:r>
    </w:p>
    <w:p>
      <w:pPr>
        <w:pStyle w:val="Normal"/>
        <w:spacing w:lineRule="auto" w:line="276"/>
        <w:ind w:hanging="0" w:start="0"/>
        <w:rPr>
          <w:sz w:val="24"/>
          <w:szCs w:val="24"/>
          <w:lang w:eastAsia="ru-RU"/>
        </w:rPr>
      </w:pPr>
      <w:r>
        <w:rPr>
          <w:sz w:val="24"/>
          <w:szCs w:val="24"/>
          <w:lang w:eastAsia="ru-RU"/>
        </w:rPr>
        <w:t>** В случае существенных нарушений условий Договора (согласно оценке качества оказанных услуг) Заказчик оставляет за собой право в одностороннем порядке его расторжения.</w:t>
      </w:r>
    </w:p>
    <w:p>
      <w:pPr>
        <w:pStyle w:val="Normal"/>
        <w:spacing w:lineRule="auto" w:line="276"/>
        <w:ind w:firstLine="714" w:start="0"/>
        <w:rPr>
          <w:sz w:val="24"/>
          <w:szCs w:val="24"/>
          <w:lang w:eastAsia="ru-RU"/>
        </w:rPr>
      </w:pPr>
      <w:r>
        <w:rPr>
          <w:sz w:val="24"/>
          <w:szCs w:val="24"/>
          <w:lang w:eastAsia="ru-RU"/>
        </w:rPr>
        <w:t>По результатам оценки качества должен оформляться документ «Отчет об уровне технического сопровождения Системы (оценка качества оказанных Исполнителем услуг по техническому сопровождению Системы)» за отчетный период (Приложение Б ТЗ), содержащий агрегированные сведения (итоговую оценку качества оказанных услуг).</w:t>
      </w:r>
    </w:p>
    <w:p>
      <w:pPr>
        <w:pStyle w:val="Normal"/>
        <w:spacing w:lineRule="auto" w:line="240" w:before="0" w:after="0"/>
        <w:ind w:hanging="0" w:start="0"/>
        <w:jc w:val="start"/>
        <w:rPr>
          <w:sz w:val="24"/>
          <w:szCs w:val="24"/>
          <w:lang w:eastAsia="ru-RU"/>
        </w:rPr>
      </w:pPr>
      <w:r>
        <w:rPr>
          <w:sz w:val="24"/>
          <w:szCs w:val="24"/>
          <w:lang w:eastAsia="ru-RU"/>
        </w:rPr>
      </w:r>
      <w:r>
        <w:br w:type="page"/>
      </w:r>
    </w:p>
    <w:p>
      <w:pPr>
        <w:pStyle w:val="15"/>
        <w:numPr>
          <w:ilvl w:val="0"/>
          <w:numId w:val="0"/>
        </w:numPr>
        <w:spacing w:lineRule="auto" w:line="240" w:before="0" w:after="0"/>
        <w:ind w:hanging="0" w:start="709"/>
        <w:jc w:val="end"/>
        <w:rPr>
          <w:rFonts w:ascii="Times New Roman" w:hAnsi="Times New Roman"/>
        </w:rPr>
      </w:pPr>
      <w:bookmarkStart w:id="249" w:name="__RefHeading___Toc33578_3559854210"/>
      <w:bookmarkStart w:id="250" w:name="_Hlk177129515"/>
      <w:bookmarkStart w:id="251" w:name="_Toc215755907"/>
      <w:bookmarkStart w:id="252" w:name="_Toc176951301"/>
      <w:bookmarkEnd w:id="249"/>
      <w:r>
        <w:rPr>
          <w:rFonts w:ascii="Times New Roman" w:hAnsi="Times New Roman"/>
        </w:rPr>
        <w:t xml:space="preserve">Приложение Б. </w:t>
      </w:r>
      <w:bookmarkStart w:id="253" w:name="_Toc464139514"/>
      <w:r>
        <w:rPr>
          <w:rFonts w:ascii="Times New Roman" w:hAnsi="Times New Roman"/>
        </w:rPr>
        <w:t>Отчетные формы</w:t>
      </w:r>
      <w:bookmarkEnd w:id="250"/>
      <w:bookmarkEnd w:id="251"/>
      <w:bookmarkEnd w:id="252"/>
      <w:bookmarkEnd w:id="253"/>
    </w:p>
    <w:p>
      <w:pPr>
        <w:pStyle w:val="Default"/>
        <w:jc w:val="center"/>
        <w:rPr>
          <w:b/>
          <w:bCs/>
        </w:rPr>
      </w:pPr>
      <w:r>
        <w:rPr>
          <w:b/>
          <w:bCs/>
        </w:rPr>
      </w:r>
    </w:p>
    <w:p>
      <w:pPr>
        <w:pStyle w:val="Default"/>
        <w:jc w:val="center"/>
        <w:rPr>
          <w:b/>
          <w:bCs/>
        </w:rPr>
      </w:pPr>
      <w:r>
        <w:rPr>
          <w:b/>
          <w:bCs/>
        </w:rPr>
        <w:t>Отчет об уровне технического сопровождения Системы</w:t>
      </w:r>
    </w:p>
    <w:p>
      <w:pPr>
        <w:pStyle w:val="Default"/>
        <w:jc w:val="center"/>
        <w:rPr/>
      </w:pPr>
      <w:r>
        <w:rPr>
          <w:b/>
          <w:bCs/>
        </w:rPr>
        <w:t>(оценка качества оказанных Исполнителем услуг по техническому сопровождению Системы)</w:t>
      </w:r>
    </w:p>
    <w:p>
      <w:pPr>
        <w:pStyle w:val="Style68"/>
        <w:jc w:val="center"/>
        <w:rPr/>
      </w:pPr>
      <w:r>
        <w:rPr>
          <w:szCs w:val="24"/>
        </w:rPr>
        <w:t>(по Договору №________________ от _________ за период с ____ по____)</w:t>
      </w:r>
    </w:p>
    <w:p>
      <w:pPr>
        <w:pStyle w:val="MGTableTitle"/>
        <w:jc w:val="center"/>
        <w:rPr>
          <w:rFonts w:hint="eastAsia"/>
          <w:sz w:val="24"/>
          <w:szCs w:val="24"/>
        </w:rPr>
      </w:pPr>
      <w:r>
        <w:rPr>
          <w:sz w:val="24"/>
          <w:szCs w:val="24"/>
        </w:rPr>
        <w:t>Таблица ОК.</w:t>
      </w:r>
      <w:r>
        <w:rPr>
          <w:sz w:val="24"/>
          <w:szCs w:val="24"/>
        </w:rPr>
        <w:fldChar w:fldCharType="begin"/>
      </w:r>
      <w:r>
        <w:rPr>
          <w:sz w:val="24"/>
          <w:szCs w:val="24"/>
        </w:rPr>
        <w:instrText xml:space="preserve"> SEQ Таблица_ОК. \* ARABIC </w:instrText>
      </w:r>
      <w:r>
        <w:rPr>
          <w:sz w:val="24"/>
          <w:szCs w:val="24"/>
        </w:rPr>
        <w:fldChar w:fldCharType="separate"/>
      </w:r>
      <w:r>
        <w:rPr>
          <w:sz w:val="24"/>
          <w:szCs w:val="24"/>
        </w:rPr>
        <w:t>1</w:t>
      </w:r>
      <w:r>
        <w:rPr>
          <w:sz w:val="24"/>
          <w:szCs w:val="24"/>
        </w:rPr>
        <w:fldChar w:fldCharType="end"/>
      </w:r>
      <w:r>
        <w:rPr>
          <w:sz w:val="24"/>
          <w:szCs w:val="24"/>
        </w:rPr>
        <w:t xml:space="preserve"> - Ситуации, определяющие существенное нарушение Договора, выявленные в течение отчетного периода.</w:t>
      </w:r>
    </w:p>
    <w:tbl>
      <w:tblPr>
        <w:tblW w:w="14850"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21"/>
        <w:gridCol w:w="12728"/>
        <w:gridCol w:w="1701"/>
      </w:tblGrid>
      <w:tr>
        <w:trPr>
          <w:tblHeader w:val="true"/>
          <w:trHeight w:val="510" w:hRule="atLeast"/>
        </w:trPr>
        <w:tc>
          <w:tcPr>
            <w:tcW w:w="421"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w:t>
            </w:r>
          </w:p>
        </w:tc>
        <w:tc>
          <w:tcPr>
            <w:tcW w:w="12728"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Показатель, возможные значения</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Количество нарушений</w:t>
            </w:r>
          </w:p>
        </w:tc>
      </w:tr>
      <w:tr>
        <w:trPr>
          <w:trHeight w:val="340" w:hRule="atLeast"/>
        </w:trPr>
        <w:tc>
          <w:tcPr>
            <w:tcW w:w="421" w:type="dxa"/>
            <w:tcBorders>
              <w:top w:val="single" w:sz="4" w:space="0" w:color="000000"/>
              <w:start w:val="single" w:sz="4" w:space="0" w:color="000000"/>
              <w:bottom w:val="single" w:sz="4" w:space="0" w:color="000000"/>
              <w:end w:val="single" w:sz="4" w:space="0" w:color="000000"/>
            </w:tcBorders>
          </w:tcPr>
          <w:p>
            <w:pPr>
              <w:pStyle w:val="Normal"/>
              <w:numPr>
                <w:ilvl w:val="0"/>
                <w:numId w:val="23"/>
              </w:numPr>
              <w:spacing w:lineRule="auto" w:line="276" w:before="0" w:after="0"/>
              <w:ind w:hanging="0" w:start="-57" w:end="-57"/>
              <w:contextualSpacing/>
              <w:rPr>
                <w:sz w:val="24"/>
                <w:szCs w:val="24"/>
              </w:rPr>
            </w:pPr>
            <w:r>
              <w:rPr>
                <w:sz w:val="24"/>
                <w:szCs w:val="24"/>
              </w:rPr>
            </w:r>
          </w:p>
        </w:tc>
        <w:tc>
          <w:tcPr>
            <w:tcW w:w="12728" w:type="dxa"/>
            <w:tcBorders>
              <w:top w:val="single" w:sz="4" w:space="0" w:color="000000"/>
              <w:start w:val="single" w:sz="4" w:space="0" w:color="000000"/>
              <w:bottom w:val="single" w:sz="4" w:space="0" w:color="000000"/>
              <w:end w:val="single" w:sz="4" w:space="0" w:color="000000"/>
            </w:tcBorders>
          </w:tcPr>
          <w:p>
            <w:pPr>
              <w:pStyle w:val="MGTableCell"/>
              <w:rPr>
                <w:iCs/>
                <w:sz w:val="24"/>
                <w:szCs w:val="24"/>
              </w:rPr>
            </w:pPr>
            <w:r>
              <w:rPr>
                <w:iCs/>
                <w:sz w:val="24"/>
                <w:szCs w:val="24"/>
              </w:rPr>
              <w:t>Нарушены сроки подготовки или изменения регламента РК, настройки резервного копирования</w:t>
            </w:r>
          </w:p>
        </w:tc>
        <w:tc>
          <w:tcPr>
            <w:tcW w:w="1701"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r>
      <w:tr>
        <w:trPr>
          <w:trHeight w:val="340" w:hRule="atLeast"/>
        </w:trPr>
        <w:tc>
          <w:tcPr>
            <w:tcW w:w="421" w:type="dxa"/>
            <w:tcBorders>
              <w:top w:val="single" w:sz="4" w:space="0" w:color="000000"/>
              <w:start w:val="single" w:sz="4" w:space="0" w:color="000000"/>
              <w:bottom w:val="single" w:sz="4" w:space="0" w:color="000000"/>
              <w:end w:val="single" w:sz="4" w:space="0" w:color="000000"/>
            </w:tcBorders>
          </w:tcPr>
          <w:p>
            <w:pPr>
              <w:pStyle w:val="Normal"/>
              <w:numPr>
                <w:ilvl w:val="0"/>
                <w:numId w:val="23"/>
              </w:numPr>
              <w:spacing w:lineRule="auto" w:line="276" w:before="0" w:after="0"/>
              <w:ind w:hanging="0" w:start="-57" w:end="-57"/>
              <w:contextualSpacing/>
              <w:rPr>
                <w:sz w:val="24"/>
                <w:szCs w:val="24"/>
              </w:rPr>
            </w:pPr>
            <w:r>
              <w:rPr>
                <w:sz w:val="24"/>
                <w:szCs w:val="24"/>
              </w:rPr>
            </w:r>
          </w:p>
        </w:tc>
        <w:tc>
          <w:tcPr>
            <w:tcW w:w="12728" w:type="dxa"/>
            <w:tcBorders>
              <w:top w:val="single" w:sz="4" w:space="0" w:color="000000"/>
              <w:start w:val="single" w:sz="4" w:space="0" w:color="000000"/>
              <w:bottom w:val="single" w:sz="4" w:space="0" w:color="000000"/>
              <w:end w:val="single" w:sz="4" w:space="0" w:color="000000"/>
            </w:tcBorders>
          </w:tcPr>
          <w:p>
            <w:pPr>
              <w:pStyle w:val="MGTableCell"/>
              <w:rPr>
                <w:iCs/>
                <w:sz w:val="24"/>
                <w:szCs w:val="24"/>
              </w:rPr>
            </w:pPr>
            <w:r>
              <w:rPr>
                <w:iCs/>
                <w:sz w:val="24"/>
                <w:szCs w:val="24"/>
              </w:rPr>
              <w:t>Нарушены сроки подготовки или изменения плана мониторинга, настройки системы мониторинга</w:t>
            </w:r>
          </w:p>
        </w:tc>
        <w:tc>
          <w:tcPr>
            <w:tcW w:w="1701"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r>
      <w:tr>
        <w:trPr>
          <w:trHeight w:val="340" w:hRule="atLeast"/>
        </w:trPr>
        <w:tc>
          <w:tcPr>
            <w:tcW w:w="421" w:type="dxa"/>
            <w:tcBorders>
              <w:top w:val="single" w:sz="4" w:space="0" w:color="000000"/>
              <w:start w:val="single" w:sz="4" w:space="0" w:color="000000"/>
              <w:bottom w:val="single" w:sz="4" w:space="0" w:color="000000"/>
              <w:end w:val="single" w:sz="4" w:space="0" w:color="000000"/>
            </w:tcBorders>
          </w:tcPr>
          <w:p>
            <w:pPr>
              <w:pStyle w:val="Normal"/>
              <w:numPr>
                <w:ilvl w:val="0"/>
                <w:numId w:val="23"/>
              </w:numPr>
              <w:spacing w:lineRule="auto" w:line="276" w:before="0" w:after="0"/>
              <w:ind w:hanging="0" w:start="-57" w:end="-57"/>
              <w:contextualSpacing/>
              <w:rPr>
                <w:bCs/>
                <w:sz w:val="24"/>
                <w:szCs w:val="24"/>
              </w:rPr>
            </w:pPr>
            <w:r>
              <w:rPr>
                <w:bCs/>
                <w:sz w:val="24"/>
                <w:szCs w:val="24"/>
              </w:rPr>
            </w:r>
          </w:p>
        </w:tc>
        <w:tc>
          <w:tcPr>
            <w:tcW w:w="12728" w:type="dxa"/>
            <w:tcBorders>
              <w:top w:val="single" w:sz="4" w:space="0" w:color="000000"/>
              <w:start w:val="single" w:sz="4" w:space="0" w:color="000000"/>
              <w:bottom w:val="single" w:sz="4" w:space="0" w:color="000000"/>
              <w:end w:val="single" w:sz="4" w:space="0" w:color="000000"/>
            </w:tcBorders>
          </w:tcPr>
          <w:p>
            <w:pPr>
              <w:pStyle w:val="MGTableCell"/>
              <w:rPr>
                <w:iCs/>
                <w:sz w:val="24"/>
                <w:szCs w:val="24"/>
              </w:rPr>
            </w:pPr>
            <w:r>
              <w:rPr>
                <w:iCs/>
                <w:sz w:val="24"/>
                <w:szCs w:val="24"/>
              </w:rPr>
              <w:t>Выявлено несоблюдение рекомендаций производителей ОПО, приведшее к возникновению инцидента</w:t>
            </w:r>
          </w:p>
        </w:tc>
        <w:tc>
          <w:tcPr>
            <w:tcW w:w="1701"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r>
      <w:tr>
        <w:trPr>
          <w:trHeight w:val="340" w:hRule="atLeast"/>
        </w:trPr>
        <w:tc>
          <w:tcPr>
            <w:tcW w:w="421" w:type="dxa"/>
            <w:tcBorders>
              <w:top w:val="single" w:sz="4" w:space="0" w:color="000000"/>
              <w:start w:val="single" w:sz="4" w:space="0" w:color="000000"/>
              <w:bottom w:val="single" w:sz="4" w:space="0" w:color="000000"/>
              <w:end w:val="single" w:sz="4" w:space="0" w:color="000000"/>
            </w:tcBorders>
          </w:tcPr>
          <w:p>
            <w:pPr>
              <w:pStyle w:val="Normal"/>
              <w:numPr>
                <w:ilvl w:val="0"/>
                <w:numId w:val="23"/>
              </w:numPr>
              <w:spacing w:lineRule="auto" w:line="276" w:before="0" w:after="0"/>
              <w:ind w:hanging="0" w:start="-57" w:end="-57"/>
              <w:contextualSpacing/>
              <w:rPr>
                <w:bCs/>
                <w:sz w:val="24"/>
                <w:szCs w:val="24"/>
              </w:rPr>
            </w:pPr>
            <w:r>
              <w:rPr>
                <w:bCs/>
                <w:sz w:val="24"/>
                <w:szCs w:val="24"/>
              </w:rPr>
            </w:r>
          </w:p>
        </w:tc>
        <w:tc>
          <w:tcPr>
            <w:tcW w:w="12728" w:type="dxa"/>
            <w:tcBorders>
              <w:top w:val="single" w:sz="4" w:space="0" w:color="000000"/>
              <w:start w:val="single" w:sz="4" w:space="0" w:color="000000"/>
              <w:bottom w:val="single" w:sz="4" w:space="0" w:color="000000"/>
              <w:end w:val="single" w:sz="4" w:space="0" w:color="000000"/>
            </w:tcBorders>
          </w:tcPr>
          <w:p>
            <w:pPr>
              <w:pStyle w:val="MGTableCell"/>
              <w:rPr>
                <w:iCs/>
                <w:sz w:val="24"/>
                <w:szCs w:val="24"/>
              </w:rPr>
            </w:pPr>
            <w:r>
              <w:rPr>
                <w:iCs/>
                <w:sz w:val="24"/>
                <w:szCs w:val="24"/>
              </w:rPr>
              <w:t>Выявлено нарушение регламента резервного копирования</w:t>
            </w:r>
          </w:p>
        </w:tc>
        <w:tc>
          <w:tcPr>
            <w:tcW w:w="1701"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r>
      <w:tr>
        <w:trPr>
          <w:trHeight w:val="340" w:hRule="atLeast"/>
        </w:trPr>
        <w:tc>
          <w:tcPr>
            <w:tcW w:w="421" w:type="dxa"/>
            <w:tcBorders>
              <w:top w:val="single" w:sz="4" w:space="0" w:color="000000"/>
              <w:start w:val="single" w:sz="4" w:space="0" w:color="000000"/>
              <w:bottom w:val="single" w:sz="4" w:space="0" w:color="000000"/>
              <w:end w:val="single" w:sz="4" w:space="0" w:color="000000"/>
            </w:tcBorders>
          </w:tcPr>
          <w:p>
            <w:pPr>
              <w:pStyle w:val="Normal"/>
              <w:numPr>
                <w:ilvl w:val="0"/>
                <w:numId w:val="23"/>
              </w:numPr>
              <w:spacing w:lineRule="auto" w:line="276" w:before="0" w:after="0"/>
              <w:ind w:hanging="0" w:start="-57" w:end="-57"/>
              <w:contextualSpacing/>
              <w:rPr>
                <w:sz w:val="24"/>
                <w:szCs w:val="24"/>
              </w:rPr>
            </w:pPr>
            <w:r>
              <w:rPr>
                <w:sz w:val="24"/>
                <w:szCs w:val="24"/>
              </w:rPr>
            </w:r>
          </w:p>
        </w:tc>
        <w:tc>
          <w:tcPr>
            <w:tcW w:w="12728" w:type="dxa"/>
            <w:tcBorders>
              <w:top w:val="single" w:sz="4" w:space="0" w:color="000000"/>
              <w:start w:val="single" w:sz="4" w:space="0" w:color="000000"/>
              <w:bottom w:val="single" w:sz="4" w:space="0" w:color="000000"/>
              <w:end w:val="single" w:sz="4" w:space="0" w:color="000000"/>
            </w:tcBorders>
          </w:tcPr>
          <w:p>
            <w:pPr>
              <w:pStyle w:val="MGTableCell"/>
              <w:rPr>
                <w:iCs/>
                <w:sz w:val="24"/>
                <w:szCs w:val="24"/>
              </w:rPr>
            </w:pPr>
            <w:r>
              <w:rPr>
                <w:iCs/>
                <w:sz w:val="24"/>
                <w:szCs w:val="24"/>
              </w:rPr>
              <w:t>Выявлено нарушение плана мониторинга</w:t>
            </w:r>
          </w:p>
        </w:tc>
        <w:tc>
          <w:tcPr>
            <w:tcW w:w="1701"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r>
      <w:tr>
        <w:trPr>
          <w:trHeight w:val="340" w:hRule="atLeast"/>
        </w:trPr>
        <w:tc>
          <w:tcPr>
            <w:tcW w:w="421" w:type="dxa"/>
            <w:tcBorders>
              <w:top w:val="single" w:sz="4" w:space="0" w:color="000000"/>
              <w:start w:val="single" w:sz="4" w:space="0" w:color="000000"/>
              <w:bottom w:val="single" w:sz="4" w:space="0" w:color="000000"/>
              <w:end w:val="single" w:sz="4" w:space="0" w:color="000000"/>
            </w:tcBorders>
          </w:tcPr>
          <w:p>
            <w:pPr>
              <w:pStyle w:val="Normal"/>
              <w:numPr>
                <w:ilvl w:val="0"/>
                <w:numId w:val="23"/>
              </w:numPr>
              <w:spacing w:lineRule="auto" w:line="276" w:before="0" w:after="0"/>
              <w:ind w:hanging="0" w:start="-57" w:end="-57"/>
              <w:contextualSpacing/>
              <w:rPr>
                <w:sz w:val="24"/>
                <w:szCs w:val="24"/>
              </w:rPr>
            </w:pPr>
            <w:r>
              <w:rPr>
                <w:sz w:val="24"/>
                <w:szCs w:val="24"/>
              </w:rPr>
            </w:r>
          </w:p>
        </w:tc>
        <w:tc>
          <w:tcPr>
            <w:tcW w:w="12728" w:type="dxa"/>
            <w:tcBorders>
              <w:top w:val="single" w:sz="4" w:space="0" w:color="000000"/>
              <w:start w:val="single" w:sz="4" w:space="0" w:color="000000"/>
              <w:bottom w:val="single" w:sz="4" w:space="0" w:color="000000"/>
              <w:end w:val="single" w:sz="4" w:space="0" w:color="000000"/>
            </w:tcBorders>
          </w:tcPr>
          <w:p>
            <w:pPr>
              <w:pStyle w:val="MGTableCell"/>
              <w:rPr>
                <w:iCs/>
                <w:sz w:val="24"/>
                <w:szCs w:val="24"/>
              </w:rPr>
            </w:pPr>
            <w:r>
              <w:rPr>
                <w:iCs/>
                <w:sz w:val="24"/>
                <w:szCs w:val="24"/>
              </w:rPr>
              <w:t>Выявлено нарушение сроков по сопровождению форматов обмена (учитывается каждый случай нарушения сроков)</w:t>
            </w:r>
          </w:p>
        </w:tc>
        <w:tc>
          <w:tcPr>
            <w:tcW w:w="1701"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r>
      <w:tr>
        <w:trPr>
          <w:trHeight w:val="340" w:hRule="atLeast"/>
        </w:trPr>
        <w:tc>
          <w:tcPr>
            <w:tcW w:w="421" w:type="dxa"/>
            <w:tcBorders>
              <w:top w:val="single" w:sz="4" w:space="0" w:color="000000"/>
              <w:start w:val="single" w:sz="4" w:space="0" w:color="000000"/>
              <w:bottom w:val="single" w:sz="4" w:space="0" w:color="000000"/>
              <w:end w:val="single" w:sz="4" w:space="0" w:color="000000"/>
            </w:tcBorders>
          </w:tcPr>
          <w:p>
            <w:pPr>
              <w:pStyle w:val="Normal"/>
              <w:numPr>
                <w:ilvl w:val="0"/>
                <w:numId w:val="23"/>
              </w:numPr>
              <w:spacing w:lineRule="auto" w:line="276" w:before="0" w:after="0"/>
              <w:ind w:hanging="0" w:start="-57" w:end="-57"/>
              <w:contextualSpacing/>
              <w:rPr>
                <w:sz w:val="24"/>
                <w:szCs w:val="24"/>
              </w:rPr>
            </w:pPr>
            <w:r>
              <w:rPr>
                <w:sz w:val="24"/>
                <w:szCs w:val="24"/>
              </w:rPr>
            </w:r>
          </w:p>
        </w:tc>
        <w:tc>
          <w:tcPr>
            <w:tcW w:w="12728" w:type="dxa"/>
            <w:tcBorders>
              <w:top w:val="single" w:sz="4" w:space="0" w:color="000000"/>
              <w:start w:val="single" w:sz="4" w:space="0" w:color="000000"/>
              <w:bottom w:val="single" w:sz="4" w:space="0" w:color="000000"/>
              <w:end w:val="single" w:sz="4" w:space="0" w:color="000000"/>
            </w:tcBorders>
          </w:tcPr>
          <w:p>
            <w:pPr>
              <w:pStyle w:val="MGTableCell"/>
              <w:rPr>
                <w:iCs/>
                <w:sz w:val="24"/>
                <w:szCs w:val="24"/>
              </w:rPr>
            </w:pPr>
            <w:r>
              <w:rPr>
                <w:iCs/>
                <w:sz w:val="24"/>
                <w:szCs w:val="24"/>
              </w:rPr>
              <w:t>Выявлено нарушение периодичности выполнения работ по обслуживанию Системы</w:t>
            </w:r>
          </w:p>
        </w:tc>
        <w:tc>
          <w:tcPr>
            <w:tcW w:w="1701"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r>
      <w:tr>
        <w:trPr>
          <w:trHeight w:val="340" w:hRule="atLeast"/>
        </w:trPr>
        <w:tc>
          <w:tcPr>
            <w:tcW w:w="421" w:type="dxa"/>
            <w:tcBorders>
              <w:top w:val="single" w:sz="4" w:space="0" w:color="000000"/>
              <w:start w:val="single" w:sz="4" w:space="0" w:color="000000"/>
              <w:bottom w:val="single" w:sz="4" w:space="0" w:color="000000"/>
              <w:end w:val="single" w:sz="4" w:space="0" w:color="000000"/>
            </w:tcBorders>
          </w:tcPr>
          <w:p>
            <w:pPr>
              <w:pStyle w:val="Normal"/>
              <w:numPr>
                <w:ilvl w:val="0"/>
                <w:numId w:val="23"/>
              </w:numPr>
              <w:spacing w:lineRule="auto" w:line="276" w:before="0" w:after="0"/>
              <w:ind w:hanging="0" w:start="-57" w:end="-57"/>
              <w:contextualSpacing/>
              <w:rPr>
                <w:sz w:val="24"/>
                <w:szCs w:val="24"/>
              </w:rPr>
            </w:pPr>
            <w:r>
              <w:rPr>
                <w:sz w:val="24"/>
                <w:szCs w:val="24"/>
              </w:rPr>
            </w:r>
          </w:p>
        </w:tc>
        <w:tc>
          <w:tcPr>
            <w:tcW w:w="12728" w:type="dxa"/>
            <w:tcBorders>
              <w:top w:val="single" w:sz="4" w:space="0" w:color="000000"/>
              <w:start w:val="single" w:sz="4" w:space="0" w:color="000000"/>
              <w:bottom w:val="single" w:sz="4" w:space="0" w:color="000000"/>
              <w:end w:val="single" w:sz="4" w:space="0" w:color="000000"/>
            </w:tcBorders>
          </w:tcPr>
          <w:p>
            <w:pPr>
              <w:pStyle w:val="MGTableCell"/>
              <w:rPr>
                <w:iCs/>
                <w:sz w:val="24"/>
                <w:szCs w:val="24"/>
              </w:rPr>
            </w:pPr>
            <w:r>
              <w:rPr>
                <w:iCs/>
                <w:sz w:val="24"/>
                <w:szCs w:val="24"/>
              </w:rPr>
              <w:t>Выявлено нарушение сроков восстановления работоспособности Системы</w:t>
            </w:r>
          </w:p>
        </w:tc>
        <w:tc>
          <w:tcPr>
            <w:tcW w:w="1701"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r>
      <w:tr>
        <w:trPr>
          <w:trHeight w:val="283" w:hRule="atLeast"/>
        </w:trPr>
        <w:tc>
          <w:tcPr>
            <w:tcW w:w="421"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c>
          <w:tcPr>
            <w:tcW w:w="12728" w:type="dxa"/>
            <w:tcBorders>
              <w:top w:val="single" w:sz="4" w:space="0" w:color="000000"/>
              <w:start w:val="single" w:sz="4" w:space="0" w:color="000000"/>
              <w:bottom w:val="single" w:sz="4" w:space="0" w:color="000000"/>
              <w:end w:val="single" w:sz="4" w:space="0" w:color="000000"/>
            </w:tcBorders>
          </w:tcPr>
          <w:p>
            <w:pPr>
              <w:pStyle w:val="MGTableCell"/>
              <w:rPr>
                <w:b/>
                <w:bCs w:val="false"/>
                <w:sz w:val="24"/>
                <w:szCs w:val="24"/>
              </w:rPr>
            </w:pPr>
            <w:r>
              <w:rPr>
                <w:b/>
                <w:bCs w:val="false"/>
                <w:sz w:val="24"/>
                <w:szCs w:val="24"/>
              </w:rPr>
              <w:t>Общее количество</w:t>
            </w:r>
          </w:p>
        </w:tc>
        <w:tc>
          <w:tcPr>
            <w:tcW w:w="1701"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r>
    </w:tbl>
    <w:p>
      <w:pPr>
        <w:pStyle w:val="MGTableTitle"/>
        <w:rPr>
          <w:rFonts w:hint="eastAsia"/>
          <w:sz w:val="24"/>
          <w:szCs w:val="24"/>
        </w:rPr>
      </w:pPr>
      <w:r>
        <w:rPr>
          <w:sz w:val="24"/>
          <w:szCs w:val="24"/>
        </w:rPr>
        <w:t>Таблица ОК.</w:t>
      </w:r>
      <w:r>
        <w:rPr>
          <w:sz w:val="24"/>
          <w:szCs w:val="24"/>
        </w:rPr>
        <w:fldChar w:fldCharType="begin"/>
      </w:r>
      <w:r>
        <w:rPr>
          <w:sz w:val="24"/>
          <w:szCs w:val="24"/>
        </w:rPr>
        <w:instrText xml:space="preserve"> SEQ Таблица_ОК. \* ARABIC </w:instrText>
      </w:r>
      <w:r>
        <w:rPr>
          <w:sz w:val="24"/>
          <w:szCs w:val="24"/>
        </w:rPr>
        <w:fldChar w:fldCharType="separate"/>
      </w:r>
      <w:r>
        <w:rPr>
          <w:sz w:val="24"/>
          <w:szCs w:val="24"/>
        </w:rPr>
        <w:t>2</w:t>
      </w:r>
      <w:r>
        <w:rPr>
          <w:sz w:val="24"/>
          <w:szCs w:val="24"/>
        </w:rPr>
        <w:fldChar w:fldCharType="end"/>
      </w:r>
      <w:r>
        <w:rPr>
          <w:sz w:val="24"/>
          <w:szCs w:val="24"/>
        </w:rPr>
        <w:t xml:space="preserve"> – Показатель недоступности Системы по причинам в зоне ответственности Исполнителя в отчетном периоде</w:t>
      </w:r>
    </w:p>
    <w:tbl>
      <w:tblPr>
        <w:tblW w:w="14851"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2802"/>
        <w:gridCol w:w="4393"/>
        <w:gridCol w:w="4112"/>
        <w:gridCol w:w="3543"/>
      </w:tblGrid>
      <w:tr>
        <w:trPr>
          <w:tblHeader w:val="true"/>
          <w:trHeight w:val="510" w:hRule="atLeast"/>
        </w:trPr>
        <w:tc>
          <w:tcPr>
            <w:tcW w:w="2802"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Общее количество рабочего времени в отчетном периоде, час</w:t>
            </w:r>
          </w:p>
        </w:tc>
        <w:tc>
          <w:tcPr>
            <w:tcW w:w="4393"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Время недоступности Системы по причинам в зоне ответственности Исполнителя в отчетном периоде, час</w:t>
            </w:r>
          </w:p>
        </w:tc>
        <w:tc>
          <w:tcPr>
            <w:tcW w:w="4112"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Контрольное значение показателя недоступности Системы по причинам в зоне ответственности Исполнителя</w:t>
            </w:r>
          </w:p>
        </w:tc>
        <w:tc>
          <w:tcPr>
            <w:tcW w:w="3543"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Показатель недоступности Системы по причинам в зоне ответственности Исполнителя в отчетном периоде</w:t>
            </w:r>
          </w:p>
        </w:tc>
      </w:tr>
      <w:tr>
        <w:trPr>
          <w:trHeight w:val="340" w:hRule="atLeast"/>
        </w:trPr>
        <w:tc>
          <w:tcPr>
            <w:tcW w:w="2802" w:type="dxa"/>
            <w:tcBorders>
              <w:top w:val="single" w:sz="4" w:space="0" w:color="000000"/>
              <w:start w:val="single" w:sz="4" w:space="0" w:color="000000"/>
              <w:bottom w:val="single" w:sz="4" w:space="0" w:color="000000"/>
              <w:end w:val="single" w:sz="4" w:space="0" w:color="000000"/>
            </w:tcBorders>
          </w:tcPr>
          <w:p>
            <w:pPr>
              <w:pStyle w:val="MGTableCell"/>
              <w:rPr>
                <w:iCs/>
                <w:sz w:val="24"/>
                <w:szCs w:val="24"/>
              </w:rPr>
            </w:pPr>
            <w:r>
              <w:rPr>
                <w:iCs/>
                <w:sz w:val="24"/>
                <w:szCs w:val="24"/>
              </w:rPr>
            </w:r>
          </w:p>
        </w:tc>
        <w:tc>
          <w:tcPr>
            <w:tcW w:w="4393"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c>
          <w:tcPr>
            <w:tcW w:w="4112" w:type="dxa"/>
            <w:tcBorders>
              <w:top w:val="single" w:sz="4" w:space="0" w:color="000000"/>
              <w:start w:val="single" w:sz="4" w:space="0" w:color="000000"/>
              <w:bottom w:val="single" w:sz="4" w:space="0" w:color="000000"/>
              <w:end w:val="single" w:sz="4" w:space="0" w:color="000000"/>
            </w:tcBorders>
          </w:tcPr>
          <w:p>
            <w:pPr>
              <w:pStyle w:val="MGTableCell"/>
              <w:jc w:val="center"/>
              <w:rPr>
                <w:sz w:val="24"/>
                <w:szCs w:val="24"/>
              </w:rPr>
            </w:pPr>
            <w:r>
              <w:rPr>
                <w:sz w:val="24"/>
                <w:szCs w:val="24"/>
              </w:rPr>
              <w:t>0,005</w:t>
            </w:r>
            <w:r>
              <w:rPr>
                <w:rStyle w:val="FootnoteReference"/>
                <w:sz w:val="24"/>
                <w:szCs w:val="24"/>
              </w:rPr>
              <w:footnoteReference w:id="4"/>
            </w:r>
          </w:p>
        </w:tc>
        <w:tc>
          <w:tcPr>
            <w:tcW w:w="3543" w:type="dxa"/>
            <w:tcBorders>
              <w:top w:val="single" w:sz="4" w:space="0" w:color="000000"/>
              <w:start w:val="single" w:sz="4" w:space="0" w:color="000000"/>
              <w:bottom w:val="single" w:sz="4" w:space="0" w:color="000000"/>
              <w:end w:val="single" w:sz="4" w:space="0" w:color="000000"/>
            </w:tcBorders>
          </w:tcPr>
          <w:p>
            <w:pPr>
              <w:pStyle w:val="MGTableCell"/>
              <w:rPr>
                <w:sz w:val="24"/>
                <w:szCs w:val="24"/>
              </w:rPr>
            </w:pPr>
            <w:r>
              <w:rPr>
                <w:sz w:val="24"/>
                <w:szCs w:val="24"/>
              </w:rPr>
            </w:r>
          </w:p>
        </w:tc>
      </w:tr>
    </w:tbl>
    <w:p>
      <w:pPr>
        <w:pStyle w:val="MGTableTitle"/>
        <w:rPr>
          <w:rFonts w:hint="eastAsia"/>
          <w:sz w:val="24"/>
          <w:szCs w:val="24"/>
        </w:rPr>
      </w:pPr>
      <w:r>
        <w:rPr>
          <w:sz w:val="24"/>
          <w:szCs w:val="24"/>
        </w:rPr>
        <w:t>Таблица ОК.</w:t>
      </w:r>
      <w:r>
        <w:rPr>
          <w:sz w:val="24"/>
          <w:szCs w:val="24"/>
        </w:rPr>
        <w:fldChar w:fldCharType="begin"/>
      </w:r>
      <w:r>
        <w:rPr>
          <w:sz w:val="24"/>
          <w:szCs w:val="24"/>
        </w:rPr>
        <w:instrText xml:space="preserve"> SEQ Таблица_ОК. \* ARABIC </w:instrText>
      </w:r>
      <w:r>
        <w:rPr>
          <w:sz w:val="24"/>
          <w:szCs w:val="24"/>
        </w:rPr>
        <w:fldChar w:fldCharType="separate"/>
      </w:r>
      <w:r>
        <w:rPr>
          <w:sz w:val="24"/>
          <w:szCs w:val="24"/>
        </w:rPr>
        <w:t>3</w:t>
      </w:r>
      <w:r>
        <w:rPr>
          <w:sz w:val="24"/>
          <w:szCs w:val="24"/>
        </w:rPr>
        <w:fldChar w:fldCharType="end"/>
      </w:r>
      <w:r>
        <w:rPr>
          <w:sz w:val="24"/>
          <w:szCs w:val="24"/>
        </w:rPr>
        <w:t xml:space="preserve"> - Прочие нарушения требований к оказанию услуг, выявленные в течение отчетного периода.</w:t>
      </w:r>
    </w:p>
    <w:tbl>
      <w:tblPr>
        <w:tblW w:w="14850"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21"/>
        <w:gridCol w:w="6775"/>
        <w:gridCol w:w="3797"/>
        <w:gridCol w:w="3856"/>
      </w:tblGrid>
      <w:tr>
        <w:trPr>
          <w:tblHeader w:val="true"/>
          <w:trHeight w:val="510" w:hRule="atLeast"/>
        </w:trPr>
        <w:tc>
          <w:tcPr>
            <w:tcW w:w="421"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w:t>
            </w:r>
          </w:p>
        </w:tc>
        <w:tc>
          <w:tcPr>
            <w:tcW w:w="6775"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Описание выявленного нарушения</w:t>
            </w:r>
          </w:p>
        </w:tc>
        <w:tc>
          <w:tcPr>
            <w:tcW w:w="3797"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Номер нарушенного пункта технических требований</w:t>
            </w:r>
          </w:p>
        </w:tc>
        <w:tc>
          <w:tcPr>
            <w:tcW w:w="3856" w:type="dxa"/>
            <w:tcBorders>
              <w:top w:val="single" w:sz="4" w:space="0" w:color="000000"/>
              <w:start w:val="single" w:sz="4" w:space="0" w:color="000000"/>
              <w:bottom w:val="single" w:sz="4" w:space="0" w:color="000000"/>
              <w:end w:val="single" w:sz="4" w:space="0" w:color="000000"/>
            </w:tcBorders>
            <w:vAlign w:val="center"/>
          </w:tcPr>
          <w:p>
            <w:pPr>
              <w:pStyle w:val="MGTableHeader"/>
              <w:rPr>
                <w:rFonts w:ascii="Times New Roman" w:hAnsi="Times New Roman"/>
                <w:sz w:val="24"/>
                <w:szCs w:val="24"/>
              </w:rPr>
            </w:pPr>
            <w:r>
              <w:rPr>
                <w:rFonts w:ascii="Times New Roman" w:hAnsi="Times New Roman"/>
                <w:sz w:val="24"/>
                <w:szCs w:val="24"/>
              </w:rPr>
              <w:t>Реквизиты подтверждающих документов</w:t>
            </w:r>
          </w:p>
        </w:tc>
      </w:tr>
      <w:tr>
        <w:trPr>
          <w:trHeight w:val="563" w:hRule="atLeast"/>
        </w:trPr>
        <w:tc>
          <w:tcPr>
            <w:tcW w:w="421" w:type="dxa"/>
            <w:tcBorders>
              <w:top w:val="single" w:sz="4" w:space="0" w:color="000000"/>
              <w:start w:val="single" w:sz="4" w:space="0" w:color="000000"/>
              <w:bottom w:val="single" w:sz="4" w:space="0" w:color="000000"/>
              <w:end w:val="single" w:sz="4" w:space="0" w:color="000000"/>
            </w:tcBorders>
          </w:tcPr>
          <w:p>
            <w:pPr>
              <w:pStyle w:val="Normal"/>
              <w:numPr>
                <w:ilvl w:val="0"/>
                <w:numId w:val="24"/>
              </w:numPr>
              <w:spacing w:lineRule="auto" w:line="276" w:before="0" w:after="0"/>
              <w:ind w:hanging="0" w:start="0" w:end="-57"/>
              <w:contextualSpacing/>
              <w:rPr>
                <w:sz w:val="24"/>
                <w:szCs w:val="24"/>
              </w:rPr>
            </w:pPr>
            <w:r>
              <w:rPr>
                <w:sz w:val="24"/>
                <w:szCs w:val="24"/>
              </w:rPr>
            </w:r>
          </w:p>
        </w:tc>
        <w:tc>
          <w:tcPr>
            <w:tcW w:w="6775" w:type="dxa"/>
            <w:tcBorders>
              <w:top w:val="single" w:sz="4" w:space="0" w:color="000000"/>
              <w:start w:val="single" w:sz="4" w:space="0" w:color="000000"/>
              <w:bottom w:val="single" w:sz="4" w:space="0" w:color="000000"/>
              <w:end w:val="single" w:sz="4" w:space="0" w:color="000000"/>
            </w:tcBorders>
          </w:tcPr>
          <w:p>
            <w:pPr>
              <w:pStyle w:val="MGTableCell"/>
              <w:rPr>
                <w:i/>
                <w:i/>
                <w:sz w:val="24"/>
                <w:szCs w:val="24"/>
              </w:rPr>
            </w:pPr>
            <w:r>
              <w:rPr>
                <w:i/>
                <w:sz w:val="24"/>
                <w:szCs w:val="24"/>
              </w:rPr>
            </w:r>
          </w:p>
        </w:tc>
        <w:tc>
          <w:tcPr>
            <w:tcW w:w="3797" w:type="dxa"/>
            <w:tcBorders>
              <w:top w:val="single" w:sz="4" w:space="0" w:color="000000"/>
              <w:start w:val="single" w:sz="4" w:space="0" w:color="000000"/>
              <w:bottom w:val="single" w:sz="4" w:space="0" w:color="000000"/>
              <w:end w:val="single" w:sz="4" w:space="0" w:color="000000"/>
            </w:tcBorders>
          </w:tcPr>
          <w:p>
            <w:pPr>
              <w:pStyle w:val="MGTableCell"/>
              <w:rPr>
                <w:i/>
                <w:i/>
                <w:sz w:val="24"/>
                <w:szCs w:val="24"/>
              </w:rPr>
            </w:pPr>
            <w:r>
              <w:rPr>
                <w:i/>
                <w:sz w:val="24"/>
                <w:szCs w:val="24"/>
              </w:rPr>
            </w:r>
          </w:p>
        </w:tc>
        <w:tc>
          <w:tcPr>
            <w:tcW w:w="3856" w:type="dxa"/>
            <w:tcBorders>
              <w:top w:val="single" w:sz="4" w:space="0" w:color="000000"/>
              <w:start w:val="single" w:sz="4" w:space="0" w:color="000000"/>
              <w:bottom w:val="single" w:sz="4" w:space="0" w:color="000000"/>
              <w:end w:val="single" w:sz="4" w:space="0" w:color="000000"/>
            </w:tcBorders>
          </w:tcPr>
          <w:p>
            <w:pPr>
              <w:pStyle w:val="MGTableCell"/>
              <w:rPr>
                <w:i/>
                <w:i/>
                <w:sz w:val="24"/>
                <w:szCs w:val="24"/>
              </w:rPr>
            </w:pPr>
            <w:r>
              <w:rPr>
                <w:i/>
                <w:sz w:val="24"/>
                <w:szCs w:val="24"/>
              </w:rPr>
            </w:r>
          </w:p>
        </w:tc>
      </w:tr>
      <w:tr>
        <w:trPr>
          <w:trHeight w:val="335" w:hRule="atLeast"/>
        </w:trPr>
        <w:tc>
          <w:tcPr>
            <w:tcW w:w="421" w:type="dxa"/>
            <w:tcBorders>
              <w:top w:val="single" w:sz="4" w:space="0" w:color="000000"/>
              <w:start w:val="single" w:sz="4" w:space="0" w:color="000000"/>
              <w:bottom w:val="single" w:sz="4" w:space="0" w:color="000000"/>
              <w:end w:val="single" w:sz="4" w:space="0" w:color="000000"/>
            </w:tcBorders>
          </w:tcPr>
          <w:p>
            <w:pPr>
              <w:pStyle w:val="Normal"/>
              <w:spacing w:before="120" w:after="120"/>
              <w:ind w:hanging="357" w:start="-57" w:end="-57"/>
              <w:rPr>
                <w:sz w:val="24"/>
                <w:szCs w:val="24"/>
              </w:rPr>
            </w:pPr>
            <w:r>
              <w:rPr>
                <w:sz w:val="24"/>
                <w:szCs w:val="24"/>
              </w:rPr>
              <w:t>…</w:t>
            </w:r>
          </w:p>
        </w:tc>
        <w:tc>
          <w:tcPr>
            <w:tcW w:w="6775" w:type="dxa"/>
            <w:tcBorders>
              <w:top w:val="single" w:sz="4" w:space="0" w:color="000000"/>
              <w:start w:val="single" w:sz="4" w:space="0" w:color="000000"/>
              <w:bottom w:val="single" w:sz="4" w:space="0" w:color="000000"/>
              <w:end w:val="single" w:sz="4" w:space="0" w:color="000000"/>
            </w:tcBorders>
          </w:tcPr>
          <w:p>
            <w:pPr>
              <w:pStyle w:val="MGTableCell"/>
              <w:rPr>
                <w:i/>
                <w:i/>
                <w:sz w:val="24"/>
                <w:szCs w:val="24"/>
              </w:rPr>
            </w:pPr>
            <w:r>
              <w:rPr>
                <w:i/>
                <w:sz w:val="24"/>
                <w:szCs w:val="24"/>
              </w:rPr>
            </w:r>
          </w:p>
        </w:tc>
        <w:tc>
          <w:tcPr>
            <w:tcW w:w="3797" w:type="dxa"/>
            <w:tcBorders>
              <w:top w:val="single" w:sz="4" w:space="0" w:color="000000"/>
              <w:start w:val="single" w:sz="4" w:space="0" w:color="000000"/>
              <w:bottom w:val="single" w:sz="4" w:space="0" w:color="000000"/>
              <w:end w:val="single" w:sz="4" w:space="0" w:color="000000"/>
            </w:tcBorders>
          </w:tcPr>
          <w:p>
            <w:pPr>
              <w:pStyle w:val="MGTableCell"/>
              <w:rPr>
                <w:i/>
                <w:i/>
                <w:sz w:val="24"/>
                <w:szCs w:val="24"/>
              </w:rPr>
            </w:pPr>
            <w:r>
              <w:rPr>
                <w:i/>
                <w:sz w:val="24"/>
                <w:szCs w:val="24"/>
              </w:rPr>
            </w:r>
          </w:p>
        </w:tc>
        <w:tc>
          <w:tcPr>
            <w:tcW w:w="3856" w:type="dxa"/>
            <w:tcBorders>
              <w:top w:val="single" w:sz="4" w:space="0" w:color="000000"/>
              <w:start w:val="single" w:sz="4" w:space="0" w:color="000000"/>
              <w:bottom w:val="single" w:sz="4" w:space="0" w:color="000000"/>
              <w:end w:val="single" w:sz="4" w:space="0" w:color="000000"/>
            </w:tcBorders>
          </w:tcPr>
          <w:p>
            <w:pPr>
              <w:pStyle w:val="MGTableCell"/>
              <w:rPr>
                <w:i/>
                <w:i/>
                <w:sz w:val="24"/>
                <w:szCs w:val="24"/>
              </w:rPr>
            </w:pPr>
            <w:r>
              <w:rPr>
                <w:i/>
                <w:sz w:val="24"/>
                <w:szCs w:val="24"/>
              </w:rPr>
            </w:r>
          </w:p>
        </w:tc>
      </w:tr>
    </w:tbl>
    <w:p>
      <w:pPr>
        <w:pStyle w:val="MGTableTitle"/>
        <w:rPr>
          <w:rFonts w:hint="eastAsia"/>
          <w:sz w:val="24"/>
          <w:szCs w:val="24"/>
        </w:rPr>
      </w:pPr>
      <w:r>
        <w:rPr>
          <w:sz w:val="24"/>
          <w:szCs w:val="24"/>
        </w:rPr>
        <w:t>Таблица ОК.</w:t>
      </w:r>
      <w:r>
        <w:rPr>
          <w:sz w:val="24"/>
          <w:szCs w:val="24"/>
        </w:rPr>
        <w:fldChar w:fldCharType="begin"/>
      </w:r>
      <w:r>
        <w:rPr>
          <w:sz w:val="24"/>
          <w:szCs w:val="24"/>
        </w:rPr>
        <w:instrText xml:space="preserve"> SEQ Таблица_ОК. \* ARABIC </w:instrText>
      </w:r>
      <w:r>
        <w:rPr>
          <w:sz w:val="24"/>
          <w:szCs w:val="24"/>
        </w:rPr>
        <w:fldChar w:fldCharType="separate"/>
      </w:r>
      <w:r>
        <w:rPr>
          <w:sz w:val="24"/>
          <w:szCs w:val="24"/>
        </w:rPr>
        <w:t>4</w:t>
      </w:r>
      <w:r>
        <w:rPr>
          <w:sz w:val="24"/>
          <w:szCs w:val="24"/>
        </w:rPr>
        <w:fldChar w:fldCharType="end"/>
      </w:r>
      <w:r>
        <w:rPr>
          <w:sz w:val="24"/>
          <w:szCs w:val="24"/>
        </w:rPr>
        <w:t xml:space="preserve"> - Метрики качества оказанных услуг.</w:t>
      </w:r>
    </w:p>
    <w:tbl>
      <w:tblPr>
        <w:tblW w:w="1484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718"/>
        <w:gridCol w:w="6457"/>
        <w:gridCol w:w="1694"/>
        <w:gridCol w:w="2325"/>
        <w:gridCol w:w="3653"/>
      </w:tblGrid>
      <w:tr>
        <w:trPr>
          <w:tblHeader w:val="true"/>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sz w:val="24"/>
              </w:rPr>
            </w:pPr>
            <w:r>
              <w:rPr>
                <w:rFonts w:eastAsia="Batang"/>
                <w:b/>
                <w:sz w:val="24"/>
              </w:rPr>
              <w:t xml:space="preserve">№ </w:t>
            </w:r>
            <w:r>
              <w:rPr>
                <w:rFonts w:eastAsia="Batang"/>
                <w:b/>
                <w:sz w:val="24"/>
              </w:rPr>
              <w:t>п/п</w:t>
            </w:r>
          </w:p>
        </w:tc>
        <w:tc>
          <w:tcPr>
            <w:tcW w:w="64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sz w:val="24"/>
              </w:rPr>
            </w:pPr>
            <w:r>
              <w:rPr>
                <w:rFonts w:eastAsia="Batang"/>
                <w:b/>
                <w:sz w:val="24"/>
              </w:rPr>
              <w:t>Параметр</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sz w:val="24"/>
                <w:lang w:val="en-US"/>
              </w:rPr>
            </w:pPr>
            <w:r>
              <w:rPr>
                <w:rFonts w:eastAsia="Batang"/>
                <w:b/>
                <w:sz w:val="24"/>
              </w:rPr>
              <w:t xml:space="preserve">Вес метрики, </w:t>
            </w:r>
            <w:r>
              <w:rPr>
                <w:rFonts w:eastAsia="Batang"/>
                <w:b/>
                <w:sz w:val="24"/>
                <w:lang w:val="en-US"/>
              </w:rPr>
              <w:t>P</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sz w:val="24"/>
              </w:rPr>
            </w:pPr>
            <w:r>
              <w:rPr>
                <w:rFonts w:eastAsia="Batang"/>
                <w:b/>
                <w:sz w:val="24"/>
              </w:rPr>
              <w:t>Значение метрики, qi</w:t>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sz w:val="24"/>
                <w:lang w:val="en-US"/>
              </w:rPr>
            </w:pPr>
            <w:r>
              <w:rPr>
                <w:rFonts w:eastAsia="Batang"/>
                <w:b/>
                <w:sz w:val="24"/>
              </w:rPr>
              <w:t>Показатель качества сервиса, Q</w:t>
            </w:r>
            <w:r>
              <w:rPr>
                <w:rFonts w:eastAsia="Batang"/>
                <w:b/>
                <w:sz w:val="24"/>
                <w:lang w:val="en-US"/>
              </w:rPr>
              <w:t>oS</w:t>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Cs/>
                <w:sz w:val="24"/>
              </w:rPr>
            </w:pPr>
            <w:r>
              <w:rPr>
                <w:rFonts w:eastAsia="Batang"/>
                <w:bCs/>
                <w:sz w:val="24"/>
              </w:rPr>
              <w:t>1</w:t>
            </w:r>
          </w:p>
        </w:tc>
        <w:tc>
          <w:tcPr>
            <w:tcW w:w="64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start"/>
              <w:rPr>
                <w:rFonts w:eastAsia="Batang"/>
                <w:sz w:val="24"/>
              </w:rPr>
            </w:pPr>
            <w:r>
              <w:rPr>
                <w:rFonts w:eastAsia="Batang"/>
                <w:sz w:val="24"/>
              </w:rPr>
              <w:t>Нарушение режима доступности функций СТП, определенных в Таблице 17 ТЗ</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Cs/>
                <w:sz w:val="24"/>
              </w:rPr>
            </w:pPr>
            <w:r>
              <w:rPr>
                <w:rFonts w:eastAsia="Batang"/>
                <w:bCs/>
                <w:sz w:val="24"/>
              </w:rPr>
              <w:t>0,1</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Cs/>
                <w:sz w:val="24"/>
              </w:rPr>
            </w:pPr>
            <w:r>
              <w:rPr>
                <w:rFonts w:eastAsia="Batang"/>
                <w:bCs/>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Cs/>
                <w:sz w:val="24"/>
              </w:rPr>
            </w:pPr>
            <w:r>
              <w:rPr>
                <w:rFonts w:eastAsia="Batang"/>
                <w:bCs/>
                <w:sz w:val="24"/>
              </w:rPr>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Cs/>
                <w:sz w:val="24"/>
              </w:rPr>
            </w:pPr>
            <w:r>
              <w:rPr>
                <w:rFonts w:eastAsia="Batang"/>
                <w:bCs/>
                <w:sz w:val="24"/>
              </w:rPr>
              <w:t>2</w:t>
            </w:r>
          </w:p>
        </w:tc>
        <w:tc>
          <w:tcPr>
            <w:tcW w:w="6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t>Нарушение контрольных сроков обработки обращений пользователей, определенных в Таблице 23 ТЗ</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0,1</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3</w:t>
            </w:r>
          </w:p>
        </w:tc>
        <w:tc>
          <w:tcPr>
            <w:tcW w:w="6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t>Нарушение сроков предоставления Заказчику записей проведенного инструктажа, определенных в п. 5.4.1.2 ТЗ</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0,05</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4</w:t>
            </w:r>
          </w:p>
        </w:tc>
        <w:tc>
          <w:tcPr>
            <w:tcW w:w="6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rPr>
            </w:pPr>
            <w:r>
              <w:rPr>
                <w:rFonts w:eastAsia="Batang"/>
                <w:sz w:val="24"/>
              </w:rPr>
              <w:t>Нарушение периодичности регулярных операций по обслуживанию ОС/ОПО и СПО Системы, установленной в Таблице 25 ТЗ</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0,1</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6</w:t>
            </w:r>
          </w:p>
        </w:tc>
        <w:tc>
          <w:tcPr>
            <w:tcW w:w="6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t>Нарушение срока разработки и предоставления Заказчику Регламента РК</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0,1</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7</w:t>
            </w:r>
          </w:p>
        </w:tc>
        <w:tc>
          <w:tcPr>
            <w:tcW w:w="6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rPr>
            </w:pPr>
            <w:r>
              <w:rPr>
                <w:rFonts w:eastAsia="Batang"/>
                <w:sz w:val="24"/>
              </w:rPr>
              <w:t>Нарушение Исполнителем Регламента РК</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0,15</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8</w:t>
            </w:r>
          </w:p>
        </w:tc>
        <w:tc>
          <w:tcPr>
            <w:tcW w:w="6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t>Нарушение срока разработки и предоставления Заказчику плана мониторинга</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0,1</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9</w:t>
            </w:r>
          </w:p>
        </w:tc>
        <w:tc>
          <w:tcPr>
            <w:tcW w:w="6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t>Время недоступности Системы в следствие критичных инцидентов (Таблица № 21) в зоне ответственности Исполнителя, определенной в Таблице 28ТЗ</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sz w:val="24"/>
              </w:rPr>
            </w:pPr>
            <w:r>
              <w:rPr>
                <w:rFonts w:eastAsia="Batang"/>
                <w:sz w:val="24"/>
              </w:rPr>
              <w:t>0,1</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10</w:t>
            </w:r>
          </w:p>
        </w:tc>
        <w:tc>
          <w:tcPr>
            <w:tcW w:w="6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t>Нарушение контрольных сроков обработки обращений с типом «критичных инцидент» (Таблица № 21), определенных в Таблице 28 ТЗ</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0,1</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11</w:t>
            </w:r>
          </w:p>
        </w:tc>
        <w:tc>
          <w:tcPr>
            <w:tcW w:w="6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t>Нарушение контрольных сроков обработки обращений с типом «высокий инцидент» (Таблица № 21), определенных в Таблице 28 ТЗ</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0,05</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r>
        <w:trPr>
          <w:trHeight w:val="20" w:hRule="atLeast"/>
        </w:trPr>
        <w:tc>
          <w:tcPr>
            <w:tcW w:w="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12</w:t>
            </w:r>
          </w:p>
        </w:tc>
        <w:tc>
          <w:tcPr>
            <w:tcW w:w="645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start"/>
              <w:rPr>
                <w:rFonts w:eastAsia="Batang"/>
                <w:sz w:val="24"/>
              </w:rPr>
            </w:pPr>
            <w:r>
              <w:rPr>
                <w:rFonts w:eastAsia="Batang"/>
                <w:sz w:val="24"/>
              </w:rPr>
              <w:t>Нарушение контрольных сроков обработки обращений с типом «стандартный инцидент» (Таблица № 21), определенных в Таблице 28 ТЗ</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t>0,05</w:t>
            </w:r>
          </w:p>
        </w:tc>
        <w:tc>
          <w:tcPr>
            <w:tcW w:w="2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r>
        <w:trPr>
          <w:trHeight w:val="20" w:hRule="atLeast"/>
        </w:trPr>
        <w:tc>
          <w:tcPr>
            <w:tcW w:w="1119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end"/>
              <w:rPr>
                <w:rFonts w:eastAsia="Batang"/>
                <w:sz w:val="24"/>
              </w:rPr>
            </w:pPr>
            <w:r>
              <w:rPr>
                <w:rFonts w:eastAsia="Batang"/>
                <w:b/>
                <w:bCs/>
                <w:sz w:val="24"/>
              </w:rPr>
              <w:t>Итоговый показатель качества, QoS:</w:t>
            </w:r>
          </w:p>
        </w:tc>
        <w:tc>
          <w:tcPr>
            <w:tcW w:w="3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rPr>
            </w:pPr>
            <w:r>
              <w:rPr>
                <w:rFonts w:eastAsia="Batang"/>
                <w:sz w:val="24"/>
              </w:rPr>
            </w:r>
          </w:p>
        </w:tc>
      </w:tr>
    </w:tbl>
    <w:p>
      <w:pPr>
        <w:pStyle w:val="Normal"/>
        <w:spacing w:lineRule="auto" w:line="276"/>
        <w:ind w:hanging="0" w:start="0"/>
        <w:rPr>
          <w:sz w:val="24"/>
          <w:szCs w:val="24"/>
          <w:lang w:eastAsia="ru-RU"/>
        </w:rPr>
      </w:pPr>
      <w:r>
        <w:rPr>
          <w:sz w:val="24"/>
          <w:szCs w:val="24"/>
          <w:lang w:eastAsia="ru-RU"/>
        </w:rPr>
      </w:r>
    </w:p>
    <w:tbl>
      <w:tblPr>
        <w:tblW w:w="1488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2972"/>
        <w:gridCol w:w="820"/>
        <w:gridCol w:w="6805"/>
        <w:gridCol w:w="12"/>
        <w:gridCol w:w="4275"/>
      </w:tblGrid>
      <w:tr>
        <w:trPr>
          <w:trHeight w:val="20" w:hRule="atLeast"/>
        </w:trPr>
        <w:tc>
          <w:tcPr>
            <w:tcW w:w="2972" w:type="dxa"/>
            <w:tcBorders/>
          </w:tcPr>
          <w:p>
            <w:pPr>
              <w:pStyle w:val="CommentText"/>
              <w:keepNext w:val="true"/>
              <w:spacing w:lineRule="auto" w:line="276" w:before="120" w:after="0"/>
              <w:ind w:hanging="0" w:start="326"/>
              <w:contextualSpacing/>
              <w:rPr>
                <w:b/>
                <w:bCs/>
                <w:sz w:val="24"/>
                <w:szCs w:val="24"/>
              </w:rPr>
            </w:pPr>
            <w:r>
              <w:rPr>
                <w:b/>
                <w:bCs/>
                <w:sz w:val="24"/>
                <w:szCs w:val="24"/>
              </w:rPr>
              <w:t>Итоговая оценка:</w:t>
            </w:r>
          </w:p>
        </w:tc>
        <w:tc>
          <w:tcPr>
            <w:tcW w:w="11912" w:type="dxa"/>
            <w:gridSpan w:val="4"/>
            <w:tcBorders/>
          </w:tcPr>
          <w:p>
            <w:pPr>
              <w:pStyle w:val="CommentText"/>
              <w:keepNext w:val="true"/>
              <w:spacing w:lineRule="auto" w:line="276" w:before="120" w:after="0"/>
              <w:ind w:hanging="0" w:start="38"/>
              <w:contextualSpacing/>
              <w:rPr>
                <w:bCs/>
                <w:sz w:val="24"/>
                <w:szCs w:val="24"/>
              </w:rPr>
            </w:pPr>
            <w:r>
              <w:rPr>
                <w:bCs/>
                <w:i/>
                <w:sz w:val="24"/>
                <w:szCs w:val="24"/>
              </w:rPr>
              <w:t>[Услуги оказаны надлежащим образом / Услуги оказаны ненадлежащим образом / Существенное нарушение условий Договора]</w:t>
            </w:r>
          </w:p>
        </w:tc>
      </w:tr>
      <w:tr>
        <w:trPr>
          <w:trHeight w:val="20" w:hRule="atLeast"/>
        </w:trPr>
        <w:tc>
          <w:tcPr>
            <w:tcW w:w="10597" w:type="dxa"/>
            <w:gridSpan w:val="3"/>
            <w:tcBorders/>
          </w:tcPr>
          <w:p>
            <w:pPr>
              <w:pStyle w:val="CommentText"/>
              <w:keepNext w:val="true"/>
              <w:spacing w:lineRule="auto" w:line="276" w:before="120" w:after="0"/>
              <w:ind w:hanging="0" w:start="326"/>
              <w:contextualSpacing/>
              <w:rPr>
                <w:b/>
                <w:bCs/>
                <w:sz w:val="24"/>
                <w:szCs w:val="24"/>
              </w:rPr>
            </w:pPr>
            <w:r>
              <w:rPr>
                <w:b/>
                <w:bCs/>
                <w:sz w:val="24"/>
                <w:szCs w:val="24"/>
              </w:rPr>
              <w:t>Количество нарушений, признанных оказанием услуг ненадлежащим образом</w:t>
            </w:r>
          </w:p>
        </w:tc>
        <w:tc>
          <w:tcPr>
            <w:tcW w:w="4287" w:type="dxa"/>
            <w:gridSpan w:val="2"/>
            <w:tcBorders/>
          </w:tcPr>
          <w:p>
            <w:pPr>
              <w:pStyle w:val="CommentText"/>
              <w:keepNext w:val="true"/>
              <w:spacing w:lineRule="auto" w:line="276" w:before="120" w:after="0"/>
              <w:ind w:hanging="0" w:start="74"/>
              <w:contextualSpacing/>
              <w:rPr>
                <w:bCs/>
                <w:i/>
                <w:i/>
                <w:sz w:val="24"/>
                <w:szCs w:val="24"/>
              </w:rPr>
            </w:pPr>
            <w:r>
              <w:rPr>
                <w:bCs/>
                <w:i/>
                <w:sz w:val="24"/>
                <w:szCs w:val="24"/>
              </w:rPr>
              <w:t>___________________</w:t>
            </w:r>
          </w:p>
        </w:tc>
      </w:tr>
      <w:tr>
        <w:trPr/>
        <w:tc>
          <w:tcPr>
            <w:tcW w:w="3792" w:type="dxa"/>
            <w:gridSpan w:val="2"/>
            <w:tcBorders/>
            <w:vAlign w:val="center"/>
          </w:tcPr>
          <w:p>
            <w:pPr>
              <w:pStyle w:val="Normal"/>
              <w:keepNext w:val="true"/>
              <w:spacing w:lineRule="auto" w:line="276" w:before="120" w:after="0"/>
              <w:ind w:hanging="0" w:start="357"/>
              <w:contextualSpacing/>
              <w:jc w:val="start"/>
              <w:rPr>
                <w:i/>
                <w:i/>
                <w:iCs/>
                <w:caps/>
                <w:color w:val="000000"/>
                <w:sz w:val="24"/>
                <w:szCs w:val="24"/>
              </w:rPr>
            </w:pPr>
            <w:r>
              <w:rPr>
                <w:color w:val="000000"/>
                <w:sz w:val="24"/>
                <w:szCs w:val="24"/>
              </w:rPr>
              <w:t>Исполнитель</w:t>
            </w:r>
          </w:p>
        </w:tc>
        <w:tc>
          <w:tcPr>
            <w:tcW w:w="6817" w:type="dxa"/>
            <w:gridSpan w:val="2"/>
            <w:tcBorders/>
            <w:vAlign w:val="center"/>
          </w:tcPr>
          <w:p>
            <w:pPr>
              <w:pStyle w:val="Normal"/>
              <w:keepNext w:val="true"/>
              <w:spacing w:lineRule="auto" w:line="276" w:before="120" w:after="0"/>
              <w:ind w:hanging="0" w:start="357"/>
              <w:contextualSpacing/>
              <w:jc w:val="start"/>
              <w:rPr>
                <w:color w:val="000000"/>
                <w:sz w:val="24"/>
                <w:szCs w:val="24"/>
              </w:rPr>
            </w:pPr>
            <w:r>
              <w:rPr>
                <w:color w:val="000000"/>
                <w:sz w:val="24"/>
                <w:szCs w:val="24"/>
              </w:rPr>
            </w:r>
          </w:p>
        </w:tc>
        <w:tc>
          <w:tcPr>
            <w:tcW w:w="4275" w:type="dxa"/>
            <w:tcBorders/>
            <w:vAlign w:val="center"/>
          </w:tcPr>
          <w:p>
            <w:pPr>
              <w:pStyle w:val="Normal"/>
              <w:keepNext w:val="true"/>
              <w:spacing w:lineRule="auto" w:line="276" w:before="120" w:after="0"/>
              <w:ind w:hanging="0" w:start="357"/>
              <w:contextualSpacing/>
              <w:jc w:val="start"/>
              <w:rPr>
                <w:color w:val="000000"/>
                <w:sz w:val="24"/>
                <w:szCs w:val="24"/>
              </w:rPr>
            </w:pPr>
            <w:r>
              <w:rPr>
                <w:color w:val="000000"/>
                <w:sz w:val="24"/>
                <w:szCs w:val="24"/>
              </w:rPr>
              <w:t>Заказчик</w:t>
            </w:r>
          </w:p>
        </w:tc>
      </w:tr>
      <w:tr>
        <w:trPr/>
        <w:tc>
          <w:tcPr>
            <w:tcW w:w="3792" w:type="dxa"/>
            <w:gridSpan w:val="2"/>
            <w:tcBorders/>
          </w:tcPr>
          <w:p>
            <w:pPr>
              <w:pStyle w:val="Normal"/>
              <w:spacing w:lineRule="auto" w:line="276" w:before="120" w:after="0"/>
              <w:ind w:hanging="0" w:start="357"/>
              <w:contextualSpacing/>
              <w:jc w:val="start"/>
              <w:rPr>
                <w:i/>
                <w:i/>
                <w:iCs/>
                <w:caps/>
                <w:color w:val="000000"/>
                <w:sz w:val="24"/>
                <w:szCs w:val="24"/>
              </w:rPr>
            </w:pPr>
            <w:r>
              <w:rPr>
                <w:color w:val="000000"/>
                <w:sz w:val="24"/>
                <w:szCs w:val="24"/>
              </w:rPr>
              <w:t>ФИО ____________________</w:t>
            </w:r>
          </w:p>
          <w:p>
            <w:pPr>
              <w:pStyle w:val="Normal"/>
              <w:spacing w:lineRule="auto" w:line="276" w:before="120" w:after="0"/>
              <w:ind w:hanging="0" w:start="357"/>
              <w:contextualSpacing/>
              <w:jc w:val="start"/>
              <w:rPr>
                <w:i/>
                <w:i/>
                <w:iCs/>
                <w:caps/>
                <w:color w:val="000000"/>
                <w:sz w:val="24"/>
                <w:szCs w:val="24"/>
              </w:rPr>
            </w:pPr>
            <w:r>
              <w:rPr>
                <w:color w:val="000000"/>
                <w:sz w:val="24"/>
                <w:szCs w:val="24"/>
              </w:rPr>
              <w:t>Должность _______________</w:t>
            </w:r>
          </w:p>
          <w:p>
            <w:pPr>
              <w:pStyle w:val="Normal"/>
              <w:spacing w:lineRule="auto" w:line="276" w:before="120" w:after="0"/>
              <w:ind w:hanging="0" w:start="357"/>
              <w:contextualSpacing/>
              <w:jc w:val="start"/>
              <w:rPr>
                <w:i/>
                <w:i/>
                <w:iCs/>
                <w:caps/>
                <w:color w:val="000000"/>
                <w:sz w:val="24"/>
                <w:szCs w:val="24"/>
              </w:rPr>
            </w:pPr>
            <w:r>
              <w:rPr>
                <w:color w:val="000000"/>
                <w:sz w:val="24"/>
                <w:szCs w:val="24"/>
              </w:rPr>
              <w:t>Подпись _________________</w:t>
            </w:r>
          </w:p>
        </w:tc>
        <w:tc>
          <w:tcPr>
            <w:tcW w:w="6817" w:type="dxa"/>
            <w:gridSpan w:val="2"/>
            <w:tcBorders/>
          </w:tcPr>
          <w:p>
            <w:pPr>
              <w:pStyle w:val="Normal"/>
              <w:spacing w:lineRule="auto" w:line="276" w:before="120" w:after="0"/>
              <w:ind w:hanging="0" w:start="357"/>
              <w:contextualSpacing/>
              <w:rPr>
                <w:i/>
                <w:i/>
                <w:iCs/>
                <w:caps/>
                <w:color w:val="000000"/>
                <w:sz w:val="24"/>
                <w:szCs w:val="24"/>
              </w:rPr>
            </w:pPr>
            <w:r>
              <w:rPr>
                <w:i/>
                <w:iCs/>
                <w:caps/>
                <w:color w:val="000000"/>
                <w:sz w:val="24"/>
                <w:szCs w:val="24"/>
              </w:rPr>
            </w:r>
          </w:p>
        </w:tc>
        <w:tc>
          <w:tcPr>
            <w:tcW w:w="4275" w:type="dxa"/>
            <w:tcBorders/>
          </w:tcPr>
          <w:p>
            <w:pPr>
              <w:pStyle w:val="Normal"/>
              <w:spacing w:lineRule="auto" w:line="276" w:before="120" w:after="0"/>
              <w:ind w:hanging="0" w:start="357"/>
              <w:contextualSpacing/>
              <w:rPr>
                <w:i/>
                <w:i/>
                <w:iCs/>
                <w:caps/>
                <w:color w:val="000000"/>
                <w:sz w:val="24"/>
                <w:szCs w:val="24"/>
              </w:rPr>
            </w:pPr>
            <w:r>
              <w:rPr>
                <w:color w:val="000000"/>
                <w:sz w:val="24"/>
                <w:szCs w:val="24"/>
              </w:rPr>
              <w:t>ФИО ____________________</w:t>
            </w:r>
          </w:p>
          <w:p>
            <w:pPr>
              <w:pStyle w:val="Normal"/>
              <w:spacing w:lineRule="auto" w:line="276" w:before="120" w:after="0"/>
              <w:ind w:hanging="0" w:start="357"/>
              <w:contextualSpacing/>
              <w:rPr>
                <w:i/>
                <w:i/>
                <w:iCs/>
                <w:caps/>
                <w:color w:val="000000"/>
                <w:sz w:val="24"/>
                <w:szCs w:val="24"/>
              </w:rPr>
            </w:pPr>
            <w:r>
              <w:rPr>
                <w:color w:val="000000"/>
                <w:sz w:val="24"/>
                <w:szCs w:val="24"/>
              </w:rPr>
              <w:t>Должность ______________</w:t>
            </w:r>
          </w:p>
          <w:p>
            <w:pPr>
              <w:pStyle w:val="Normal"/>
              <w:spacing w:lineRule="auto" w:line="276" w:before="120" w:after="0"/>
              <w:ind w:hanging="0" w:start="357"/>
              <w:contextualSpacing/>
              <w:rPr>
                <w:color w:val="000000"/>
                <w:sz w:val="24"/>
                <w:szCs w:val="24"/>
              </w:rPr>
            </w:pPr>
            <w:r>
              <w:rPr>
                <w:color w:val="000000"/>
                <w:sz w:val="24"/>
                <w:szCs w:val="24"/>
              </w:rPr>
              <w:t>Подпись ________________</w:t>
            </w:r>
          </w:p>
        </w:tc>
      </w:tr>
      <w:tr>
        <w:trPr/>
        <w:tc>
          <w:tcPr>
            <w:tcW w:w="3792" w:type="dxa"/>
            <w:gridSpan w:val="2"/>
            <w:tcBorders/>
          </w:tcPr>
          <w:p>
            <w:pPr>
              <w:pStyle w:val="Normal"/>
              <w:spacing w:lineRule="auto" w:line="276" w:before="120" w:after="0"/>
              <w:ind w:hanging="0" w:start="357"/>
              <w:contextualSpacing/>
              <w:jc w:val="start"/>
              <w:rPr>
                <w:color w:val="000000"/>
                <w:sz w:val="24"/>
                <w:szCs w:val="24"/>
              </w:rPr>
            </w:pPr>
            <w:r>
              <w:rPr>
                <w:color w:val="000000"/>
                <w:sz w:val="24"/>
                <w:szCs w:val="24"/>
              </w:rPr>
              <w:t>М.П.</w:t>
            </w:r>
          </w:p>
        </w:tc>
        <w:tc>
          <w:tcPr>
            <w:tcW w:w="6817" w:type="dxa"/>
            <w:gridSpan w:val="2"/>
            <w:tcBorders/>
          </w:tcPr>
          <w:p>
            <w:pPr>
              <w:pStyle w:val="Normal"/>
              <w:spacing w:lineRule="auto" w:line="276" w:before="120" w:after="0"/>
              <w:ind w:hanging="0" w:start="357"/>
              <w:contextualSpacing/>
              <w:rPr>
                <w:color w:val="000000"/>
                <w:sz w:val="24"/>
                <w:szCs w:val="24"/>
              </w:rPr>
            </w:pPr>
            <w:r>
              <w:rPr>
                <w:color w:val="000000"/>
                <w:sz w:val="24"/>
                <w:szCs w:val="24"/>
              </w:rPr>
            </w:r>
          </w:p>
        </w:tc>
        <w:tc>
          <w:tcPr>
            <w:tcW w:w="4275" w:type="dxa"/>
            <w:tcBorders/>
          </w:tcPr>
          <w:p>
            <w:pPr>
              <w:pStyle w:val="Normal"/>
              <w:spacing w:lineRule="auto" w:line="276" w:before="120" w:after="0"/>
              <w:ind w:hanging="0" w:start="357"/>
              <w:contextualSpacing/>
              <w:rPr>
                <w:color w:val="000000"/>
                <w:sz w:val="24"/>
                <w:szCs w:val="24"/>
              </w:rPr>
            </w:pPr>
            <w:r>
              <w:rPr>
                <w:color w:val="000000"/>
                <w:sz w:val="24"/>
                <w:szCs w:val="24"/>
              </w:rPr>
              <w:t>М.П.</w:t>
            </w:r>
            <w:bookmarkStart w:id="254" w:name="_Hlk180072317"/>
            <w:bookmarkStart w:id="255" w:name="_Hlk177651094"/>
            <w:bookmarkEnd w:id="254"/>
            <w:bookmarkEnd w:id="255"/>
          </w:p>
        </w:tc>
      </w:tr>
    </w:tbl>
    <w:p>
      <w:pPr>
        <w:pStyle w:val="Normal"/>
        <w:rPr>
          <w:b/>
          <w:bCs/>
          <w:sz w:val="24"/>
          <w:szCs w:val="24"/>
          <w:lang w:eastAsia="ru-RU"/>
        </w:rPr>
      </w:pPr>
      <w:r>
        <w:rPr>
          <w:b/>
          <w:bCs/>
          <w:sz w:val="24"/>
          <w:szCs w:val="24"/>
          <w:lang w:eastAsia="ru-RU"/>
        </w:rPr>
      </w:r>
      <w:r>
        <w:br w:type="page"/>
      </w:r>
    </w:p>
    <w:p>
      <w:pPr>
        <w:pStyle w:val="1SLA"/>
        <w:numPr>
          <w:ilvl w:val="0"/>
          <w:numId w:val="43"/>
        </w:numPr>
        <w:tabs>
          <w:tab w:val="clear" w:pos="708"/>
          <w:tab w:val="left" w:pos="1134" w:leader="none"/>
        </w:tabs>
        <w:spacing w:lineRule="auto" w:line="276" w:before="0" w:after="160"/>
        <w:ind w:hanging="357" w:start="2200"/>
        <w:jc w:val="end"/>
        <w:rPr>
          <w:sz w:val="24"/>
          <w:szCs w:val="28"/>
        </w:rPr>
      </w:pPr>
      <w:bookmarkStart w:id="256" w:name="__RefHeading___Toc33580_3559854210"/>
      <w:bookmarkStart w:id="257" w:name="_Toc215755908"/>
      <w:bookmarkStart w:id="258" w:name="_Toc461024930"/>
      <w:bookmarkStart w:id="259" w:name="_Toc464139520"/>
      <w:bookmarkStart w:id="260" w:name="_Toc482983025"/>
      <w:bookmarkStart w:id="261" w:name="_Hlk177652498"/>
      <w:bookmarkStart w:id="262" w:name="_Hlk180072539"/>
      <w:bookmarkEnd w:id="256"/>
      <w:bookmarkEnd w:id="261"/>
      <w:bookmarkEnd w:id="262"/>
      <w:r>
        <w:rPr>
          <w:sz w:val="24"/>
          <w:szCs w:val="28"/>
        </w:rPr>
        <w:t>Форма предоставления информации о СТП Исполнителя</w:t>
      </w:r>
      <w:bookmarkEnd w:id="257"/>
      <w:bookmarkEnd w:id="258"/>
      <w:bookmarkEnd w:id="259"/>
      <w:bookmarkEnd w:id="260"/>
    </w:p>
    <w:p>
      <w:pPr>
        <w:pStyle w:val="Normal"/>
        <w:jc w:val="center"/>
        <w:rPr>
          <w:b/>
          <w:bCs/>
          <w:sz w:val="24"/>
          <w:szCs w:val="24"/>
          <w:lang w:eastAsia="ru-RU"/>
        </w:rPr>
      </w:pPr>
      <w:r>
        <w:rPr>
          <w:b/>
          <w:bCs/>
          <w:sz w:val="24"/>
          <w:szCs w:val="24"/>
          <w:lang w:eastAsia="ru-RU"/>
        </w:rPr>
      </w:r>
    </w:p>
    <w:p>
      <w:pPr>
        <w:pStyle w:val="Normal"/>
        <w:jc w:val="center"/>
        <w:rPr>
          <w:b/>
          <w:bCs/>
          <w:sz w:val="24"/>
          <w:szCs w:val="24"/>
          <w:lang w:eastAsia="ru-RU"/>
        </w:rPr>
      </w:pPr>
      <w:r>
        <w:rPr>
          <w:b/>
          <w:bCs/>
          <w:sz w:val="24"/>
          <w:szCs w:val="24"/>
          <w:lang w:eastAsia="ru-RU"/>
        </w:rPr>
        <w:t>Информация об ответственных сотрудниках СТП Исполнителя</w:t>
      </w:r>
    </w:p>
    <w:tbl>
      <w:tblPr>
        <w:tblW w:w="1489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737"/>
        <w:gridCol w:w="2627"/>
        <w:gridCol w:w="1509"/>
        <w:gridCol w:w="2927"/>
        <w:gridCol w:w="2282"/>
        <w:gridCol w:w="2581"/>
        <w:gridCol w:w="2231"/>
      </w:tblGrid>
      <w:tr>
        <w:trPr>
          <w:trHeight w:val="741" w:hRule="atLeast"/>
        </w:trPr>
        <w:tc>
          <w:tcPr>
            <w:tcW w:w="73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hanging="25" w:start="25"/>
              <w:jc w:val="center"/>
              <w:rPr>
                <w:rStyle w:val="Hyperlink"/>
                <w:b/>
                <w:bCs/>
                <w:color w:val="auto"/>
                <w:u w:val="none"/>
              </w:rPr>
            </w:pPr>
            <w:bookmarkStart w:id="263" w:name="_Hlk180072539_Копия_1"/>
            <w:bookmarkEnd w:id="263"/>
            <w:r>
              <w:rPr>
                <w:rStyle w:val="Hyperlink"/>
                <w:b/>
                <w:bCs/>
                <w:color w:val="auto"/>
                <w:u w:val="none"/>
              </w:rPr>
              <w:t>№</w:t>
            </w:r>
          </w:p>
        </w:tc>
        <w:tc>
          <w:tcPr>
            <w:tcW w:w="262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hanging="0" w:start="0"/>
              <w:jc w:val="center"/>
              <w:rPr>
                <w:rStyle w:val="Hyperlink"/>
                <w:b/>
                <w:bCs/>
                <w:color w:val="auto"/>
                <w:u w:val="none"/>
              </w:rPr>
            </w:pPr>
            <w:r>
              <w:rPr>
                <w:rStyle w:val="Hyperlink"/>
                <w:b/>
                <w:bCs/>
                <w:color w:val="auto"/>
                <w:u w:val="none"/>
              </w:rPr>
              <w:t>Название организации</w:t>
            </w:r>
          </w:p>
        </w:tc>
        <w:tc>
          <w:tcPr>
            <w:tcW w:w="1509"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hanging="0" w:start="0"/>
              <w:jc w:val="center"/>
              <w:rPr>
                <w:rStyle w:val="Hyperlink"/>
                <w:b/>
                <w:bCs/>
                <w:color w:val="auto"/>
                <w:u w:val="none"/>
              </w:rPr>
            </w:pPr>
            <w:r>
              <w:rPr>
                <w:rStyle w:val="Hyperlink"/>
                <w:b/>
                <w:bCs/>
                <w:color w:val="auto"/>
                <w:u w:val="none"/>
              </w:rPr>
              <w:t>ФИО</w:t>
            </w:r>
          </w:p>
        </w:tc>
        <w:tc>
          <w:tcPr>
            <w:tcW w:w="292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hanging="0" w:start="0"/>
              <w:jc w:val="center"/>
              <w:rPr>
                <w:rStyle w:val="Hyperlink"/>
                <w:b/>
                <w:bCs/>
                <w:color w:val="auto"/>
                <w:u w:val="none"/>
              </w:rPr>
            </w:pPr>
            <w:r>
              <w:rPr>
                <w:rStyle w:val="Hyperlink"/>
                <w:b/>
                <w:bCs/>
                <w:color w:val="auto"/>
                <w:u w:val="none"/>
              </w:rPr>
              <w:t>Наименование подразделения</w:t>
            </w:r>
          </w:p>
        </w:tc>
        <w:tc>
          <w:tcPr>
            <w:tcW w:w="2282"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hanging="0" w:start="0"/>
              <w:jc w:val="center"/>
              <w:rPr>
                <w:rStyle w:val="Hyperlink"/>
                <w:b/>
                <w:bCs/>
                <w:color w:val="auto"/>
                <w:u w:val="none"/>
              </w:rPr>
            </w:pPr>
            <w:r>
              <w:rPr>
                <w:rStyle w:val="Hyperlink"/>
                <w:b/>
                <w:bCs/>
                <w:color w:val="auto"/>
                <w:u w:val="none"/>
              </w:rPr>
              <w:t>Должность</w:t>
            </w:r>
          </w:p>
        </w:tc>
        <w:tc>
          <w:tcPr>
            <w:tcW w:w="2581"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hanging="0" w:start="0"/>
              <w:jc w:val="center"/>
              <w:rPr>
                <w:rStyle w:val="Hyperlink"/>
                <w:b/>
                <w:bCs/>
                <w:color w:val="auto"/>
                <w:u w:val="none"/>
              </w:rPr>
            </w:pPr>
            <w:r>
              <w:rPr>
                <w:rStyle w:val="Hyperlink"/>
                <w:b/>
                <w:bCs/>
                <w:color w:val="auto"/>
                <w:u w:val="none"/>
              </w:rPr>
              <w:t>Контактный телефон</w:t>
            </w:r>
          </w:p>
        </w:tc>
        <w:tc>
          <w:tcPr>
            <w:tcW w:w="2231"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hanging="0" w:start="0"/>
              <w:jc w:val="center"/>
              <w:rPr>
                <w:rStyle w:val="Hyperlink"/>
                <w:b/>
                <w:bCs/>
                <w:color w:val="auto"/>
                <w:u w:val="none"/>
              </w:rPr>
            </w:pPr>
            <w:r>
              <w:rPr>
                <w:rStyle w:val="Hyperlink"/>
                <w:b/>
                <w:bCs/>
                <w:color w:val="auto"/>
                <w:u w:val="none"/>
              </w:rPr>
              <w:t>E-mail</w:t>
            </w:r>
          </w:p>
        </w:tc>
      </w:tr>
      <w:tr>
        <w:trPr/>
        <w:tc>
          <w:tcPr>
            <w:tcW w:w="73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hanging="0" w:start="0"/>
              <w:jc w:val="center"/>
              <w:rPr>
                <w:rStyle w:val="Hyperlink"/>
                <w:color w:val="auto"/>
              </w:rPr>
            </w:pPr>
            <w:r>
              <w:rPr>
                <w:color w:val="auto"/>
              </w:rPr>
            </w:r>
          </w:p>
        </w:tc>
        <w:tc>
          <w:tcPr>
            <w:tcW w:w="262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1509"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jc w:val="center"/>
              <w:rPr>
                <w:rStyle w:val="Hyperlink"/>
                <w:color w:val="auto"/>
              </w:rPr>
            </w:pPr>
            <w:r>
              <w:rPr>
                <w:color w:val="auto"/>
              </w:rPr>
            </w:r>
          </w:p>
        </w:tc>
        <w:tc>
          <w:tcPr>
            <w:tcW w:w="292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jc w:val="center"/>
              <w:rPr>
                <w:rStyle w:val="Hyperlink"/>
                <w:color w:val="auto"/>
              </w:rPr>
            </w:pPr>
            <w:r>
              <w:rPr>
                <w:color w:val="auto"/>
              </w:rPr>
            </w:r>
          </w:p>
        </w:tc>
        <w:tc>
          <w:tcPr>
            <w:tcW w:w="2282"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jc w:val="center"/>
              <w:rPr>
                <w:rStyle w:val="Hyperlink"/>
                <w:color w:val="auto"/>
              </w:rPr>
            </w:pPr>
            <w:r>
              <w:rPr>
                <w:color w:val="auto"/>
              </w:rPr>
            </w:r>
          </w:p>
        </w:tc>
        <w:tc>
          <w:tcPr>
            <w:tcW w:w="2581"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jc w:val="center"/>
              <w:rPr>
                <w:rStyle w:val="Hyperlink"/>
                <w:color w:val="auto"/>
              </w:rPr>
            </w:pPr>
            <w:r>
              <w:rPr>
                <w:color w:val="auto"/>
              </w:rPr>
            </w:r>
          </w:p>
        </w:tc>
        <w:tc>
          <w:tcPr>
            <w:tcW w:w="2231"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jc w:val="center"/>
              <w:rPr>
                <w:rStyle w:val="Hyperlink"/>
                <w:color w:val="auto"/>
              </w:rPr>
            </w:pPr>
            <w:r>
              <w:rPr>
                <w:color w:val="auto"/>
              </w:rPr>
            </w:r>
          </w:p>
        </w:tc>
      </w:tr>
      <w:tr>
        <w:trPr/>
        <w:tc>
          <w:tcPr>
            <w:tcW w:w="73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262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1509"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292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2282"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2581"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2231"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r>
      <w:tr>
        <w:trPr/>
        <w:tc>
          <w:tcPr>
            <w:tcW w:w="73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262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1509"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2927"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2282"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2581"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p>
        </w:tc>
        <w:tc>
          <w:tcPr>
            <w:tcW w:w="2231" w:type="dxa"/>
            <w:tcBorders>
              <w:top w:val="single" w:sz="4" w:space="0" w:color="000000"/>
              <w:start w:val="single" w:sz="4" w:space="0" w:color="000000"/>
              <w:bottom w:val="single" w:sz="4" w:space="0" w:color="000000"/>
              <w:end w:val="single" w:sz="4" w:space="0" w:color="000000"/>
            </w:tcBorders>
            <w:vAlign w:val="center"/>
          </w:tcPr>
          <w:p>
            <w:pPr>
              <w:pStyle w:val="NormalWeb"/>
              <w:spacing w:before="0" w:after="0"/>
              <w:ind w:firstLine="2" w:start="-2"/>
              <w:jc w:val="center"/>
              <w:rPr>
                <w:rStyle w:val="Hyperlink"/>
                <w:color w:val="auto"/>
              </w:rPr>
            </w:pPr>
            <w:r>
              <w:rPr>
                <w:color w:val="auto"/>
              </w:rPr>
            </w:r>
            <w:bookmarkStart w:id="264" w:name="_Hlk180072628"/>
            <w:bookmarkStart w:id="265" w:name="_Hlk180072628"/>
            <w:bookmarkEnd w:id="265"/>
          </w:p>
        </w:tc>
      </w:tr>
    </w:tbl>
    <w:p>
      <w:pPr>
        <w:pStyle w:val="Normal"/>
        <w:jc w:val="center"/>
        <w:rPr>
          <w:sz w:val="24"/>
          <w:szCs w:val="24"/>
          <w:lang w:eastAsia="ru-RU"/>
        </w:rPr>
      </w:pPr>
      <w:r>
        <w:rPr>
          <w:sz w:val="24"/>
          <w:szCs w:val="24"/>
          <w:lang w:eastAsia="ru-RU"/>
        </w:rPr>
      </w:r>
      <w:bookmarkStart w:id="266" w:name="_Hlk177652498_Копия_1"/>
      <w:bookmarkStart w:id="267" w:name="_Hlk177652498_Копия_1"/>
      <w:bookmarkEnd w:id="267"/>
    </w:p>
    <w:p>
      <w:pPr>
        <w:pStyle w:val="Normal"/>
        <w:spacing w:lineRule="auto" w:line="240" w:before="0" w:after="0"/>
        <w:ind w:hanging="0" w:start="0"/>
        <w:jc w:val="start"/>
        <w:rPr>
          <w:b/>
          <w:bCs/>
          <w:sz w:val="24"/>
          <w:szCs w:val="24"/>
          <w:lang w:eastAsia="ru-RU"/>
        </w:rPr>
      </w:pPr>
      <w:r>
        <w:rPr>
          <w:b/>
          <w:bCs/>
          <w:sz w:val="24"/>
          <w:szCs w:val="24"/>
          <w:lang w:eastAsia="ru-RU"/>
        </w:rPr>
      </w:r>
      <w:r>
        <w:br w:type="page"/>
      </w:r>
    </w:p>
    <w:p>
      <w:pPr>
        <w:pStyle w:val="1SLA"/>
        <w:numPr>
          <w:ilvl w:val="0"/>
          <w:numId w:val="44"/>
        </w:numPr>
        <w:tabs>
          <w:tab w:val="clear" w:pos="708"/>
          <w:tab w:val="left" w:pos="1134" w:leader="none"/>
        </w:tabs>
        <w:spacing w:lineRule="auto" w:line="276" w:before="0" w:after="160"/>
        <w:ind w:hanging="357" w:start="2200"/>
        <w:jc w:val="end"/>
        <w:rPr>
          <w:sz w:val="24"/>
          <w:szCs w:val="24"/>
        </w:rPr>
      </w:pPr>
      <w:bookmarkStart w:id="268" w:name="__RefHeading___Toc33582_3559854210"/>
      <w:bookmarkStart w:id="269" w:name="_Toc215755909"/>
      <w:bookmarkStart w:id="270" w:name="_Toc176951303"/>
      <w:bookmarkStart w:id="271" w:name="_Toc482983026"/>
      <w:bookmarkStart w:id="272" w:name="_Hlk177652660"/>
      <w:bookmarkEnd w:id="268"/>
      <w:r>
        <w:rPr>
          <w:sz w:val="24"/>
          <w:szCs w:val="24"/>
        </w:rPr>
        <w:t>Форма Журнала обращений</w:t>
      </w:r>
      <w:bookmarkEnd w:id="269"/>
      <w:bookmarkEnd w:id="270"/>
      <w:bookmarkEnd w:id="271"/>
      <w:bookmarkEnd w:id="272"/>
    </w:p>
    <w:p>
      <w:pPr>
        <w:pStyle w:val="Normal"/>
        <w:spacing w:lineRule="auto" w:line="240"/>
        <w:jc w:val="center"/>
        <w:rPr>
          <w:sz w:val="24"/>
          <w:szCs w:val="24"/>
        </w:rPr>
      </w:pPr>
      <w:r>
        <w:rPr>
          <w:bCs/>
          <w:sz w:val="24"/>
          <w:szCs w:val="24"/>
        </w:rPr>
        <w:t>Журнал обращений</w:t>
      </w:r>
      <w:r>
        <w:rPr>
          <w:bCs/>
          <w:sz w:val="24"/>
          <w:szCs w:val="24"/>
        </w:rPr>
        <w:br w:type="textWrapping" w:clear="all"/>
      </w:r>
      <w:r>
        <w:rPr>
          <w:bCs/>
          <w:sz w:val="24"/>
          <w:szCs w:val="24"/>
        </w:rPr>
        <w:t xml:space="preserve"> </w:t>
      </w:r>
      <w:bookmarkStart w:id="273" w:name="_Hlk177652746"/>
      <w:r>
        <w:rPr>
          <w:sz w:val="24"/>
          <w:szCs w:val="24"/>
        </w:rPr>
        <w:t>по Договору от «___»</w:t>
      </w:r>
      <w:r>
        <w:rPr>
          <w:sz w:val="24"/>
          <w:szCs w:val="24"/>
          <w:u w:val="single"/>
        </w:rPr>
        <w:t xml:space="preserve">                  </w:t>
      </w:r>
      <w:r>
        <w:rPr>
          <w:sz w:val="24"/>
          <w:szCs w:val="24"/>
        </w:rPr>
        <w:t>202_ г. №__________________</w:t>
      </w:r>
      <w:bookmarkEnd w:id="273"/>
    </w:p>
    <w:p>
      <w:pPr>
        <w:pStyle w:val="Normal"/>
        <w:spacing w:lineRule="auto" w:line="240"/>
        <w:jc w:val="center"/>
        <w:rPr>
          <w:sz w:val="24"/>
          <w:szCs w:val="24"/>
        </w:rPr>
      </w:pPr>
      <w:bookmarkStart w:id="274" w:name="_Hlk180073008"/>
      <w:r>
        <w:rPr>
          <w:sz w:val="24"/>
          <w:szCs w:val="24"/>
        </w:rPr>
        <w:t>за период с __________ по __________</w:t>
      </w:r>
      <w:bookmarkEnd w:id="274"/>
    </w:p>
    <w:p>
      <w:pPr>
        <w:pStyle w:val="Normal"/>
        <w:spacing w:lineRule="auto" w:line="240"/>
        <w:jc w:val="start"/>
        <w:rPr>
          <w:bCs/>
          <w:sz w:val="24"/>
          <w:szCs w:val="24"/>
        </w:rPr>
      </w:pPr>
      <w:r>
        <w:rPr>
          <w:bCs/>
          <w:sz w:val="24"/>
          <w:szCs w:val="24"/>
        </w:rPr>
      </w:r>
    </w:p>
    <w:tbl>
      <w:tblPr>
        <w:tblW w:w="3900" w:type="pct"/>
        <w:jc w:val="center"/>
        <w:tblInd w:w="0" w:type="dxa"/>
        <w:tblLayout w:type="fixed"/>
        <w:tblCellMar>
          <w:top w:w="0" w:type="dxa"/>
          <w:start w:w="108" w:type="dxa"/>
          <w:bottom w:w="0" w:type="dxa"/>
          <w:end w:w="108" w:type="dxa"/>
        </w:tblCellMar>
        <w:tblLook w:val="04a0" w:noHBand="0" w:noVBand="1" w:firstColumn="1" w:lastRow="0" w:lastColumn="0" w:firstRow="1"/>
      </w:tblPr>
      <w:tblGrid>
        <w:gridCol w:w="844"/>
        <w:gridCol w:w="848"/>
        <w:gridCol w:w="1373"/>
        <w:gridCol w:w="873"/>
        <w:gridCol w:w="1124"/>
        <w:gridCol w:w="709"/>
        <w:gridCol w:w="691"/>
        <w:gridCol w:w="1196"/>
        <w:gridCol w:w="1209"/>
        <w:gridCol w:w="845"/>
        <w:gridCol w:w="830"/>
        <w:gridCol w:w="821"/>
      </w:tblGrid>
      <w:tr>
        <w:trPr>
          <w:trHeight w:val="3574" w:hRule="atLeast"/>
          <w:cantSplit w:val="true"/>
        </w:trPr>
        <w:tc>
          <w:tcPr>
            <w:tcW w:w="844"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hanging="0" w:start="0"/>
              <w:jc w:val="start"/>
              <w:rPr>
                <w:b/>
                <w:bCs/>
                <w:sz w:val="24"/>
                <w:szCs w:val="24"/>
                <w:lang w:eastAsia="ru-RU"/>
              </w:rPr>
            </w:pPr>
            <w:bookmarkStart w:id="275" w:name="_Hlk175320634"/>
            <w:r>
              <w:rPr>
                <w:rFonts w:eastAsia="Batang"/>
                <w:b/>
                <w:bCs/>
                <w:sz w:val="24"/>
                <w:szCs w:val="24"/>
                <w:lang w:eastAsia="ru-RU"/>
              </w:rPr>
              <w:t>Уникальный идентификатор (номер) обращения</w:t>
            </w:r>
            <w:bookmarkEnd w:id="275"/>
          </w:p>
        </w:tc>
        <w:tc>
          <w:tcPr>
            <w:tcW w:w="848"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Дата и время передачи обращения в СТП Исполнителя</w:t>
            </w:r>
          </w:p>
        </w:tc>
        <w:tc>
          <w:tcPr>
            <w:tcW w:w="1373"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Канал поступления обращения (СУТП, телефон, электронная почта, портал самообслуживания)</w:t>
            </w:r>
          </w:p>
        </w:tc>
        <w:tc>
          <w:tcPr>
            <w:tcW w:w="873"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Фамилия, имя, отчество зарегистрированного</w:t>
            </w:r>
          </w:p>
        </w:tc>
        <w:tc>
          <w:tcPr>
            <w:tcW w:w="1124"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Наименование или ИНН организации, от которой поступило обращение</w:t>
            </w:r>
          </w:p>
        </w:tc>
        <w:tc>
          <w:tcPr>
            <w:tcW w:w="709"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Вид обращения</w:t>
            </w:r>
          </w:p>
        </w:tc>
        <w:tc>
          <w:tcPr>
            <w:tcW w:w="691" w:type="dxa"/>
            <w:tcBorders>
              <w:top w:val="single" w:sz="4" w:space="0" w:color="000000"/>
              <w:start w:val="single" w:sz="4" w:space="0" w:color="000000"/>
              <w:bottom w:val="single" w:sz="4" w:space="0" w:color="000000"/>
              <w:end w:val="single" w:sz="4" w:space="0" w:color="000000"/>
            </w:tcBorders>
            <w:textDirection w:val="btL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Приоритет обращения</w:t>
            </w:r>
          </w:p>
        </w:tc>
        <w:tc>
          <w:tcPr>
            <w:tcW w:w="1196"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Дата и время, когда сотрудник Исполнителя приступил к рассмотрению обращения</w:t>
            </w:r>
          </w:p>
        </w:tc>
        <w:tc>
          <w:tcPr>
            <w:tcW w:w="1209"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Краткое содержание оказанной услуги / описание принятых для устранения инцидента мер</w:t>
            </w:r>
          </w:p>
        </w:tc>
        <w:tc>
          <w:tcPr>
            <w:tcW w:w="845"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Дата и время решения обращения</w:t>
            </w:r>
          </w:p>
        </w:tc>
        <w:tc>
          <w:tcPr>
            <w:tcW w:w="830" w:type="dxa"/>
            <w:tcBorders>
              <w:top w:val="single" w:sz="4" w:space="0" w:color="000000"/>
              <w:start w:val="single" w:sz="4" w:space="0" w:color="000000"/>
              <w:bottom w:val="single" w:sz="4" w:space="0" w:color="000000"/>
              <w:end w:val="single" w:sz="4" w:space="0" w:color="000000"/>
            </w:tcBorders>
            <w:textDirection w:val="btL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Контрольный срок решения обращения (Т2), минут</w:t>
            </w:r>
          </w:p>
        </w:tc>
        <w:tc>
          <w:tcPr>
            <w:tcW w:w="821"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Длительность решения,</w:t>
            </w:r>
          </w:p>
          <w:p>
            <w:pPr>
              <w:pStyle w:val="Normal"/>
              <w:spacing w:lineRule="auto" w:line="240" w:before="0" w:after="0"/>
              <w:ind w:hanging="0" w:start="0"/>
              <w:jc w:val="start"/>
              <w:rPr>
                <w:rFonts w:eastAsia="Batang"/>
                <w:b/>
                <w:bCs/>
                <w:sz w:val="24"/>
                <w:szCs w:val="24"/>
                <w:lang w:eastAsia="ru-RU"/>
              </w:rPr>
            </w:pPr>
            <w:r>
              <w:rPr>
                <w:rFonts w:eastAsia="Batang"/>
                <w:b/>
                <w:bCs/>
                <w:sz w:val="24"/>
                <w:szCs w:val="24"/>
                <w:lang w:eastAsia="ru-RU"/>
              </w:rPr>
              <w:t xml:space="preserve"> </w:t>
            </w:r>
            <w:r>
              <w:rPr>
                <w:rFonts w:eastAsia="Batang"/>
                <w:b/>
                <w:bCs/>
                <w:sz w:val="24"/>
                <w:szCs w:val="24"/>
                <w:lang w:eastAsia="ru-RU"/>
              </w:rPr>
              <w:t>минут</w:t>
            </w:r>
          </w:p>
        </w:tc>
      </w:tr>
      <w:tr>
        <w:trPr>
          <w:trHeight w:val="300" w:hRule="atLeast"/>
        </w:trPr>
        <w:tc>
          <w:tcPr>
            <w:tcW w:w="844"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1</w:t>
            </w:r>
          </w:p>
        </w:tc>
        <w:tc>
          <w:tcPr>
            <w:tcW w:w="8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2</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3</w:t>
            </w:r>
          </w:p>
        </w:tc>
        <w:tc>
          <w:tcPr>
            <w:tcW w:w="87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4</w:t>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5</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6</w:t>
            </w:r>
          </w:p>
        </w:tc>
        <w:tc>
          <w:tcPr>
            <w:tcW w:w="6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7</w:t>
            </w:r>
          </w:p>
        </w:tc>
        <w:tc>
          <w:tcPr>
            <w:tcW w:w="11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8</w:t>
            </w:r>
          </w:p>
        </w:tc>
        <w:tc>
          <w:tcPr>
            <w:tcW w:w="12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9</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10</w:t>
            </w:r>
          </w:p>
        </w:tc>
        <w:tc>
          <w:tcPr>
            <w:tcW w:w="8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11</w:t>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t>12</w:t>
            </w:r>
          </w:p>
        </w:tc>
      </w:tr>
      <w:tr>
        <w:trPr>
          <w:trHeight w:val="300" w:hRule="atLeast"/>
        </w:trPr>
        <w:tc>
          <w:tcPr>
            <w:tcW w:w="844"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84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137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87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112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70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69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119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120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845"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8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82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r>
      <w:tr>
        <w:trPr>
          <w:trHeight w:val="300" w:hRule="atLeast"/>
        </w:trPr>
        <w:tc>
          <w:tcPr>
            <w:tcW w:w="844"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84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137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87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112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70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69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119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120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845"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8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82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r>
    </w:tbl>
    <w:p>
      <w:pPr>
        <w:pStyle w:val="Normal"/>
        <w:spacing w:lineRule="auto" w:line="240" w:before="0" w:after="0"/>
        <w:ind w:hanging="0" w:start="0"/>
        <w:jc w:val="start"/>
        <w:rPr>
          <w:b/>
          <w:bCs/>
          <w:sz w:val="24"/>
          <w:szCs w:val="24"/>
          <w:lang w:eastAsia="ru-RU"/>
        </w:rPr>
      </w:pPr>
      <w:r>
        <w:rPr>
          <w:b/>
          <w:bCs/>
          <w:sz w:val="24"/>
          <w:szCs w:val="24"/>
          <w:lang w:eastAsia="ru-RU"/>
        </w:rPr>
      </w:r>
    </w:p>
    <w:tbl>
      <w:tblPr>
        <w:tblW w:w="12893" w:type="dxa"/>
        <w:jc w:val="start"/>
        <w:tblInd w:w="840" w:type="dxa"/>
        <w:tblLayout w:type="fixed"/>
        <w:tblCellMar>
          <w:top w:w="0" w:type="dxa"/>
          <w:start w:w="108" w:type="dxa"/>
          <w:bottom w:w="0" w:type="dxa"/>
          <w:end w:w="108" w:type="dxa"/>
        </w:tblCellMar>
        <w:tblLook w:val="04a0" w:noHBand="0" w:noVBand="1" w:firstColumn="1" w:lastRow="0" w:lastColumn="0" w:firstRow="1"/>
      </w:tblPr>
      <w:tblGrid>
        <w:gridCol w:w="5963"/>
        <w:gridCol w:w="6929"/>
      </w:tblGrid>
      <w:tr>
        <w:trPr/>
        <w:tc>
          <w:tcPr>
            <w:tcW w:w="5963" w:type="dxa"/>
            <w:tcBorders/>
          </w:tcPr>
          <w:p>
            <w:pPr>
              <w:pStyle w:val="Normal"/>
              <w:spacing w:lineRule="auto" w:line="276" w:before="120" w:after="0"/>
              <w:ind w:hanging="0" w:start="357"/>
              <w:contextualSpacing/>
              <w:rPr>
                <w:i/>
                <w:i/>
                <w:iCs/>
                <w:caps/>
                <w:sz w:val="24"/>
                <w:szCs w:val="32"/>
              </w:rPr>
            </w:pPr>
            <w:r>
              <w:rPr>
                <w:sz w:val="24"/>
                <w:szCs w:val="32"/>
              </w:rPr>
              <w:t>ИТОГО передано:</w:t>
            </w:r>
          </w:p>
          <w:p>
            <w:pPr>
              <w:pStyle w:val="Normal"/>
              <w:spacing w:lineRule="auto" w:line="276" w:before="120" w:after="0"/>
              <w:ind w:hanging="0" w:start="357"/>
              <w:contextualSpacing/>
              <w:rPr>
                <w:i/>
                <w:i/>
                <w:iCs/>
                <w:caps/>
                <w:sz w:val="24"/>
                <w:szCs w:val="32"/>
              </w:rPr>
            </w:pPr>
            <w:r>
              <w:rPr>
                <w:sz w:val="24"/>
                <w:szCs w:val="32"/>
              </w:rPr>
              <w:t>Всего обращений: ________</w:t>
            </w:r>
          </w:p>
          <w:p>
            <w:pPr>
              <w:pStyle w:val="Normal"/>
              <w:spacing w:lineRule="auto" w:line="276" w:before="120" w:after="0"/>
              <w:ind w:hanging="0" w:start="357"/>
              <w:contextualSpacing/>
              <w:rPr>
                <w:i/>
                <w:i/>
                <w:iCs/>
                <w:caps/>
                <w:sz w:val="24"/>
                <w:szCs w:val="32"/>
              </w:rPr>
            </w:pPr>
            <w:r>
              <w:rPr>
                <w:sz w:val="24"/>
                <w:szCs w:val="32"/>
              </w:rPr>
              <w:t>Из них инцидентов: _______</w:t>
            </w:r>
          </w:p>
        </w:tc>
        <w:tc>
          <w:tcPr>
            <w:tcW w:w="6929" w:type="dxa"/>
            <w:tcBorders/>
          </w:tcPr>
          <w:p>
            <w:pPr>
              <w:pStyle w:val="Normal"/>
              <w:spacing w:lineRule="auto" w:line="276" w:before="120" w:after="0"/>
              <w:ind w:hanging="0" w:start="357"/>
              <w:contextualSpacing/>
              <w:rPr>
                <w:i/>
                <w:i/>
                <w:iCs/>
                <w:caps/>
                <w:sz w:val="24"/>
                <w:szCs w:val="32"/>
              </w:rPr>
            </w:pPr>
            <w:r>
              <w:rPr>
                <w:sz w:val="24"/>
                <w:szCs w:val="32"/>
              </w:rPr>
              <w:t>ИТОГО решено:</w:t>
            </w:r>
          </w:p>
          <w:p>
            <w:pPr>
              <w:pStyle w:val="Normal"/>
              <w:spacing w:lineRule="auto" w:line="276" w:before="120" w:after="0"/>
              <w:ind w:hanging="0" w:start="357"/>
              <w:contextualSpacing/>
              <w:rPr>
                <w:i/>
                <w:i/>
                <w:iCs/>
                <w:caps/>
                <w:sz w:val="24"/>
                <w:szCs w:val="32"/>
              </w:rPr>
            </w:pPr>
            <w:r>
              <w:rPr>
                <w:sz w:val="24"/>
                <w:szCs w:val="32"/>
              </w:rPr>
              <w:t>Всего обращений: ________</w:t>
            </w:r>
          </w:p>
          <w:p>
            <w:pPr>
              <w:pStyle w:val="Normal"/>
              <w:spacing w:lineRule="auto" w:line="276" w:before="120" w:after="0"/>
              <w:ind w:hanging="0" w:start="357"/>
              <w:contextualSpacing/>
              <w:rPr>
                <w:i/>
                <w:i/>
                <w:iCs/>
                <w:caps/>
                <w:sz w:val="24"/>
                <w:szCs w:val="32"/>
              </w:rPr>
            </w:pPr>
            <w:r>
              <w:rPr>
                <w:sz w:val="24"/>
                <w:szCs w:val="32"/>
              </w:rPr>
              <w:t>Из них инцидентов: _______</w:t>
            </w:r>
            <w:bookmarkStart w:id="276" w:name="_Hlk177652836"/>
            <w:bookmarkEnd w:id="276"/>
          </w:p>
        </w:tc>
      </w:tr>
    </w:tbl>
    <w:p>
      <w:pPr>
        <w:pStyle w:val="Normal"/>
        <w:spacing w:lineRule="auto" w:line="240" w:before="0" w:after="0"/>
        <w:ind w:hanging="0" w:start="0"/>
        <w:jc w:val="start"/>
        <w:rPr>
          <w:b/>
          <w:bCs/>
          <w:sz w:val="24"/>
          <w:szCs w:val="24"/>
          <w:lang w:eastAsia="ru-RU"/>
        </w:rPr>
      </w:pPr>
      <w:r>
        <w:rPr>
          <w:b/>
          <w:bCs/>
          <w:sz w:val="24"/>
          <w:szCs w:val="24"/>
          <w:lang w:eastAsia="ru-RU"/>
        </w:rPr>
      </w:r>
    </w:p>
    <w:p>
      <w:pPr>
        <w:pStyle w:val="Normal"/>
        <w:spacing w:lineRule="auto" w:line="240" w:before="0" w:after="0"/>
        <w:ind w:hanging="0" w:start="0"/>
        <w:jc w:val="start"/>
        <w:rPr>
          <w:b/>
          <w:bCs/>
          <w:sz w:val="24"/>
          <w:szCs w:val="24"/>
          <w:lang w:eastAsia="ru-RU"/>
        </w:rPr>
      </w:pPr>
      <w:r>
        <w:rPr>
          <w:b/>
          <w:bCs/>
          <w:sz w:val="24"/>
          <w:szCs w:val="24"/>
          <w:lang w:eastAsia="ru-RU"/>
        </w:rPr>
      </w:r>
      <w:r>
        <w:br w:type="page"/>
      </w:r>
    </w:p>
    <w:p>
      <w:pPr>
        <w:pStyle w:val="1SLA"/>
        <w:numPr>
          <w:ilvl w:val="0"/>
          <w:numId w:val="45"/>
        </w:numPr>
        <w:tabs>
          <w:tab w:val="clear" w:pos="708"/>
          <w:tab w:val="left" w:pos="1134" w:leader="none"/>
        </w:tabs>
        <w:spacing w:lineRule="auto" w:line="276" w:before="0" w:after="160"/>
        <w:ind w:hanging="357" w:start="2200"/>
        <w:jc w:val="end"/>
        <w:rPr>
          <w:sz w:val="24"/>
          <w:szCs w:val="24"/>
        </w:rPr>
      </w:pPr>
      <w:bookmarkStart w:id="277" w:name="__RefHeading___Toc33584_3559854210"/>
      <w:bookmarkStart w:id="278" w:name="_Toc176951304"/>
      <w:bookmarkStart w:id="279" w:name="_Toc215755910"/>
      <w:bookmarkStart w:id="280" w:name="_Toc464139519"/>
      <w:bookmarkStart w:id="281" w:name="_Toc482983027"/>
      <w:bookmarkStart w:id="282" w:name="_Toc461024929"/>
      <w:bookmarkStart w:id="283" w:name="_Hlk177653260"/>
      <w:bookmarkEnd w:id="277"/>
      <w:bookmarkEnd w:id="283"/>
      <w:r>
        <w:rPr>
          <w:sz w:val="24"/>
          <w:szCs w:val="24"/>
        </w:rPr>
        <w:t>Форма Журнала резервного копирования</w:t>
      </w:r>
      <w:bookmarkEnd w:id="280"/>
      <w:bookmarkEnd w:id="281"/>
      <w:bookmarkEnd w:id="282"/>
      <w:r>
        <w:rPr>
          <w:sz w:val="24"/>
          <w:szCs w:val="24"/>
        </w:rPr>
        <w:t xml:space="preserve"> и проверки целостности резервных копий</w:t>
      </w:r>
      <w:bookmarkEnd w:id="278"/>
      <w:bookmarkEnd w:id="279"/>
    </w:p>
    <w:p>
      <w:pPr>
        <w:pStyle w:val="Normal"/>
        <w:spacing w:lineRule="auto" w:line="276" w:before="0" w:after="0"/>
        <w:ind w:firstLine="709" w:start="0"/>
        <w:jc w:val="center"/>
        <w:rPr>
          <w:rFonts w:eastAsia="Batang"/>
          <w:sz w:val="24"/>
          <w:szCs w:val="24"/>
        </w:rPr>
      </w:pPr>
      <w:bookmarkStart w:id="284" w:name="_Hlk177653260_Копия_1"/>
      <w:bookmarkStart w:id="285" w:name="_Hlk177653288"/>
      <w:bookmarkEnd w:id="284"/>
      <w:bookmarkEnd w:id="285"/>
      <w:r>
        <w:rPr>
          <w:rFonts w:eastAsia="Batang"/>
          <w:sz w:val="24"/>
          <w:szCs w:val="24"/>
        </w:rPr>
        <w:t xml:space="preserve">ЖУРНАЛ РЕЗЕРВНОГО КОПИРОВАНИЯ </w:t>
      </w:r>
    </w:p>
    <w:p>
      <w:pPr>
        <w:pStyle w:val="Normal"/>
        <w:spacing w:lineRule="auto" w:line="276" w:before="0" w:after="0"/>
        <w:ind w:firstLine="709" w:start="0"/>
        <w:jc w:val="center"/>
        <w:rPr>
          <w:rFonts w:eastAsia="Batang"/>
          <w:sz w:val="24"/>
          <w:szCs w:val="24"/>
        </w:rPr>
      </w:pPr>
      <w:r>
        <w:rPr>
          <w:rFonts w:eastAsia="Batang"/>
          <w:sz w:val="24"/>
          <w:szCs w:val="24"/>
        </w:rPr>
        <w:t>и проверки целостности резервных копий</w:t>
      </w:r>
    </w:p>
    <w:p>
      <w:pPr>
        <w:pStyle w:val="Normal"/>
        <w:spacing w:lineRule="auto" w:line="276" w:before="0" w:after="0"/>
        <w:ind w:firstLine="709" w:start="0"/>
        <w:jc w:val="center"/>
        <w:rPr>
          <w:rFonts w:eastAsia="Batang"/>
          <w:sz w:val="24"/>
          <w:szCs w:val="24"/>
        </w:rPr>
      </w:pPr>
      <w:r>
        <w:rPr>
          <w:rFonts w:eastAsia="Batang"/>
          <w:sz w:val="24"/>
          <w:szCs w:val="24"/>
        </w:rPr>
        <w:t>по Договору от «___»                  202_ г. №__________________</w:t>
      </w:r>
    </w:p>
    <w:p>
      <w:pPr>
        <w:pStyle w:val="Normal"/>
        <w:spacing w:lineRule="auto" w:line="276" w:before="0" w:after="0"/>
        <w:ind w:firstLine="709" w:start="0"/>
        <w:jc w:val="center"/>
        <w:rPr>
          <w:rFonts w:eastAsia="Batang"/>
          <w:sz w:val="24"/>
          <w:szCs w:val="24"/>
        </w:rPr>
      </w:pPr>
      <w:r>
        <w:rPr>
          <w:rFonts w:eastAsia="Batang"/>
          <w:sz w:val="24"/>
          <w:szCs w:val="24"/>
        </w:rPr>
        <w:t>за период с __________ по __________</w:t>
      </w:r>
    </w:p>
    <w:p>
      <w:pPr>
        <w:pStyle w:val="Normal"/>
        <w:keepNext w:val="true"/>
        <w:spacing w:lineRule="auto" w:line="276"/>
        <w:jc w:val="start"/>
        <w:rPr>
          <w:rFonts w:eastAsia="MS Gothic"/>
          <w:bCs/>
          <w:sz w:val="24"/>
          <w:szCs w:val="24"/>
        </w:rPr>
      </w:pPr>
      <w:r>
        <w:rPr>
          <w:bCs/>
          <w:sz w:val="24"/>
          <w:szCs w:val="24"/>
        </w:rPr>
        <w:t>Таблица 1 – Сведения о результатах резервного копирования.</w:t>
      </w:r>
    </w:p>
    <w:tbl>
      <w:tblPr>
        <w:tblW w:w="14978" w:type="dxa"/>
        <w:jc w:val="start"/>
        <w:tblInd w:w="-10" w:type="dxa"/>
        <w:tblLayout w:type="fixed"/>
        <w:tblCellMar>
          <w:top w:w="0" w:type="dxa"/>
          <w:start w:w="98" w:type="dxa"/>
          <w:bottom w:w="0" w:type="dxa"/>
          <w:end w:w="108" w:type="dxa"/>
        </w:tblCellMar>
        <w:tblLook w:val="04a0" w:noHBand="0" w:noVBand="1" w:firstColumn="1" w:lastRow="0" w:lastColumn="0" w:firstRow="1"/>
      </w:tblPr>
      <w:tblGrid>
        <w:gridCol w:w="997"/>
        <w:gridCol w:w="3118"/>
        <w:gridCol w:w="1606"/>
        <w:gridCol w:w="1938"/>
        <w:gridCol w:w="3926"/>
        <w:gridCol w:w="3392"/>
      </w:tblGrid>
      <w:tr>
        <w:trPr/>
        <w:tc>
          <w:tcPr>
            <w:tcW w:w="997" w:type="dxa"/>
            <w:tcBorders>
              <w:top w:val="single" w:sz="4" w:space="0" w:color="00000A"/>
              <w:start w:val="single" w:sz="4" w:space="0" w:color="00000A"/>
              <w:bottom w:val="single" w:sz="4" w:space="0" w:color="00000A"/>
              <w:end w:val="single" w:sz="4" w:space="0" w:color="00000A"/>
            </w:tcBorders>
            <w:vAlign w:val="center"/>
          </w:tcPr>
          <w:p>
            <w:pPr>
              <w:pStyle w:val="user6"/>
              <w:spacing w:lineRule="auto" w:line="240"/>
              <w:rPr>
                <w:szCs w:val="24"/>
              </w:rPr>
            </w:pPr>
            <w:r>
              <w:rPr>
                <w:szCs w:val="24"/>
              </w:rPr>
              <w:t xml:space="preserve">№ </w:t>
            </w:r>
            <w:r>
              <w:rPr>
                <w:szCs w:val="24"/>
              </w:rPr>
              <w:t>п.п.</w:t>
            </w:r>
          </w:p>
        </w:tc>
        <w:tc>
          <w:tcPr>
            <w:tcW w:w="3118" w:type="dxa"/>
            <w:tcBorders>
              <w:top w:val="single" w:sz="4" w:space="0" w:color="00000A"/>
              <w:start w:val="single" w:sz="4" w:space="0" w:color="00000A"/>
              <w:bottom w:val="single" w:sz="4" w:space="0" w:color="00000A"/>
              <w:end w:val="single" w:sz="4" w:space="0" w:color="00000A"/>
            </w:tcBorders>
            <w:vAlign w:val="center"/>
          </w:tcPr>
          <w:p>
            <w:pPr>
              <w:pStyle w:val="user6"/>
              <w:spacing w:lineRule="auto" w:line="240"/>
              <w:rPr>
                <w:szCs w:val="24"/>
              </w:rPr>
            </w:pPr>
            <w:r>
              <w:rPr>
                <w:szCs w:val="24"/>
              </w:rPr>
              <w:t>ФИО, осуществившего проверку резервной копии</w:t>
            </w:r>
          </w:p>
        </w:tc>
        <w:tc>
          <w:tcPr>
            <w:tcW w:w="1606" w:type="dxa"/>
            <w:tcBorders>
              <w:top w:val="single" w:sz="4" w:space="0" w:color="00000A"/>
              <w:start w:val="single" w:sz="4" w:space="0" w:color="00000A"/>
              <w:bottom w:val="single" w:sz="4" w:space="0" w:color="00000A"/>
              <w:end w:val="single" w:sz="4" w:space="0" w:color="00000A"/>
            </w:tcBorders>
            <w:vAlign w:val="center"/>
          </w:tcPr>
          <w:p>
            <w:pPr>
              <w:pStyle w:val="user6"/>
              <w:spacing w:lineRule="auto" w:line="240"/>
              <w:rPr>
                <w:szCs w:val="24"/>
              </w:rPr>
            </w:pPr>
            <w:r>
              <w:rPr>
                <w:szCs w:val="24"/>
              </w:rPr>
              <w:t>Дата и время проверки</w:t>
            </w:r>
          </w:p>
        </w:tc>
        <w:tc>
          <w:tcPr>
            <w:tcW w:w="1938" w:type="dxa"/>
            <w:tcBorders>
              <w:top w:val="single" w:sz="4" w:space="0" w:color="00000A"/>
              <w:start w:val="single" w:sz="4" w:space="0" w:color="00000A"/>
              <w:bottom w:val="single" w:sz="4" w:space="0" w:color="00000A"/>
              <w:end w:val="single" w:sz="4" w:space="0" w:color="00000A"/>
            </w:tcBorders>
            <w:vAlign w:val="center"/>
          </w:tcPr>
          <w:p>
            <w:pPr>
              <w:pStyle w:val="user6"/>
              <w:spacing w:lineRule="auto" w:line="240"/>
              <w:rPr>
                <w:szCs w:val="24"/>
              </w:rPr>
            </w:pPr>
            <w:r>
              <w:rPr>
                <w:szCs w:val="24"/>
              </w:rPr>
              <w:t>Результат проверки</w:t>
            </w:r>
          </w:p>
        </w:tc>
        <w:tc>
          <w:tcPr>
            <w:tcW w:w="3926" w:type="dxa"/>
            <w:tcBorders>
              <w:top w:val="single" w:sz="4" w:space="0" w:color="00000A"/>
              <w:start w:val="single" w:sz="4" w:space="0" w:color="00000A"/>
              <w:bottom w:val="single" w:sz="4" w:space="0" w:color="00000A"/>
              <w:end w:val="single" w:sz="4" w:space="0" w:color="00000A"/>
            </w:tcBorders>
            <w:vAlign w:val="center"/>
          </w:tcPr>
          <w:p>
            <w:pPr>
              <w:pStyle w:val="user6"/>
              <w:spacing w:lineRule="auto" w:line="240"/>
              <w:rPr>
                <w:szCs w:val="24"/>
              </w:rPr>
            </w:pPr>
            <w:r>
              <w:rPr>
                <w:szCs w:val="24"/>
              </w:rPr>
              <w:t>Хеш-код проверяемой резервной копии</w:t>
            </w:r>
          </w:p>
        </w:tc>
        <w:tc>
          <w:tcPr>
            <w:tcW w:w="3392" w:type="dxa"/>
            <w:tcBorders>
              <w:top w:val="single" w:sz="4" w:space="0" w:color="00000A"/>
              <w:start w:val="single" w:sz="4" w:space="0" w:color="00000A"/>
              <w:bottom w:val="single" w:sz="4" w:space="0" w:color="00000A"/>
              <w:end w:val="single" w:sz="4" w:space="0" w:color="00000A"/>
            </w:tcBorders>
            <w:vAlign w:val="center"/>
          </w:tcPr>
          <w:p>
            <w:pPr>
              <w:pStyle w:val="user6"/>
              <w:spacing w:lineRule="auto" w:line="240"/>
              <w:rPr>
                <w:szCs w:val="24"/>
              </w:rPr>
            </w:pPr>
            <w:r>
              <w:rPr>
                <w:szCs w:val="24"/>
              </w:rPr>
              <w:t>Наименование файла резервной копии, размещенном на сервере</w:t>
            </w:r>
          </w:p>
        </w:tc>
      </w:tr>
      <w:tr>
        <w:trPr/>
        <w:tc>
          <w:tcPr>
            <w:tcW w:w="997" w:type="dxa"/>
            <w:tcBorders>
              <w:top w:val="single" w:sz="4" w:space="0" w:color="00000A"/>
              <w:start w:val="single" w:sz="4" w:space="0" w:color="00000A"/>
              <w:bottom w:val="single" w:sz="4" w:space="0" w:color="00000A"/>
              <w:end w:val="single" w:sz="4" w:space="0" w:color="00000A"/>
            </w:tcBorders>
            <w:shd w:color="auto" w:fill="FFFFFF" w:val="clear"/>
            <w:vAlign w:val="center"/>
          </w:tcPr>
          <w:p>
            <w:pPr>
              <w:pStyle w:val="user6"/>
              <w:spacing w:lineRule="auto" w:line="240"/>
              <w:rPr>
                <w:szCs w:val="24"/>
              </w:rPr>
            </w:pPr>
            <w:r>
              <w:rPr>
                <w:szCs w:val="24"/>
              </w:rPr>
            </w:r>
          </w:p>
        </w:tc>
        <w:tc>
          <w:tcPr>
            <w:tcW w:w="3118" w:type="dxa"/>
            <w:tcBorders>
              <w:top w:val="single" w:sz="4" w:space="0" w:color="00000A"/>
              <w:start w:val="single" w:sz="4" w:space="0" w:color="00000A"/>
              <w:bottom w:val="single" w:sz="4" w:space="0" w:color="00000A"/>
              <w:end w:val="single" w:sz="4" w:space="0" w:color="00000A"/>
            </w:tcBorders>
            <w:shd w:color="auto" w:fill="FFFFFF" w:val="clear"/>
            <w:vAlign w:val="center"/>
          </w:tcPr>
          <w:p>
            <w:pPr>
              <w:pStyle w:val="user6"/>
              <w:spacing w:lineRule="auto" w:line="240"/>
              <w:rPr>
                <w:szCs w:val="24"/>
              </w:rPr>
            </w:pPr>
            <w:r>
              <w:rPr>
                <w:szCs w:val="24"/>
              </w:rPr>
            </w:r>
          </w:p>
        </w:tc>
        <w:tc>
          <w:tcPr>
            <w:tcW w:w="1606"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c>
          <w:tcPr>
            <w:tcW w:w="1938"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c>
          <w:tcPr>
            <w:tcW w:w="3926"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c>
          <w:tcPr>
            <w:tcW w:w="3392"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r>
      <w:tr>
        <w:trPr/>
        <w:tc>
          <w:tcPr>
            <w:tcW w:w="997" w:type="dxa"/>
            <w:tcBorders>
              <w:top w:val="single" w:sz="4" w:space="0" w:color="00000A"/>
              <w:start w:val="single" w:sz="4" w:space="0" w:color="00000A"/>
              <w:bottom w:val="single" w:sz="4" w:space="0" w:color="00000A"/>
              <w:end w:val="single" w:sz="4" w:space="0" w:color="00000A"/>
            </w:tcBorders>
            <w:shd w:color="auto" w:fill="FFFFFF" w:val="clear"/>
            <w:vAlign w:val="center"/>
          </w:tcPr>
          <w:p>
            <w:pPr>
              <w:pStyle w:val="user6"/>
              <w:spacing w:lineRule="auto" w:line="240"/>
              <w:rPr>
                <w:szCs w:val="24"/>
              </w:rPr>
            </w:pPr>
            <w:r>
              <w:rPr>
                <w:szCs w:val="24"/>
              </w:rPr>
            </w:r>
          </w:p>
        </w:tc>
        <w:tc>
          <w:tcPr>
            <w:tcW w:w="3118" w:type="dxa"/>
            <w:tcBorders>
              <w:top w:val="single" w:sz="4" w:space="0" w:color="00000A"/>
              <w:start w:val="single" w:sz="4" w:space="0" w:color="00000A"/>
              <w:bottom w:val="single" w:sz="4" w:space="0" w:color="00000A"/>
              <w:end w:val="single" w:sz="4" w:space="0" w:color="00000A"/>
            </w:tcBorders>
            <w:shd w:color="auto" w:fill="FFFFFF" w:val="clear"/>
            <w:vAlign w:val="center"/>
          </w:tcPr>
          <w:p>
            <w:pPr>
              <w:pStyle w:val="user6"/>
              <w:spacing w:lineRule="auto" w:line="240"/>
              <w:rPr>
                <w:szCs w:val="24"/>
              </w:rPr>
            </w:pPr>
            <w:r>
              <w:rPr>
                <w:szCs w:val="24"/>
              </w:rPr>
            </w:r>
          </w:p>
        </w:tc>
        <w:tc>
          <w:tcPr>
            <w:tcW w:w="1606"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c>
          <w:tcPr>
            <w:tcW w:w="1938"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c>
          <w:tcPr>
            <w:tcW w:w="3926"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c>
          <w:tcPr>
            <w:tcW w:w="3392"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r>
    </w:tbl>
    <w:p>
      <w:pPr>
        <w:pStyle w:val="Normal"/>
        <w:spacing w:lineRule="auto" w:line="240"/>
        <w:rPr>
          <w:sz w:val="24"/>
          <w:szCs w:val="24"/>
        </w:rPr>
      </w:pPr>
      <w:r>
        <w:rPr>
          <w:sz w:val="24"/>
          <w:szCs w:val="24"/>
        </w:rPr>
        <w:t>Количество выполненных операций за период: ________</w:t>
      </w:r>
    </w:p>
    <w:p>
      <w:pPr>
        <w:pStyle w:val="Normal"/>
        <w:keepNext w:val="true"/>
        <w:spacing w:lineRule="auto" w:line="240"/>
        <w:jc w:val="start"/>
        <w:rPr>
          <w:bCs/>
          <w:sz w:val="24"/>
          <w:szCs w:val="24"/>
        </w:rPr>
      </w:pPr>
      <w:r>
        <w:rPr>
          <w:bCs/>
          <w:sz w:val="24"/>
          <w:szCs w:val="24"/>
        </w:rPr>
        <w:t xml:space="preserve">Таблица 2 </w:t>
        <w:noBreakHyphen/>
        <w:t xml:space="preserve"> Сведения о результатах резервного копирования.</w:t>
      </w:r>
    </w:p>
    <w:tbl>
      <w:tblPr>
        <w:tblW w:w="15031" w:type="dxa"/>
        <w:jc w:val="start"/>
        <w:tblInd w:w="-10" w:type="dxa"/>
        <w:tblLayout w:type="fixed"/>
        <w:tblCellMar>
          <w:top w:w="0" w:type="dxa"/>
          <w:start w:w="98" w:type="dxa"/>
          <w:bottom w:w="0" w:type="dxa"/>
          <w:end w:w="108" w:type="dxa"/>
        </w:tblCellMar>
        <w:tblLook w:val="04a0" w:noHBand="0" w:noVBand="1" w:firstColumn="1" w:lastRow="0" w:lastColumn="0" w:firstRow="1"/>
      </w:tblPr>
      <w:tblGrid>
        <w:gridCol w:w="999"/>
        <w:gridCol w:w="3968"/>
        <w:gridCol w:w="5811"/>
        <w:gridCol w:w="4252"/>
      </w:tblGrid>
      <w:tr>
        <w:trPr/>
        <w:tc>
          <w:tcPr>
            <w:tcW w:w="999" w:type="dxa"/>
            <w:tcBorders>
              <w:top w:val="single" w:sz="4" w:space="0" w:color="00000A"/>
              <w:start w:val="single" w:sz="4" w:space="0" w:color="00000A"/>
              <w:bottom w:val="single" w:sz="4" w:space="0" w:color="00000A"/>
              <w:end w:val="single" w:sz="4" w:space="0" w:color="00000A"/>
            </w:tcBorders>
            <w:vAlign w:val="center"/>
          </w:tcPr>
          <w:p>
            <w:pPr>
              <w:pStyle w:val="user6"/>
              <w:spacing w:lineRule="auto" w:line="240"/>
              <w:rPr>
                <w:szCs w:val="24"/>
              </w:rPr>
            </w:pPr>
            <w:r>
              <w:rPr>
                <w:szCs w:val="24"/>
              </w:rPr>
              <w:t xml:space="preserve">№ </w:t>
            </w:r>
            <w:r>
              <w:rPr>
                <w:szCs w:val="24"/>
              </w:rPr>
              <w:t>п.п.</w:t>
            </w:r>
          </w:p>
        </w:tc>
        <w:tc>
          <w:tcPr>
            <w:tcW w:w="3968" w:type="dxa"/>
            <w:tcBorders>
              <w:top w:val="single" w:sz="4" w:space="0" w:color="00000A"/>
              <w:start w:val="single" w:sz="4" w:space="0" w:color="00000A"/>
              <w:bottom w:val="single" w:sz="4" w:space="0" w:color="00000A"/>
              <w:end w:val="single" w:sz="4" w:space="0" w:color="00000A"/>
            </w:tcBorders>
            <w:vAlign w:val="center"/>
          </w:tcPr>
          <w:p>
            <w:pPr>
              <w:pStyle w:val="user6"/>
              <w:spacing w:lineRule="auto" w:line="240"/>
              <w:rPr>
                <w:szCs w:val="24"/>
              </w:rPr>
            </w:pPr>
            <w:r>
              <w:rPr>
                <w:szCs w:val="24"/>
              </w:rPr>
              <w:t>Дата и время резервного копирования</w:t>
            </w:r>
          </w:p>
        </w:tc>
        <w:tc>
          <w:tcPr>
            <w:tcW w:w="5811" w:type="dxa"/>
            <w:tcBorders>
              <w:top w:val="single" w:sz="4" w:space="0" w:color="00000A"/>
              <w:start w:val="single" w:sz="4" w:space="0" w:color="00000A"/>
              <w:bottom w:val="single" w:sz="4" w:space="0" w:color="00000A"/>
              <w:end w:val="single" w:sz="4" w:space="0" w:color="00000A"/>
            </w:tcBorders>
            <w:vAlign w:val="center"/>
          </w:tcPr>
          <w:p>
            <w:pPr>
              <w:pStyle w:val="user6"/>
              <w:spacing w:lineRule="auto" w:line="240"/>
              <w:rPr>
                <w:szCs w:val="24"/>
              </w:rPr>
            </w:pPr>
            <w:r>
              <w:rPr>
                <w:szCs w:val="24"/>
              </w:rPr>
              <w:t>Наименование файла резервной копии, размещенном на сервере</w:t>
            </w:r>
          </w:p>
        </w:tc>
        <w:tc>
          <w:tcPr>
            <w:tcW w:w="4252" w:type="dxa"/>
            <w:tcBorders>
              <w:top w:val="single" w:sz="4" w:space="0" w:color="00000A"/>
              <w:start w:val="single" w:sz="4" w:space="0" w:color="00000A"/>
              <w:bottom w:val="single" w:sz="4" w:space="0" w:color="00000A"/>
              <w:end w:val="single" w:sz="4" w:space="0" w:color="00000A"/>
            </w:tcBorders>
            <w:vAlign w:val="center"/>
          </w:tcPr>
          <w:p>
            <w:pPr>
              <w:pStyle w:val="user6"/>
              <w:spacing w:lineRule="auto" w:line="240"/>
              <w:rPr>
                <w:szCs w:val="24"/>
              </w:rPr>
            </w:pPr>
            <w:r>
              <w:rPr>
                <w:szCs w:val="24"/>
              </w:rPr>
              <w:t>Результат резервного копирования</w:t>
            </w:r>
          </w:p>
        </w:tc>
      </w:tr>
      <w:tr>
        <w:trPr/>
        <w:tc>
          <w:tcPr>
            <w:tcW w:w="999" w:type="dxa"/>
            <w:tcBorders>
              <w:top w:val="single" w:sz="4" w:space="0" w:color="00000A"/>
              <w:start w:val="single" w:sz="4" w:space="0" w:color="00000A"/>
              <w:bottom w:val="single" w:sz="4" w:space="0" w:color="00000A"/>
              <w:end w:val="single" w:sz="4" w:space="0" w:color="00000A"/>
            </w:tcBorders>
            <w:shd w:color="auto" w:fill="FFFFFF" w:val="clear"/>
            <w:vAlign w:val="center"/>
          </w:tcPr>
          <w:p>
            <w:pPr>
              <w:pStyle w:val="user6"/>
              <w:spacing w:lineRule="auto" w:line="240"/>
              <w:rPr>
                <w:szCs w:val="24"/>
              </w:rPr>
            </w:pPr>
            <w:r>
              <w:rPr>
                <w:szCs w:val="24"/>
              </w:rPr>
            </w:r>
          </w:p>
        </w:tc>
        <w:tc>
          <w:tcPr>
            <w:tcW w:w="3968" w:type="dxa"/>
            <w:tcBorders>
              <w:top w:val="single" w:sz="4" w:space="0" w:color="00000A"/>
              <w:start w:val="single" w:sz="4" w:space="0" w:color="00000A"/>
              <w:bottom w:val="single" w:sz="4" w:space="0" w:color="00000A"/>
              <w:end w:val="single" w:sz="4" w:space="0" w:color="00000A"/>
            </w:tcBorders>
            <w:shd w:color="auto" w:fill="FFFFFF" w:val="clear"/>
            <w:vAlign w:val="center"/>
          </w:tcPr>
          <w:p>
            <w:pPr>
              <w:pStyle w:val="user6"/>
              <w:spacing w:lineRule="auto" w:line="240"/>
              <w:rPr>
                <w:szCs w:val="24"/>
              </w:rPr>
            </w:pPr>
            <w:r>
              <w:rPr>
                <w:szCs w:val="24"/>
              </w:rPr>
            </w:r>
          </w:p>
        </w:tc>
        <w:tc>
          <w:tcPr>
            <w:tcW w:w="5811"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c>
          <w:tcPr>
            <w:tcW w:w="4252"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r>
      <w:tr>
        <w:trPr/>
        <w:tc>
          <w:tcPr>
            <w:tcW w:w="999" w:type="dxa"/>
            <w:tcBorders>
              <w:top w:val="single" w:sz="4" w:space="0" w:color="00000A"/>
              <w:start w:val="single" w:sz="4" w:space="0" w:color="00000A"/>
              <w:bottom w:val="single" w:sz="4" w:space="0" w:color="00000A"/>
              <w:end w:val="single" w:sz="4" w:space="0" w:color="00000A"/>
            </w:tcBorders>
            <w:shd w:color="auto" w:fill="FFFFFF" w:val="clear"/>
            <w:vAlign w:val="center"/>
          </w:tcPr>
          <w:p>
            <w:pPr>
              <w:pStyle w:val="user6"/>
              <w:spacing w:lineRule="auto" w:line="240"/>
              <w:rPr>
                <w:szCs w:val="24"/>
              </w:rPr>
            </w:pPr>
            <w:r>
              <w:rPr>
                <w:szCs w:val="24"/>
              </w:rPr>
            </w:r>
          </w:p>
        </w:tc>
        <w:tc>
          <w:tcPr>
            <w:tcW w:w="3968" w:type="dxa"/>
            <w:tcBorders>
              <w:top w:val="single" w:sz="4" w:space="0" w:color="00000A"/>
              <w:start w:val="single" w:sz="4" w:space="0" w:color="00000A"/>
              <w:bottom w:val="single" w:sz="4" w:space="0" w:color="00000A"/>
              <w:end w:val="single" w:sz="4" w:space="0" w:color="00000A"/>
            </w:tcBorders>
            <w:shd w:color="auto" w:fill="FFFFFF" w:val="clear"/>
            <w:vAlign w:val="center"/>
          </w:tcPr>
          <w:p>
            <w:pPr>
              <w:pStyle w:val="user6"/>
              <w:spacing w:lineRule="auto" w:line="240"/>
              <w:rPr>
                <w:szCs w:val="24"/>
              </w:rPr>
            </w:pPr>
            <w:r>
              <w:rPr>
                <w:szCs w:val="24"/>
              </w:rPr>
            </w:r>
          </w:p>
        </w:tc>
        <w:tc>
          <w:tcPr>
            <w:tcW w:w="5811"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c>
          <w:tcPr>
            <w:tcW w:w="4252" w:type="dxa"/>
            <w:tcBorders>
              <w:top w:val="single" w:sz="4" w:space="0" w:color="00000A"/>
              <w:start w:val="single" w:sz="4" w:space="0" w:color="00000A"/>
              <w:bottom w:val="single" w:sz="4" w:space="0" w:color="00000A"/>
              <w:end w:val="single" w:sz="4" w:space="0" w:color="00000A"/>
            </w:tcBorders>
            <w:shd w:color="auto" w:fill="FFFFFF" w:val="clear"/>
          </w:tcPr>
          <w:p>
            <w:pPr>
              <w:pStyle w:val="user6"/>
              <w:spacing w:lineRule="auto" w:line="240"/>
              <w:rPr>
                <w:szCs w:val="24"/>
              </w:rPr>
            </w:pPr>
            <w:r>
              <w:rPr>
                <w:szCs w:val="24"/>
              </w:rPr>
            </w:r>
          </w:p>
        </w:tc>
      </w:tr>
    </w:tbl>
    <w:p>
      <w:pPr>
        <w:pStyle w:val="Normal"/>
        <w:spacing w:lineRule="auto" w:line="240"/>
        <w:rPr>
          <w:sz w:val="24"/>
          <w:szCs w:val="24"/>
        </w:rPr>
      </w:pPr>
      <w:r>
        <w:rPr>
          <w:sz w:val="24"/>
          <w:szCs w:val="24"/>
        </w:rPr>
        <w:t>Количество выполненных операций за период: ________</w:t>
      </w:r>
    </w:p>
    <w:p>
      <w:pPr>
        <w:pStyle w:val="Normal"/>
        <w:tabs>
          <w:tab w:val="clear" w:pos="708"/>
          <w:tab w:val="left" w:pos="1092" w:leader="none"/>
          <w:tab w:val="left" w:pos="3217" w:leader="none"/>
          <w:tab w:val="left" w:pos="10304" w:leader="none"/>
        </w:tabs>
        <w:spacing w:lineRule="auto" w:line="240" w:before="57" w:after="120"/>
        <w:ind w:hanging="0" w:start="93" w:end="284"/>
        <w:jc w:val="start"/>
        <w:rPr>
          <w:sz w:val="24"/>
          <w:szCs w:val="24"/>
        </w:rPr>
      </w:pPr>
      <w:r>
        <w:rPr>
          <w:sz w:val="24"/>
          <w:szCs w:val="24"/>
        </w:rPr>
      </w:r>
    </w:p>
    <w:tbl>
      <w:tblPr>
        <w:tblW w:w="1190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536"/>
        <w:gridCol w:w="2254"/>
        <w:gridCol w:w="5117"/>
      </w:tblGrid>
      <w:tr>
        <w:trPr/>
        <w:tc>
          <w:tcPr>
            <w:tcW w:w="4536" w:type="dxa"/>
            <w:tcBorders/>
          </w:tcPr>
          <w:p>
            <w:pPr>
              <w:pStyle w:val="Normal"/>
              <w:spacing w:lineRule="auto" w:line="240" w:before="120" w:after="120"/>
              <w:ind w:hanging="0" w:start="357"/>
              <w:jc w:val="start"/>
              <w:rPr>
                <w:i/>
                <w:i/>
                <w:iCs/>
                <w:caps/>
                <w:sz w:val="24"/>
                <w:szCs w:val="24"/>
              </w:rPr>
            </w:pPr>
            <w:r>
              <w:rPr>
                <w:sz w:val="24"/>
                <w:szCs w:val="24"/>
              </w:rPr>
              <w:t>Ответственное лицо Исполнителя</w:t>
            </w:r>
          </w:p>
        </w:tc>
        <w:tc>
          <w:tcPr>
            <w:tcW w:w="2254" w:type="dxa"/>
            <w:tcBorders/>
          </w:tcPr>
          <w:p>
            <w:pPr>
              <w:pStyle w:val="Normal"/>
              <w:spacing w:lineRule="auto" w:line="240" w:before="120" w:after="120"/>
              <w:ind w:hanging="0" w:start="357"/>
              <w:jc w:val="start"/>
              <w:rPr>
                <w:sz w:val="24"/>
                <w:szCs w:val="24"/>
              </w:rPr>
            </w:pPr>
            <w:r>
              <w:rPr>
                <w:sz w:val="24"/>
                <w:szCs w:val="24"/>
              </w:rPr>
            </w:r>
          </w:p>
        </w:tc>
        <w:tc>
          <w:tcPr>
            <w:tcW w:w="5117" w:type="dxa"/>
            <w:tcBorders/>
          </w:tcPr>
          <w:p>
            <w:pPr>
              <w:pStyle w:val="Normal"/>
              <w:spacing w:lineRule="auto" w:line="240" w:before="120" w:after="120"/>
              <w:ind w:hanging="0" w:start="357"/>
              <w:jc w:val="start"/>
              <w:rPr>
                <w:sz w:val="24"/>
                <w:szCs w:val="24"/>
              </w:rPr>
            </w:pPr>
            <w:r>
              <w:rPr>
                <w:sz w:val="24"/>
                <w:szCs w:val="24"/>
              </w:rPr>
              <w:t>Ответственное лицо Заказчика</w:t>
            </w:r>
          </w:p>
        </w:tc>
      </w:tr>
      <w:tr>
        <w:trPr/>
        <w:tc>
          <w:tcPr>
            <w:tcW w:w="4536" w:type="dxa"/>
            <w:tcBorders/>
          </w:tcPr>
          <w:p>
            <w:pPr>
              <w:pStyle w:val="Normal"/>
              <w:spacing w:lineRule="auto" w:line="240" w:before="120" w:after="120"/>
              <w:ind w:hanging="0" w:start="357"/>
              <w:jc w:val="start"/>
              <w:rPr>
                <w:i/>
                <w:i/>
                <w:iCs/>
                <w:caps/>
                <w:sz w:val="24"/>
                <w:szCs w:val="24"/>
              </w:rPr>
            </w:pPr>
            <w:r>
              <w:rPr>
                <w:sz w:val="24"/>
                <w:szCs w:val="24"/>
              </w:rPr>
              <w:t>ФИО ____________________</w:t>
            </w:r>
          </w:p>
          <w:p>
            <w:pPr>
              <w:pStyle w:val="Normal"/>
              <w:spacing w:lineRule="auto" w:line="240"/>
              <w:ind w:hanging="0" w:start="357"/>
              <w:jc w:val="start"/>
              <w:rPr>
                <w:i/>
                <w:i/>
                <w:iCs/>
                <w:caps/>
                <w:sz w:val="24"/>
                <w:szCs w:val="24"/>
              </w:rPr>
            </w:pPr>
            <w:r>
              <w:rPr>
                <w:sz w:val="24"/>
                <w:szCs w:val="24"/>
              </w:rPr>
              <w:t>Должность _______________</w:t>
            </w:r>
          </w:p>
          <w:p>
            <w:pPr>
              <w:pStyle w:val="Normal"/>
              <w:spacing w:lineRule="auto" w:line="240" w:before="120" w:after="120"/>
              <w:ind w:hanging="0" w:start="357"/>
              <w:jc w:val="start"/>
              <w:rPr>
                <w:i/>
                <w:i/>
                <w:iCs/>
                <w:caps/>
                <w:sz w:val="24"/>
                <w:szCs w:val="24"/>
              </w:rPr>
            </w:pPr>
            <w:r>
              <w:rPr>
                <w:sz w:val="24"/>
                <w:szCs w:val="24"/>
              </w:rPr>
              <w:t>Подпись _________________</w:t>
            </w:r>
          </w:p>
        </w:tc>
        <w:tc>
          <w:tcPr>
            <w:tcW w:w="2254" w:type="dxa"/>
            <w:tcBorders/>
          </w:tcPr>
          <w:p>
            <w:pPr>
              <w:pStyle w:val="Normal"/>
              <w:spacing w:lineRule="auto" w:line="240" w:before="120" w:after="120"/>
              <w:ind w:hanging="0" w:start="357"/>
              <w:jc w:val="start"/>
              <w:rPr>
                <w:i/>
                <w:i/>
                <w:sz w:val="24"/>
                <w:szCs w:val="24"/>
                <w:u w:val="single"/>
              </w:rPr>
            </w:pPr>
            <w:r>
              <w:rPr>
                <w:i/>
                <w:sz w:val="24"/>
                <w:szCs w:val="24"/>
                <w:u w:val="single"/>
              </w:rPr>
            </w:r>
          </w:p>
        </w:tc>
        <w:tc>
          <w:tcPr>
            <w:tcW w:w="5117" w:type="dxa"/>
            <w:tcBorders/>
          </w:tcPr>
          <w:p>
            <w:pPr>
              <w:pStyle w:val="Normal"/>
              <w:spacing w:lineRule="auto" w:line="240" w:before="120" w:after="120"/>
              <w:ind w:hanging="0" w:start="357"/>
              <w:rPr>
                <w:i/>
                <w:i/>
                <w:iCs/>
                <w:caps/>
                <w:sz w:val="24"/>
                <w:szCs w:val="24"/>
              </w:rPr>
            </w:pPr>
            <w:r>
              <w:rPr>
                <w:sz w:val="24"/>
                <w:szCs w:val="24"/>
              </w:rPr>
              <w:t>ФИО ____________________</w:t>
            </w:r>
          </w:p>
          <w:p>
            <w:pPr>
              <w:pStyle w:val="Normal"/>
              <w:spacing w:lineRule="auto" w:line="240"/>
              <w:ind w:hanging="0" w:start="357"/>
              <w:rPr>
                <w:i/>
                <w:i/>
                <w:iCs/>
                <w:caps/>
                <w:sz w:val="24"/>
                <w:szCs w:val="24"/>
              </w:rPr>
            </w:pPr>
            <w:r>
              <w:rPr>
                <w:sz w:val="24"/>
                <w:szCs w:val="24"/>
              </w:rPr>
              <w:t>Должность _______________</w:t>
            </w:r>
          </w:p>
          <w:p>
            <w:pPr>
              <w:pStyle w:val="Normal"/>
              <w:spacing w:lineRule="auto" w:line="240" w:before="120" w:after="120"/>
              <w:ind w:hanging="0" w:start="357"/>
              <w:rPr>
                <w:i/>
                <w:i/>
                <w:iCs/>
                <w:caps/>
                <w:sz w:val="24"/>
                <w:szCs w:val="24"/>
              </w:rPr>
            </w:pPr>
            <w:r>
              <w:rPr>
                <w:sz w:val="24"/>
                <w:szCs w:val="24"/>
              </w:rPr>
              <w:t>Подпись _________________</w:t>
            </w:r>
          </w:p>
        </w:tc>
      </w:tr>
    </w:tbl>
    <w:p>
      <w:pPr>
        <w:pStyle w:val="Normal"/>
        <w:spacing w:lineRule="auto" w:line="240" w:before="0" w:after="0"/>
        <w:ind w:hanging="0" w:start="0"/>
        <w:jc w:val="start"/>
        <w:rPr>
          <w:b/>
          <w:bCs/>
          <w:sz w:val="24"/>
          <w:szCs w:val="24"/>
          <w:lang w:eastAsia="ru-RU"/>
        </w:rPr>
      </w:pPr>
      <w:r>
        <w:rPr>
          <w:b/>
          <w:bCs/>
          <w:sz w:val="24"/>
          <w:szCs w:val="24"/>
          <w:lang w:eastAsia="ru-RU"/>
        </w:rPr>
      </w:r>
      <w:bookmarkStart w:id="286" w:name="_Hlk177653288_Копия_1"/>
      <w:bookmarkStart w:id="287" w:name="_Hlk177653288_Копия_1"/>
      <w:bookmarkEnd w:id="287"/>
    </w:p>
    <w:p>
      <w:pPr>
        <w:pStyle w:val="Normal"/>
        <w:spacing w:lineRule="auto" w:line="240" w:before="0" w:after="0"/>
        <w:ind w:hanging="0" w:start="0"/>
        <w:jc w:val="start"/>
        <w:rPr>
          <w:b/>
          <w:bCs/>
          <w:sz w:val="24"/>
          <w:szCs w:val="24"/>
          <w:lang w:eastAsia="ru-RU"/>
        </w:rPr>
      </w:pPr>
      <w:r>
        <w:rPr>
          <w:b/>
          <w:bCs/>
          <w:sz w:val="24"/>
          <w:szCs w:val="24"/>
          <w:lang w:eastAsia="ru-RU"/>
        </w:rPr>
      </w:r>
      <w:r>
        <w:br w:type="page"/>
      </w:r>
    </w:p>
    <w:p>
      <w:pPr>
        <w:pStyle w:val="1SLA"/>
        <w:numPr>
          <w:ilvl w:val="0"/>
          <w:numId w:val="46"/>
        </w:numPr>
        <w:tabs>
          <w:tab w:val="clear" w:pos="708"/>
          <w:tab w:val="left" w:pos="1134" w:leader="none"/>
        </w:tabs>
        <w:spacing w:lineRule="auto" w:line="276" w:before="0" w:after="160"/>
        <w:ind w:hanging="357" w:start="2200"/>
        <w:jc w:val="end"/>
        <w:rPr>
          <w:sz w:val="24"/>
          <w:szCs w:val="24"/>
        </w:rPr>
      </w:pPr>
      <w:bookmarkStart w:id="288" w:name="__RefHeading___Toc33586_3559854210"/>
      <w:bookmarkStart w:id="289" w:name="_Toc176951305"/>
      <w:bookmarkStart w:id="290" w:name="_Toc215755911"/>
      <w:bookmarkStart w:id="291" w:name="_Toc482983028"/>
      <w:bookmarkEnd w:id="288"/>
      <w:r>
        <w:rPr>
          <w:sz w:val="24"/>
          <w:szCs w:val="24"/>
        </w:rPr>
        <w:t xml:space="preserve">Форма Журнала обслуживания </w:t>
      </w:r>
      <w:bookmarkEnd w:id="291"/>
      <w:r>
        <w:rPr>
          <w:sz w:val="24"/>
          <w:szCs w:val="24"/>
        </w:rPr>
        <w:t>Системы</w:t>
      </w:r>
      <w:bookmarkEnd w:id="289"/>
      <w:bookmarkEnd w:id="290"/>
    </w:p>
    <w:p>
      <w:pPr>
        <w:pStyle w:val="Normal"/>
        <w:spacing w:lineRule="auto" w:line="240" w:before="0" w:after="0"/>
        <w:ind w:hanging="0" w:start="0"/>
        <w:jc w:val="start"/>
        <w:rPr>
          <w:sz w:val="24"/>
          <w:szCs w:val="24"/>
          <w:lang w:eastAsia="ru-RU"/>
        </w:rPr>
      </w:pPr>
      <w:r>
        <w:rPr>
          <w:sz w:val="24"/>
          <w:szCs w:val="24"/>
          <w:lang w:eastAsia="ru-RU"/>
        </w:rPr>
      </w:r>
    </w:p>
    <w:p>
      <w:pPr>
        <w:pStyle w:val="Normal"/>
        <w:spacing w:lineRule="auto" w:line="240" w:before="0" w:after="0"/>
        <w:ind w:firstLine="709" w:start="0"/>
        <w:jc w:val="center"/>
        <w:rPr>
          <w:rFonts w:eastAsia="Batang"/>
          <w:sz w:val="24"/>
          <w:szCs w:val="24"/>
        </w:rPr>
      </w:pPr>
      <w:r>
        <w:rPr>
          <w:rFonts w:eastAsia="Batang"/>
          <w:bCs/>
          <w:sz w:val="24"/>
          <w:szCs w:val="24"/>
        </w:rPr>
        <w:t xml:space="preserve">Журнал обслуживания Системы </w:t>
        <w:br/>
      </w:r>
      <w:r>
        <w:rPr>
          <w:rFonts w:eastAsia="Batang"/>
          <w:sz w:val="24"/>
          <w:szCs w:val="24"/>
        </w:rPr>
        <w:t>по Договору от «___»</w:t>
      </w:r>
      <w:r>
        <w:rPr>
          <w:rFonts w:eastAsia="Batang"/>
          <w:sz w:val="24"/>
          <w:szCs w:val="24"/>
          <w:u w:val="single"/>
        </w:rPr>
        <w:t xml:space="preserve">                  </w:t>
      </w:r>
      <w:r>
        <w:rPr>
          <w:rFonts w:eastAsia="Batang"/>
          <w:sz w:val="24"/>
          <w:szCs w:val="24"/>
        </w:rPr>
        <w:t>202_ г. №__________________</w:t>
      </w:r>
    </w:p>
    <w:p>
      <w:pPr>
        <w:pStyle w:val="Normal"/>
        <w:spacing w:lineRule="auto" w:line="240" w:before="0" w:after="0"/>
        <w:ind w:firstLine="709" w:start="0"/>
        <w:jc w:val="center"/>
        <w:rPr>
          <w:rFonts w:eastAsia="Batang"/>
          <w:bCs/>
          <w:sz w:val="24"/>
          <w:szCs w:val="24"/>
        </w:rPr>
      </w:pPr>
      <w:r>
        <w:rPr>
          <w:rFonts w:eastAsia="Batang"/>
          <w:sz w:val="24"/>
          <w:szCs w:val="24"/>
        </w:rPr>
        <w:t>за период с __________ по __________</w:t>
      </w:r>
    </w:p>
    <w:p>
      <w:pPr>
        <w:pStyle w:val="Normal"/>
        <w:spacing w:lineRule="auto" w:line="240" w:before="0" w:after="0"/>
        <w:ind w:firstLine="709" w:start="0"/>
        <w:rPr>
          <w:rFonts w:eastAsia="Batang"/>
          <w:sz w:val="24"/>
          <w:szCs w:val="24"/>
        </w:rPr>
      </w:pPr>
      <w:r>
        <w:rPr>
          <w:rFonts w:eastAsia="Batang"/>
          <w:sz w:val="24"/>
          <w:szCs w:val="24"/>
        </w:rPr>
      </w:r>
    </w:p>
    <w:tbl>
      <w:tblPr>
        <w:tblW w:w="14565" w:type="dxa"/>
        <w:jc w:val="start"/>
        <w:tblInd w:w="84" w:type="dxa"/>
        <w:tblLayout w:type="fixed"/>
        <w:tblCellMar>
          <w:top w:w="0" w:type="dxa"/>
          <w:start w:w="108" w:type="dxa"/>
          <w:bottom w:w="0" w:type="dxa"/>
          <w:end w:w="108" w:type="dxa"/>
        </w:tblCellMar>
        <w:tblLook w:val="04a0" w:noHBand="0" w:noVBand="1" w:firstColumn="1" w:lastRow="0" w:lastColumn="0" w:firstRow="1"/>
      </w:tblPr>
      <w:tblGrid>
        <w:gridCol w:w="2474"/>
        <w:gridCol w:w="2055"/>
        <w:gridCol w:w="1426"/>
        <w:gridCol w:w="1576"/>
        <w:gridCol w:w="3315"/>
        <w:gridCol w:w="3718"/>
      </w:tblGrid>
      <w:tr>
        <w:trPr>
          <w:trHeight w:val="20" w:hRule="atLeast"/>
        </w:trPr>
        <w:tc>
          <w:tcPr>
            <w:tcW w:w="24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Уникальный идентификатор (номер) операции.</w:t>
            </w:r>
          </w:p>
        </w:tc>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Дата и время выполнения операции</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Вид операции</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Описание операции</w:t>
            </w:r>
          </w:p>
        </w:tc>
        <w:tc>
          <w:tcPr>
            <w:tcW w:w="33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Фамилия, имя, отчество сотрудника, выполнившего операцию</w:t>
            </w:r>
          </w:p>
        </w:tc>
        <w:tc>
          <w:tcPr>
            <w:tcW w:w="37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Уникальный идентификатор обращения, с которым связана операция (при наличии)</w:t>
            </w:r>
          </w:p>
        </w:tc>
      </w:tr>
      <w:tr>
        <w:trPr>
          <w:trHeight w:val="20" w:hRule="atLeast"/>
        </w:trPr>
        <w:tc>
          <w:tcPr>
            <w:tcW w:w="2474"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2055"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142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157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33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c>
          <w:tcPr>
            <w:tcW w:w="371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4"/>
                <w:szCs w:val="24"/>
                <w:lang w:eastAsia="ru-RU"/>
              </w:rPr>
            </w:pPr>
            <w:r>
              <w:rPr>
                <w:rFonts w:eastAsia="Batang"/>
                <w:sz w:val="24"/>
                <w:szCs w:val="24"/>
                <w:lang w:eastAsia="ru-RU"/>
              </w:rPr>
            </w:r>
          </w:p>
        </w:tc>
      </w:tr>
    </w:tbl>
    <w:p>
      <w:pPr>
        <w:pStyle w:val="Normal"/>
        <w:spacing w:lineRule="auto" w:line="240" w:before="0" w:after="0"/>
        <w:ind w:firstLine="709" w:start="0"/>
        <w:rPr>
          <w:rFonts w:eastAsia="Batang"/>
          <w:sz w:val="24"/>
          <w:szCs w:val="24"/>
        </w:rPr>
      </w:pPr>
      <w:r>
        <w:rPr>
          <w:rFonts w:eastAsia="Batang"/>
          <w:sz w:val="24"/>
          <w:szCs w:val="24"/>
        </w:rPr>
      </w:r>
    </w:p>
    <w:p>
      <w:pPr>
        <w:pStyle w:val="Normal"/>
        <w:spacing w:lineRule="auto" w:line="240" w:before="0" w:after="120"/>
        <w:ind w:firstLine="709" w:start="0"/>
        <w:rPr>
          <w:rFonts w:eastAsia="Batang"/>
          <w:sz w:val="24"/>
          <w:szCs w:val="24"/>
        </w:rPr>
      </w:pPr>
      <w:r>
        <w:rPr>
          <w:rFonts w:eastAsia="Batang"/>
          <w:sz w:val="24"/>
          <w:szCs w:val="24"/>
        </w:rPr>
        <w:t>Количество выполненных операций обслуживания за период:</w:t>
      </w:r>
    </w:p>
    <w:tbl>
      <w:tblPr>
        <w:tblW w:w="14520" w:type="dxa"/>
        <w:jc w:val="start"/>
        <w:tblInd w:w="109" w:type="dxa"/>
        <w:tblLayout w:type="fixed"/>
        <w:tblCellMar>
          <w:top w:w="0" w:type="dxa"/>
          <w:start w:w="108" w:type="dxa"/>
          <w:bottom w:w="0" w:type="dxa"/>
          <w:end w:w="108" w:type="dxa"/>
        </w:tblCellMar>
        <w:tblLook w:val="04a0" w:noHBand="0" w:noVBand="1" w:firstColumn="1" w:lastRow="0" w:lastColumn="0" w:firstRow="1"/>
      </w:tblPr>
      <w:tblGrid>
        <w:gridCol w:w="8849"/>
        <w:gridCol w:w="5670"/>
      </w:tblGrid>
      <w:tr>
        <w:trPr>
          <w:trHeight w:val="227" w:hRule="atLeast"/>
        </w:trPr>
        <w:tc>
          <w:tcPr>
            <w:tcW w:w="88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b/>
                <w:sz w:val="24"/>
                <w:szCs w:val="24"/>
              </w:rPr>
            </w:pPr>
            <w:r>
              <w:rPr>
                <w:rFonts w:eastAsia="Batang"/>
                <w:b/>
                <w:sz w:val="24"/>
                <w:szCs w:val="24"/>
              </w:rPr>
              <w:t>Вид операции</w:t>
            </w:r>
          </w:p>
        </w:tc>
        <w:tc>
          <w:tcPr>
            <w:tcW w:w="56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b/>
                <w:sz w:val="24"/>
                <w:szCs w:val="24"/>
              </w:rPr>
            </w:pPr>
            <w:r>
              <w:rPr>
                <w:rFonts w:eastAsia="Batang"/>
                <w:b/>
                <w:sz w:val="24"/>
                <w:szCs w:val="24"/>
              </w:rPr>
              <w:t>Количество выполненных операций</w:t>
            </w:r>
          </w:p>
        </w:tc>
      </w:tr>
      <w:tr>
        <w:trPr>
          <w:trHeight w:val="104" w:hRule="atLeast"/>
        </w:trPr>
        <w:tc>
          <w:tcPr>
            <w:tcW w:w="88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t>установка обновлений СПО Системы</w:t>
            </w:r>
          </w:p>
        </w:tc>
        <w:tc>
          <w:tcPr>
            <w:tcW w:w="56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r>
          </w:p>
        </w:tc>
      </w:tr>
      <w:tr>
        <w:trPr>
          <w:trHeight w:val="227" w:hRule="atLeast"/>
        </w:trPr>
        <w:tc>
          <w:tcPr>
            <w:tcW w:w="88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t>установка обновлений ОС Системы</w:t>
            </w:r>
          </w:p>
        </w:tc>
        <w:tc>
          <w:tcPr>
            <w:tcW w:w="56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r>
          </w:p>
        </w:tc>
      </w:tr>
      <w:tr>
        <w:trPr>
          <w:trHeight w:val="227" w:hRule="atLeast"/>
        </w:trPr>
        <w:tc>
          <w:tcPr>
            <w:tcW w:w="88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t>установка обновлений ОПО Системы</w:t>
            </w:r>
          </w:p>
        </w:tc>
        <w:tc>
          <w:tcPr>
            <w:tcW w:w="56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r>
          </w:p>
        </w:tc>
      </w:tr>
      <w:tr>
        <w:trPr>
          <w:trHeight w:val="227" w:hRule="atLeast"/>
        </w:trPr>
        <w:tc>
          <w:tcPr>
            <w:tcW w:w="88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t>внесение изменений в настройки СПО Системы</w:t>
            </w:r>
          </w:p>
        </w:tc>
        <w:tc>
          <w:tcPr>
            <w:tcW w:w="56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r>
          </w:p>
        </w:tc>
      </w:tr>
      <w:tr>
        <w:trPr>
          <w:trHeight w:val="227" w:hRule="atLeast"/>
        </w:trPr>
        <w:tc>
          <w:tcPr>
            <w:tcW w:w="88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t>внесение изменений в настройки ОС/ОПО Системы</w:t>
            </w:r>
          </w:p>
        </w:tc>
        <w:tc>
          <w:tcPr>
            <w:tcW w:w="56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r>
          </w:p>
        </w:tc>
      </w:tr>
      <w:tr>
        <w:trPr>
          <w:trHeight w:val="227" w:hRule="atLeast"/>
        </w:trPr>
        <w:tc>
          <w:tcPr>
            <w:tcW w:w="88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t>регламентное обслуживание ОС/ОПО/СПО Системы</w:t>
            </w:r>
          </w:p>
        </w:tc>
        <w:tc>
          <w:tcPr>
            <w:tcW w:w="56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r>
          </w:p>
        </w:tc>
      </w:tr>
      <w:tr>
        <w:trPr>
          <w:trHeight w:val="227" w:hRule="atLeast"/>
        </w:trPr>
        <w:tc>
          <w:tcPr>
            <w:tcW w:w="88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t>устранение дефектов ОС/ОПО/СПО</w:t>
            </w:r>
          </w:p>
        </w:tc>
        <w:tc>
          <w:tcPr>
            <w:tcW w:w="56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r>
          </w:p>
        </w:tc>
      </w:tr>
      <w:tr>
        <w:trPr>
          <w:trHeight w:val="227" w:hRule="atLeast"/>
        </w:trPr>
        <w:tc>
          <w:tcPr>
            <w:tcW w:w="88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t>анализ данных, поиск и устранение противоречий данных</w:t>
            </w:r>
          </w:p>
        </w:tc>
        <w:tc>
          <w:tcPr>
            <w:tcW w:w="567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rPr>
                <w:rFonts w:eastAsia="Batang"/>
                <w:sz w:val="24"/>
                <w:szCs w:val="24"/>
              </w:rPr>
            </w:pPr>
            <w:r>
              <w:rPr>
                <w:rFonts w:eastAsia="Batang"/>
                <w:sz w:val="24"/>
                <w:szCs w:val="24"/>
              </w:rPr>
            </w:r>
          </w:p>
        </w:tc>
      </w:tr>
    </w:tbl>
    <w:p>
      <w:pPr>
        <w:pStyle w:val="Normal"/>
        <w:spacing w:lineRule="auto" w:line="240" w:before="0" w:after="0"/>
        <w:ind w:hanging="0" w:start="0"/>
        <w:jc w:val="start"/>
        <w:rPr>
          <w:rFonts w:eastAsia="Batang"/>
          <w:sz w:val="24"/>
          <w:szCs w:val="24"/>
          <w:lang w:eastAsia="ru-RU"/>
        </w:rPr>
      </w:pPr>
      <w:r>
        <w:rPr>
          <w:rFonts w:eastAsia="Batang"/>
          <w:sz w:val="24"/>
          <w:szCs w:val="24"/>
          <w:lang w:eastAsia="ru-RU"/>
        </w:rPr>
      </w:r>
    </w:p>
    <w:tbl>
      <w:tblPr>
        <w:tblW w:w="11907"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4536"/>
        <w:gridCol w:w="2254"/>
        <w:gridCol w:w="5117"/>
      </w:tblGrid>
      <w:tr>
        <w:trPr/>
        <w:tc>
          <w:tcPr>
            <w:tcW w:w="4536" w:type="dxa"/>
            <w:tcBorders/>
          </w:tcPr>
          <w:p>
            <w:pPr>
              <w:pStyle w:val="Normal"/>
              <w:spacing w:lineRule="auto" w:line="240" w:before="0" w:after="0"/>
              <w:ind w:hanging="0" w:start="0"/>
              <w:jc w:val="start"/>
              <w:rPr>
                <w:rFonts w:eastAsia="Batang"/>
                <w:i/>
                <w:i/>
                <w:iCs/>
                <w:caps/>
                <w:sz w:val="24"/>
                <w:szCs w:val="24"/>
              </w:rPr>
            </w:pPr>
            <w:r>
              <w:rPr>
                <w:rFonts w:eastAsia="Batang"/>
                <w:sz w:val="24"/>
                <w:szCs w:val="24"/>
              </w:rPr>
              <w:t>Ответственное лицо Исполнителя</w:t>
            </w:r>
          </w:p>
        </w:tc>
        <w:tc>
          <w:tcPr>
            <w:tcW w:w="2254" w:type="dxa"/>
            <w:tcBorders/>
          </w:tcPr>
          <w:p>
            <w:pPr>
              <w:pStyle w:val="Normal"/>
              <w:spacing w:lineRule="auto" w:line="240" w:before="0" w:after="0"/>
              <w:ind w:hanging="0" w:start="0"/>
              <w:jc w:val="start"/>
              <w:rPr>
                <w:rFonts w:eastAsia="Batang"/>
                <w:sz w:val="24"/>
                <w:szCs w:val="24"/>
              </w:rPr>
            </w:pPr>
            <w:r>
              <w:rPr>
                <w:rFonts w:eastAsia="Batang"/>
                <w:sz w:val="24"/>
                <w:szCs w:val="24"/>
              </w:rPr>
            </w:r>
          </w:p>
        </w:tc>
        <w:tc>
          <w:tcPr>
            <w:tcW w:w="5117" w:type="dxa"/>
            <w:tcBorders/>
          </w:tcPr>
          <w:p>
            <w:pPr>
              <w:pStyle w:val="Normal"/>
              <w:spacing w:lineRule="auto" w:line="240" w:before="0" w:after="0"/>
              <w:ind w:hanging="0" w:start="0"/>
              <w:jc w:val="start"/>
              <w:rPr>
                <w:rFonts w:eastAsia="Batang"/>
                <w:sz w:val="24"/>
                <w:szCs w:val="24"/>
              </w:rPr>
            </w:pPr>
            <w:r>
              <w:rPr>
                <w:rFonts w:eastAsia="Batang"/>
                <w:sz w:val="24"/>
                <w:szCs w:val="24"/>
              </w:rPr>
              <w:t>Ответственное лицо Заказчика</w:t>
            </w:r>
          </w:p>
        </w:tc>
      </w:tr>
      <w:tr>
        <w:trPr>
          <w:trHeight w:val="874" w:hRule="atLeast"/>
        </w:trPr>
        <w:tc>
          <w:tcPr>
            <w:tcW w:w="4536" w:type="dxa"/>
            <w:tcBorders/>
          </w:tcPr>
          <w:p>
            <w:pPr>
              <w:pStyle w:val="Normal"/>
              <w:spacing w:lineRule="auto" w:line="240" w:before="0" w:after="0"/>
              <w:ind w:hanging="0" w:start="0"/>
              <w:jc w:val="start"/>
              <w:rPr>
                <w:rFonts w:eastAsia="Batang"/>
                <w:i/>
                <w:i/>
                <w:iCs/>
                <w:caps/>
                <w:sz w:val="24"/>
                <w:szCs w:val="24"/>
              </w:rPr>
            </w:pPr>
            <w:r>
              <w:rPr>
                <w:rFonts w:eastAsia="Batang"/>
                <w:sz w:val="24"/>
                <w:szCs w:val="24"/>
              </w:rPr>
              <w:t>ФИО ____________________</w:t>
            </w:r>
          </w:p>
          <w:p>
            <w:pPr>
              <w:pStyle w:val="Normal"/>
              <w:spacing w:lineRule="auto" w:line="240" w:before="0" w:after="0"/>
              <w:ind w:hanging="0" w:start="0"/>
              <w:jc w:val="start"/>
              <w:rPr>
                <w:rFonts w:eastAsia="Batang"/>
                <w:i/>
                <w:i/>
                <w:iCs/>
                <w:caps/>
                <w:sz w:val="24"/>
                <w:szCs w:val="24"/>
              </w:rPr>
            </w:pPr>
            <w:r>
              <w:rPr>
                <w:rFonts w:eastAsia="Batang"/>
                <w:sz w:val="24"/>
                <w:szCs w:val="24"/>
              </w:rPr>
              <w:t>Должность _______________</w:t>
            </w:r>
          </w:p>
          <w:p>
            <w:pPr>
              <w:pStyle w:val="Normal"/>
              <w:spacing w:lineRule="auto" w:line="240" w:before="0" w:after="0"/>
              <w:ind w:hanging="0" w:start="0"/>
              <w:jc w:val="start"/>
              <w:rPr>
                <w:rFonts w:eastAsia="Batang"/>
                <w:i/>
                <w:i/>
                <w:iCs/>
                <w:caps/>
                <w:sz w:val="24"/>
                <w:szCs w:val="24"/>
              </w:rPr>
            </w:pPr>
            <w:r>
              <w:rPr>
                <w:rFonts w:eastAsia="Batang"/>
                <w:sz w:val="24"/>
                <w:szCs w:val="24"/>
              </w:rPr>
              <w:t>Подпись _________________</w:t>
            </w:r>
          </w:p>
        </w:tc>
        <w:tc>
          <w:tcPr>
            <w:tcW w:w="2254" w:type="dxa"/>
            <w:tcBorders/>
          </w:tcPr>
          <w:p>
            <w:pPr>
              <w:pStyle w:val="Normal"/>
              <w:spacing w:lineRule="auto" w:line="240" w:before="0" w:after="0"/>
              <w:ind w:hanging="0" w:start="0"/>
              <w:jc w:val="start"/>
              <w:rPr>
                <w:rFonts w:eastAsia="Batang"/>
                <w:i/>
                <w:i/>
                <w:sz w:val="24"/>
                <w:szCs w:val="24"/>
                <w:u w:val="single"/>
              </w:rPr>
            </w:pPr>
            <w:r>
              <w:rPr>
                <w:rFonts w:eastAsia="Batang"/>
                <w:i/>
                <w:sz w:val="24"/>
                <w:szCs w:val="24"/>
                <w:u w:val="single"/>
              </w:rPr>
            </w:r>
          </w:p>
        </w:tc>
        <w:tc>
          <w:tcPr>
            <w:tcW w:w="5117" w:type="dxa"/>
            <w:tcBorders/>
          </w:tcPr>
          <w:p>
            <w:pPr>
              <w:pStyle w:val="Normal"/>
              <w:spacing w:lineRule="auto" w:line="240" w:before="0" w:after="0"/>
              <w:ind w:hanging="0" w:start="0"/>
              <w:rPr>
                <w:rFonts w:eastAsia="Batang"/>
                <w:i/>
                <w:i/>
                <w:iCs/>
                <w:caps/>
                <w:sz w:val="24"/>
                <w:szCs w:val="24"/>
              </w:rPr>
            </w:pPr>
            <w:r>
              <w:rPr>
                <w:rFonts w:eastAsia="Batang"/>
                <w:sz w:val="24"/>
                <w:szCs w:val="24"/>
              </w:rPr>
              <w:t>ФИО ____________________</w:t>
            </w:r>
          </w:p>
          <w:p>
            <w:pPr>
              <w:pStyle w:val="Normal"/>
              <w:spacing w:lineRule="auto" w:line="240" w:before="0" w:after="0"/>
              <w:ind w:hanging="0" w:start="0"/>
              <w:rPr>
                <w:rFonts w:eastAsia="Batang"/>
                <w:i/>
                <w:i/>
                <w:iCs/>
                <w:caps/>
                <w:sz w:val="24"/>
                <w:szCs w:val="24"/>
              </w:rPr>
            </w:pPr>
            <w:r>
              <w:rPr>
                <w:rFonts w:eastAsia="Batang"/>
                <w:sz w:val="24"/>
                <w:szCs w:val="24"/>
              </w:rPr>
              <w:t>Должность ______________</w:t>
            </w:r>
          </w:p>
          <w:p>
            <w:pPr>
              <w:pStyle w:val="Normal"/>
              <w:spacing w:lineRule="auto" w:line="240" w:before="0" w:after="0"/>
              <w:ind w:hanging="0" w:start="0"/>
              <w:rPr>
                <w:rFonts w:eastAsia="Batang"/>
                <w:sz w:val="24"/>
                <w:szCs w:val="24"/>
              </w:rPr>
            </w:pPr>
            <w:r>
              <w:rPr>
                <w:rFonts w:eastAsia="Batang"/>
                <w:sz w:val="24"/>
                <w:szCs w:val="24"/>
              </w:rPr>
              <w:t>Подпись ________________</w:t>
            </w:r>
            <w:bookmarkStart w:id="292" w:name="_Hlk177653545"/>
            <w:bookmarkEnd w:id="292"/>
          </w:p>
        </w:tc>
      </w:tr>
    </w:tbl>
    <w:p>
      <w:pPr>
        <w:pStyle w:val="Normal"/>
        <w:spacing w:lineRule="auto" w:line="240" w:before="0" w:after="0"/>
        <w:ind w:hanging="0" w:start="0"/>
        <w:jc w:val="start"/>
        <w:rPr>
          <w:b/>
          <w:bCs/>
          <w:sz w:val="24"/>
          <w:szCs w:val="24"/>
          <w:lang w:eastAsia="ru-RU"/>
        </w:rPr>
      </w:pPr>
      <w:r>
        <w:rPr>
          <w:b/>
          <w:bCs/>
          <w:sz w:val="24"/>
          <w:szCs w:val="24"/>
          <w:lang w:eastAsia="ru-RU"/>
        </w:rPr>
      </w:r>
    </w:p>
    <w:p>
      <w:pPr>
        <w:pStyle w:val="Normal"/>
        <w:spacing w:lineRule="auto" w:line="240" w:before="0" w:after="0"/>
        <w:ind w:hanging="0" w:start="0"/>
        <w:jc w:val="start"/>
        <w:rPr>
          <w:b/>
          <w:bCs/>
          <w:sz w:val="24"/>
          <w:szCs w:val="24"/>
          <w:lang w:eastAsia="ru-RU"/>
        </w:rPr>
      </w:pPr>
      <w:r>
        <w:rPr>
          <w:b/>
          <w:bCs/>
          <w:sz w:val="24"/>
          <w:szCs w:val="24"/>
          <w:lang w:eastAsia="ru-RU"/>
        </w:rPr>
      </w:r>
      <w:r>
        <w:br w:type="page"/>
      </w:r>
    </w:p>
    <w:p>
      <w:pPr>
        <w:pStyle w:val="1SLA"/>
        <w:numPr>
          <w:ilvl w:val="0"/>
          <w:numId w:val="47"/>
        </w:numPr>
        <w:tabs>
          <w:tab w:val="clear" w:pos="708"/>
          <w:tab w:val="left" w:pos="1134" w:leader="none"/>
        </w:tabs>
        <w:spacing w:lineRule="auto" w:line="276" w:before="0" w:after="160"/>
        <w:ind w:hanging="357" w:start="2200"/>
        <w:jc w:val="end"/>
        <w:rPr>
          <w:sz w:val="24"/>
          <w:szCs w:val="24"/>
        </w:rPr>
      </w:pPr>
      <w:bookmarkStart w:id="293" w:name="__RefHeading___Toc33588_3559854210"/>
      <w:bookmarkStart w:id="294" w:name="_Toc215755912"/>
      <w:bookmarkStart w:id="295" w:name="_Toc176951306"/>
      <w:bookmarkEnd w:id="293"/>
      <w:r>
        <w:rPr>
          <w:sz w:val="24"/>
          <w:szCs w:val="24"/>
        </w:rPr>
        <w:t>Форма Журнала обслуживания пользователей</w:t>
      </w:r>
      <w:bookmarkEnd w:id="294"/>
      <w:bookmarkEnd w:id="295"/>
    </w:p>
    <w:p>
      <w:pPr>
        <w:pStyle w:val="Normal"/>
        <w:spacing w:lineRule="auto" w:line="276" w:before="120" w:after="0"/>
        <w:contextualSpacing/>
        <w:jc w:val="center"/>
        <w:rPr>
          <w:bCs/>
          <w:sz w:val="24"/>
          <w:szCs w:val="24"/>
        </w:rPr>
      </w:pPr>
      <w:r>
        <w:rPr>
          <w:bCs/>
          <w:sz w:val="24"/>
          <w:szCs w:val="24"/>
        </w:rPr>
      </w:r>
    </w:p>
    <w:p>
      <w:pPr>
        <w:pStyle w:val="Normal"/>
        <w:spacing w:lineRule="auto" w:line="276" w:before="120" w:after="0"/>
        <w:contextualSpacing/>
        <w:jc w:val="center"/>
        <w:rPr>
          <w:sz w:val="24"/>
          <w:szCs w:val="24"/>
        </w:rPr>
      </w:pPr>
      <w:r>
        <w:rPr>
          <w:bCs/>
          <w:sz w:val="24"/>
          <w:szCs w:val="24"/>
        </w:rPr>
        <w:t xml:space="preserve">Журнал обслуживания пользователей </w:t>
        <w:br/>
      </w:r>
      <w:r>
        <w:rPr>
          <w:sz w:val="24"/>
          <w:szCs w:val="24"/>
        </w:rPr>
        <w:t>по Договору от «___»</w:t>
      </w:r>
      <w:r>
        <w:rPr>
          <w:sz w:val="24"/>
          <w:szCs w:val="24"/>
          <w:u w:val="single"/>
        </w:rPr>
        <w:t xml:space="preserve">                  </w:t>
      </w:r>
      <w:r>
        <w:rPr>
          <w:sz w:val="24"/>
          <w:szCs w:val="24"/>
        </w:rPr>
        <w:t>202_ г. №__________________</w:t>
      </w:r>
    </w:p>
    <w:p>
      <w:pPr>
        <w:pStyle w:val="Normal"/>
        <w:spacing w:lineRule="auto" w:line="276" w:before="120" w:after="0"/>
        <w:contextualSpacing/>
        <w:jc w:val="center"/>
        <w:rPr>
          <w:bCs/>
          <w:sz w:val="24"/>
          <w:szCs w:val="24"/>
        </w:rPr>
      </w:pPr>
      <w:r>
        <w:rPr>
          <w:sz w:val="24"/>
          <w:szCs w:val="24"/>
        </w:rPr>
        <w:t>за период с __________ по __________</w:t>
      </w:r>
    </w:p>
    <w:p>
      <w:pPr>
        <w:pStyle w:val="Normal"/>
        <w:spacing w:lineRule="auto" w:line="276" w:before="120" w:after="0"/>
        <w:contextualSpacing/>
        <w:rPr>
          <w:sz w:val="24"/>
          <w:szCs w:val="24"/>
        </w:rPr>
      </w:pPr>
      <w:r>
        <w:rPr>
          <w:sz w:val="24"/>
          <w:szCs w:val="24"/>
        </w:rPr>
      </w:r>
    </w:p>
    <w:tbl>
      <w:tblPr>
        <w:tblW w:w="45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2593"/>
        <w:gridCol w:w="2072"/>
        <w:gridCol w:w="1592"/>
        <w:gridCol w:w="3348"/>
        <w:gridCol w:w="3508"/>
      </w:tblGrid>
      <w:tr>
        <w:trPr>
          <w:trHeight w:val="20" w:hRule="atLeast"/>
        </w:trPr>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Уникальный идентификатор (номер) операции</w:t>
            </w:r>
          </w:p>
        </w:tc>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Дата и время выполнения операции</w:t>
            </w:r>
          </w:p>
        </w:tc>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Описание операции</w:t>
            </w:r>
          </w:p>
        </w:tc>
        <w:tc>
          <w:tcPr>
            <w:tcW w:w="33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Фамилия, имя, отчество сотрудника, выполнившего операцию</w:t>
            </w:r>
          </w:p>
        </w:tc>
        <w:tc>
          <w:tcPr>
            <w:tcW w:w="3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Уникальный идентификатор обращения, с которым связана операция (при наличии)</w:t>
            </w:r>
          </w:p>
        </w:tc>
      </w:tr>
      <w:tr>
        <w:trPr>
          <w:trHeight w:val="20" w:hRule="atLeast"/>
        </w:trPr>
        <w:tc>
          <w:tcPr>
            <w:tcW w:w="259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8"/>
                <w:szCs w:val="24"/>
                <w:lang w:eastAsia="ru-RU"/>
              </w:rPr>
            </w:pPr>
            <w:r>
              <w:rPr>
                <w:rFonts w:eastAsia="Batang"/>
                <w:sz w:val="28"/>
                <w:szCs w:val="24"/>
                <w:lang w:eastAsia="ru-RU"/>
              </w:rPr>
            </w:r>
          </w:p>
        </w:tc>
        <w:tc>
          <w:tcPr>
            <w:tcW w:w="207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8"/>
                <w:szCs w:val="24"/>
                <w:lang w:eastAsia="ru-RU"/>
              </w:rPr>
            </w:pPr>
            <w:r>
              <w:rPr>
                <w:rFonts w:eastAsia="Batang"/>
                <w:sz w:val="28"/>
                <w:szCs w:val="24"/>
                <w:lang w:eastAsia="ru-RU"/>
              </w:rPr>
            </w:r>
          </w:p>
        </w:tc>
        <w:tc>
          <w:tcPr>
            <w:tcW w:w="15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8"/>
                <w:szCs w:val="24"/>
                <w:lang w:eastAsia="ru-RU"/>
              </w:rPr>
            </w:pPr>
            <w:r>
              <w:rPr>
                <w:rFonts w:eastAsia="Batang"/>
                <w:sz w:val="28"/>
                <w:szCs w:val="24"/>
                <w:lang w:eastAsia="ru-RU"/>
              </w:rPr>
            </w:r>
          </w:p>
        </w:tc>
        <w:tc>
          <w:tcPr>
            <w:tcW w:w="33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8"/>
                <w:szCs w:val="24"/>
                <w:lang w:eastAsia="ru-RU"/>
              </w:rPr>
            </w:pPr>
            <w:r>
              <w:rPr>
                <w:rFonts w:eastAsia="Batang"/>
                <w:sz w:val="28"/>
                <w:szCs w:val="24"/>
                <w:lang w:eastAsia="ru-RU"/>
              </w:rPr>
            </w:r>
          </w:p>
        </w:tc>
        <w:tc>
          <w:tcPr>
            <w:tcW w:w="350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8"/>
                <w:szCs w:val="24"/>
                <w:lang w:eastAsia="ru-RU"/>
              </w:rPr>
            </w:pPr>
            <w:r>
              <w:rPr>
                <w:rFonts w:eastAsia="Batang"/>
                <w:sz w:val="28"/>
                <w:szCs w:val="24"/>
                <w:lang w:eastAsia="ru-RU"/>
              </w:rPr>
            </w:r>
          </w:p>
        </w:tc>
      </w:tr>
      <w:tr>
        <w:trPr>
          <w:trHeight w:val="20" w:hRule="atLeast"/>
        </w:trPr>
        <w:tc>
          <w:tcPr>
            <w:tcW w:w="259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8"/>
                <w:szCs w:val="24"/>
                <w:lang w:eastAsia="ru-RU"/>
              </w:rPr>
            </w:pPr>
            <w:r>
              <w:rPr>
                <w:rFonts w:eastAsia="Batang"/>
                <w:sz w:val="28"/>
                <w:szCs w:val="24"/>
                <w:lang w:eastAsia="ru-RU"/>
              </w:rPr>
            </w:r>
          </w:p>
        </w:tc>
        <w:tc>
          <w:tcPr>
            <w:tcW w:w="207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8"/>
                <w:szCs w:val="24"/>
                <w:lang w:eastAsia="ru-RU"/>
              </w:rPr>
            </w:pPr>
            <w:r>
              <w:rPr>
                <w:rFonts w:eastAsia="Batang"/>
                <w:sz w:val="28"/>
                <w:szCs w:val="24"/>
                <w:lang w:eastAsia="ru-RU"/>
              </w:rPr>
            </w:r>
          </w:p>
        </w:tc>
        <w:tc>
          <w:tcPr>
            <w:tcW w:w="15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8"/>
                <w:szCs w:val="24"/>
                <w:lang w:eastAsia="ru-RU"/>
              </w:rPr>
            </w:pPr>
            <w:r>
              <w:rPr>
                <w:rFonts w:eastAsia="Batang"/>
                <w:sz w:val="28"/>
                <w:szCs w:val="24"/>
                <w:lang w:eastAsia="ru-RU"/>
              </w:rPr>
            </w:r>
          </w:p>
        </w:tc>
        <w:tc>
          <w:tcPr>
            <w:tcW w:w="33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hanging="0" w:start="0"/>
              <w:jc w:val="center"/>
              <w:rPr>
                <w:rFonts w:eastAsia="Batang"/>
                <w:sz w:val="28"/>
                <w:szCs w:val="24"/>
                <w:lang w:eastAsia="ru-RU"/>
              </w:rPr>
            </w:pPr>
            <w:r>
              <w:rPr>
                <w:rFonts w:eastAsia="Batang"/>
                <w:sz w:val="28"/>
                <w:szCs w:val="24"/>
                <w:lang w:eastAsia="ru-RU"/>
              </w:rPr>
            </w:r>
          </w:p>
        </w:tc>
        <w:tc>
          <w:tcPr>
            <w:tcW w:w="350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ind w:hanging="0" w:start="0"/>
              <w:jc w:val="center"/>
              <w:rPr>
                <w:rFonts w:eastAsia="Batang"/>
                <w:sz w:val="28"/>
                <w:szCs w:val="24"/>
                <w:lang w:eastAsia="ru-RU"/>
              </w:rPr>
            </w:pPr>
            <w:r>
              <w:rPr>
                <w:rFonts w:eastAsia="Batang"/>
                <w:sz w:val="28"/>
                <w:szCs w:val="24"/>
                <w:lang w:eastAsia="ru-RU"/>
              </w:rPr>
            </w:r>
          </w:p>
        </w:tc>
      </w:tr>
    </w:tbl>
    <w:p>
      <w:pPr>
        <w:pStyle w:val="Normal"/>
        <w:spacing w:lineRule="auto" w:line="276" w:before="120" w:after="0"/>
        <w:contextualSpacing/>
        <w:rPr>
          <w:sz w:val="24"/>
          <w:szCs w:val="24"/>
        </w:rPr>
      </w:pPr>
      <w:r>
        <w:rPr>
          <w:sz w:val="24"/>
          <w:szCs w:val="24"/>
        </w:rPr>
      </w:r>
    </w:p>
    <w:p>
      <w:pPr>
        <w:pStyle w:val="Normal"/>
        <w:spacing w:lineRule="auto" w:line="276" w:before="120" w:after="0"/>
        <w:contextualSpacing/>
        <w:rPr>
          <w:sz w:val="24"/>
          <w:szCs w:val="24"/>
        </w:rPr>
      </w:pPr>
      <w:r>
        <w:rPr>
          <w:sz w:val="24"/>
          <w:szCs w:val="24"/>
        </w:rPr>
        <w:t>Количество выполненных операций обслуживания за период:</w:t>
      </w:r>
    </w:p>
    <w:p>
      <w:pPr>
        <w:pStyle w:val="NormalWeb"/>
        <w:spacing w:lineRule="auto" w:line="276" w:beforeAutospacing="0" w:before="0" w:afterAutospacing="0" w:after="0"/>
        <w:contextualSpacing/>
        <w:rPr/>
      </w:pPr>
      <w:r>
        <w:rPr/>
      </w:r>
    </w:p>
    <w:tbl>
      <w:tblPr>
        <w:tblW w:w="11907"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4536"/>
        <w:gridCol w:w="2254"/>
        <w:gridCol w:w="5117"/>
      </w:tblGrid>
      <w:tr>
        <w:trPr/>
        <w:tc>
          <w:tcPr>
            <w:tcW w:w="4536" w:type="dxa"/>
            <w:tcBorders/>
          </w:tcPr>
          <w:p>
            <w:pPr>
              <w:pStyle w:val="Normal"/>
              <w:spacing w:lineRule="auto" w:line="276" w:before="120" w:after="0"/>
              <w:ind w:hanging="0" w:start="357"/>
              <w:contextualSpacing/>
              <w:jc w:val="start"/>
              <w:rPr>
                <w:i/>
                <w:i/>
                <w:iCs/>
                <w:caps/>
                <w:sz w:val="24"/>
                <w:szCs w:val="24"/>
              </w:rPr>
            </w:pPr>
            <w:r>
              <w:rPr>
                <w:sz w:val="24"/>
                <w:szCs w:val="24"/>
              </w:rPr>
              <w:t>Ответственное лицо Исполнителя</w:t>
            </w:r>
          </w:p>
        </w:tc>
        <w:tc>
          <w:tcPr>
            <w:tcW w:w="2254" w:type="dxa"/>
            <w:tcBorders/>
          </w:tcPr>
          <w:p>
            <w:pPr>
              <w:pStyle w:val="Normal"/>
              <w:spacing w:lineRule="auto" w:line="276" w:before="120" w:after="0"/>
              <w:ind w:hanging="0" w:start="357"/>
              <w:contextualSpacing/>
              <w:jc w:val="start"/>
              <w:rPr>
                <w:sz w:val="24"/>
                <w:szCs w:val="24"/>
              </w:rPr>
            </w:pPr>
            <w:r>
              <w:rPr>
                <w:sz w:val="24"/>
                <w:szCs w:val="24"/>
              </w:rPr>
            </w:r>
          </w:p>
        </w:tc>
        <w:tc>
          <w:tcPr>
            <w:tcW w:w="5117" w:type="dxa"/>
            <w:tcBorders/>
          </w:tcPr>
          <w:p>
            <w:pPr>
              <w:pStyle w:val="Normal"/>
              <w:spacing w:lineRule="auto" w:line="276" w:before="120" w:after="0"/>
              <w:ind w:hanging="0" w:start="357"/>
              <w:contextualSpacing/>
              <w:jc w:val="start"/>
              <w:rPr>
                <w:sz w:val="24"/>
                <w:szCs w:val="24"/>
              </w:rPr>
            </w:pPr>
            <w:r>
              <w:rPr>
                <w:sz w:val="24"/>
                <w:szCs w:val="24"/>
              </w:rPr>
              <w:t>Ответственное лицо Заказчика</w:t>
            </w:r>
          </w:p>
        </w:tc>
      </w:tr>
      <w:tr>
        <w:trPr/>
        <w:tc>
          <w:tcPr>
            <w:tcW w:w="4536" w:type="dxa"/>
            <w:tcBorders/>
          </w:tcPr>
          <w:p>
            <w:pPr>
              <w:pStyle w:val="Normal"/>
              <w:spacing w:lineRule="auto" w:line="276" w:before="120" w:after="0"/>
              <w:ind w:hanging="0" w:start="357"/>
              <w:contextualSpacing/>
              <w:jc w:val="start"/>
              <w:rPr>
                <w:i/>
                <w:i/>
                <w:iCs/>
                <w:caps/>
                <w:sz w:val="24"/>
                <w:szCs w:val="24"/>
              </w:rPr>
            </w:pPr>
            <w:r>
              <w:rPr>
                <w:sz w:val="24"/>
                <w:szCs w:val="24"/>
              </w:rPr>
              <w:t>ФИО ____________________</w:t>
            </w:r>
          </w:p>
          <w:p>
            <w:pPr>
              <w:pStyle w:val="Normal"/>
              <w:spacing w:lineRule="auto" w:line="276" w:before="120" w:after="0"/>
              <w:ind w:hanging="0" w:start="357"/>
              <w:contextualSpacing/>
              <w:jc w:val="start"/>
              <w:rPr>
                <w:i/>
                <w:i/>
                <w:iCs/>
                <w:caps/>
                <w:sz w:val="24"/>
                <w:szCs w:val="24"/>
              </w:rPr>
            </w:pPr>
            <w:r>
              <w:rPr>
                <w:sz w:val="24"/>
                <w:szCs w:val="24"/>
              </w:rPr>
              <w:t>Должность _______________</w:t>
            </w:r>
          </w:p>
          <w:p>
            <w:pPr>
              <w:pStyle w:val="Normal"/>
              <w:spacing w:lineRule="auto" w:line="276" w:before="120" w:after="0"/>
              <w:ind w:hanging="0" w:start="357"/>
              <w:contextualSpacing/>
              <w:jc w:val="start"/>
              <w:rPr>
                <w:i/>
                <w:i/>
                <w:iCs/>
                <w:caps/>
                <w:sz w:val="24"/>
                <w:szCs w:val="24"/>
              </w:rPr>
            </w:pPr>
            <w:r>
              <w:rPr>
                <w:sz w:val="24"/>
                <w:szCs w:val="24"/>
              </w:rPr>
              <w:t>Подпись _________________</w:t>
            </w:r>
          </w:p>
        </w:tc>
        <w:tc>
          <w:tcPr>
            <w:tcW w:w="2254" w:type="dxa"/>
            <w:tcBorders/>
          </w:tcPr>
          <w:p>
            <w:pPr>
              <w:pStyle w:val="Normal"/>
              <w:spacing w:lineRule="auto" w:line="276" w:before="120" w:after="0"/>
              <w:ind w:hanging="0" w:start="357"/>
              <w:contextualSpacing/>
              <w:jc w:val="start"/>
              <w:rPr>
                <w:i/>
                <w:i/>
                <w:sz w:val="24"/>
                <w:szCs w:val="24"/>
                <w:u w:val="single"/>
              </w:rPr>
            </w:pPr>
            <w:r>
              <w:rPr>
                <w:i/>
                <w:sz w:val="24"/>
                <w:szCs w:val="24"/>
                <w:u w:val="single"/>
              </w:rPr>
            </w:r>
          </w:p>
        </w:tc>
        <w:tc>
          <w:tcPr>
            <w:tcW w:w="5117" w:type="dxa"/>
            <w:tcBorders/>
          </w:tcPr>
          <w:p>
            <w:pPr>
              <w:pStyle w:val="Normal"/>
              <w:spacing w:lineRule="auto" w:line="276" w:before="120" w:after="0"/>
              <w:ind w:hanging="0" w:start="357"/>
              <w:contextualSpacing/>
              <w:rPr>
                <w:i/>
                <w:i/>
                <w:iCs/>
                <w:caps/>
                <w:sz w:val="24"/>
                <w:szCs w:val="24"/>
              </w:rPr>
            </w:pPr>
            <w:r>
              <w:rPr>
                <w:sz w:val="24"/>
                <w:szCs w:val="24"/>
              </w:rPr>
              <w:t>ФИО ____________________</w:t>
            </w:r>
          </w:p>
          <w:p>
            <w:pPr>
              <w:pStyle w:val="Normal"/>
              <w:spacing w:lineRule="auto" w:line="276" w:before="120" w:after="0"/>
              <w:ind w:hanging="0" w:start="357"/>
              <w:contextualSpacing/>
              <w:rPr>
                <w:i/>
                <w:i/>
                <w:iCs/>
                <w:caps/>
                <w:sz w:val="24"/>
                <w:szCs w:val="24"/>
              </w:rPr>
            </w:pPr>
            <w:r>
              <w:rPr>
                <w:sz w:val="24"/>
                <w:szCs w:val="24"/>
              </w:rPr>
              <w:t>Должность _______________</w:t>
            </w:r>
          </w:p>
          <w:p>
            <w:pPr>
              <w:pStyle w:val="Normal"/>
              <w:spacing w:lineRule="auto" w:line="276" w:before="120" w:after="0"/>
              <w:ind w:hanging="0" w:start="357"/>
              <w:contextualSpacing/>
              <w:rPr>
                <w:i/>
                <w:i/>
                <w:iCs/>
                <w:caps/>
                <w:sz w:val="24"/>
                <w:szCs w:val="24"/>
              </w:rPr>
            </w:pPr>
            <w:r>
              <w:rPr>
                <w:sz w:val="24"/>
                <w:szCs w:val="24"/>
              </w:rPr>
              <w:t>Подпись _________________</w:t>
            </w:r>
            <w:bookmarkStart w:id="296" w:name="_Hlk177653874"/>
            <w:bookmarkEnd w:id="296"/>
          </w:p>
        </w:tc>
      </w:tr>
    </w:tbl>
    <w:p>
      <w:pPr>
        <w:pStyle w:val="Normal"/>
        <w:spacing w:lineRule="auto" w:line="276" w:before="0" w:after="0"/>
        <w:ind w:hanging="0" w:start="0"/>
        <w:contextualSpacing/>
        <w:jc w:val="start"/>
        <w:rPr>
          <w:b/>
          <w:bCs/>
          <w:sz w:val="24"/>
          <w:szCs w:val="24"/>
          <w:lang w:eastAsia="ru-RU"/>
        </w:rPr>
      </w:pPr>
      <w:r>
        <w:rPr>
          <w:b/>
          <w:bCs/>
          <w:sz w:val="24"/>
          <w:szCs w:val="24"/>
          <w:lang w:eastAsia="ru-RU"/>
        </w:rPr>
      </w:r>
    </w:p>
    <w:p>
      <w:pPr>
        <w:pStyle w:val="Normal"/>
        <w:spacing w:lineRule="auto" w:line="240" w:before="0" w:after="0"/>
        <w:ind w:hanging="0" w:start="0"/>
        <w:jc w:val="start"/>
        <w:rPr>
          <w:b/>
          <w:bCs/>
          <w:sz w:val="24"/>
          <w:szCs w:val="24"/>
          <w:lang w:eastAsia="ru-RU"/>
        </w:rPr>
      </w:pPr>
      <w:r>
        <w:rPr>
          <w:b/>
          <w:bCs/>
          <w:sz w:val="24"/>
          <w:szCs w:val="24"/>
          <w:lang w:eastAsia="ru-RU"/>
        </w:rPr>
      </w:r>
      <w:r>
        <w:br w:type="page"/>
      </w:r>
    </w:p>
    <w:p>
      <w:pPr>
        <w:pStyle w:val="1SLA"/>
        <w:numPr>
          <w:ilvl w:val="0"/>
          <w:numId w:val="48"/>
        </w:numPr>
        <w:tabs>
          <w:tab w:val="clear" w:pos="708"/>
          <w:tab w:val="left" w:pos="1134" w:leader="none"/>
        </w:tabs>
        <w:spacing w:lineRule="auto" w:line="276" w:before="0" w:after="160"/>
        <w:ind w:hanging="357" w:start="2200"/>
        <w:jc w:val="end"/>
        <w:rPr>
          <w:sz w:val="24"/>
          <w:szCs w:val="24"/>
        </w:rPr>
      </w:pPr>
      <w:bookmarkStart w:id="297" w:name="__RefHeading___Toc33590_3559854210"/>
      <w:bookmarkStart w:id="298" w:name="_Toc215755913"/>
      <w:bookmarkStart w:id="299" w:name="_Toc176951307"/>
      <w:bookmarkEnd w:id="297"/>
      <w:r>
        <w:rPr>
          <w:sz w:val="24"/>
          <w:szCs w:val="24"/>
        </w:rPr>
        <w:t>Форма отчета о проведении инструктажей</w:t>
      </w:r>
      <w:bookmarkEnd w:id="298"/>
      <w:bookmarkEnd w:id="299"/>
    </w:p>
    <w:p>
      <w:pPr>
        <w:pStyle w:val="Normal"/>
        <w:spacing w:lineRule="auto" w:line="276" w:before="120" w:after="0"/>
        <w:contextualSpacing/>
        <w:jc w:val="center"/>
        <w:rPr>
          <w:bCs/>
          <w:sz w:val="24"/>
          <w:szCs w:val="24"/>
        </w:rPr>
      </w:pPr>
      <w:r>
        <w:rPr>
          <w:bCs/>
          <w:sz w:val="24"/>
          <w:szCs w:val="24"/>
        </w:rPr>
      </w:r>
    </w:p>
    <w:p>
      <w:pPr>
        <w:pStyle w:val="Normal"/>
        <w:spacing w:lineRule="auto" w:line="276" w:before="120" w:after="0"/>
        <w:contextualSpacing/>
        <w:jc w:val="center"/>
        <w:rPr>
          <w:sz w:val="24"/>
          <w:szCs w:val="24"/>
        </w:rPr>
      </w:pPr>
      <w:r>
        <w:rPr>
          <w:bCs/>
          <w:sz w:val="24"/>
          <w:szCs w:val="24"/>
        </w:rPr>
        <w:t xml:space="preserve">Отчет о проведении инструктажей </w:t>
        <w:br/>
      </w:r>
      <w:r>
        <w:rPr>
          <w:sz w:val="24"/>
          <w:szCs w:val="24"/>
        </w:rPr>
        <w:t>по Договору от «___»</w:t>
      </w:r>
      <w:r>
        <w:rPr>
          <w:sz w:val="24"/>
          <w:szCs w:val="24"/>
          <w:u w:val="single"/>
        </w:rPr>
        <w:t xml:space="preserve">                  </w:t>
      </w:r>
      <w:r>
        <w:rPr>
          <w:sz w:val="24"/>
          <w:szCs w:val="24"/>
        </w:rPr>
        <w:t>202_ г. №__________________</w:t>
      </w:r>
    </w:p>
    <w:p>
      <w:pPr>
        <w:pStyle w:val="Normal"/>
        <w:spacing w:lineRule="auto" w:line="276" w:before="120" w:after="0"/>
        <w:contextualSpacing/>
        <w:jc w:val="center"/>
        <w:rPr>
          <w:bCs/>
          <w:sz w:val="24"/>
          <w:szCs w:val="24"/>
        </w:rPr>
      </w:pPr>
      <w:r>
        <w:rPr>
          <w:sz w:val="24"/>
          <w:szCs w:val="24"/>
        </w:rPr>
        <w:t>за период с __________ по __________</w:t>
      </w:r>
      <w:r>
        <w:rPr>
          <w:rStyle w:val="FootnoteReference"/>
          <w:sz w:val="24"/>
          <w:szCs w:val="24"/>
        </w:rPr>
        <w:footnoteReference w:id="5"/>
      </w:r>
    </w:p>
    <w:p>
      <w:pPr>
        <w:pStyle w:val="Normal"/>
        <w:spacing w:lineRule="auto" w:line="276" w:before="120" w:after="0"/>
        <w:contextualSpacing/>
        <w:rPr>
          <w:sz w:val="24"/>
          <w:szCs w:val="24"/>
        </w:rPr>
      </w:pPr>
      <w:r>
        <w:rPr>
          <w:sz w:val="24"/>
          <w:szCs w:val="24"/>
        </w:rPr>
      </w:r>
    </w:p>
    <w:tbl>
      <w:tblPr>
        <w:tblW w:w="14502" w:type="dxa"/>
        <w:jc w:val="start"/>
        <w:tblInd w:w="93" w:type="dxa"/>
        <w:tblLayout w:type="fixed"/>
        <w:tblCellMar>
          <w:top w:w="0" w:type="dxa"/>
          <w:start w:w="108" w:type="dxa"/>
          <w:bottom w:w="0" w:type="dxa"/>
          <w:end w:w="108" w:type="dxa"/>
        </w:tblCellMar>
        <w:tblLook w:val="04a0" w:noHBand="0" w:noVBand="1" w:firstColumn="1" w:lastRow="0" w:lastColumn="0" w:firstRow="1"/>
      </w:tblPr>
      <w:tblGrid>
        <w:gridCol w:w="2595"/>
        <w:gridCol w:w="1701"/>
        <w:gridCol w:w="2126"/>
        <w:gridCol w:w="1703"/>
        <w:gridCol w:w="1984"/>
        <w:gridCol w:w="2552"/>
        <w:gridCol w:w="1840"/>
      </w:tblGrid>
      <w:tr>
        <w:trPr>
          <w:trHeight w:val="20" w:hRule="atLeast"/>
        </w:trPr>
        <w:tc>
          <w:tcPr>
            <w:tcW w:w="25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Порядковый номер инструктажа (в пределах Договора)</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Дата проведения инструктажа</w:t>
            </w:r>
          </w:p>
        </w:tc>
        <w:tc>
          <w:tcPr>
            <w:tcW w:w="21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Длительность инструктажа, часов</w:t>
            </w:r>
          </w:p>
        </w:tc>
        <w:tc>
          <w:tcPr>
            <w:tcW w:w="1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Количество слушателей, человек</w:t>
            </w:r>
          </w:p>
        </w:tc>
        <w:tc>
          <w:tcPr>
            <w:tcW w:w="19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Перечень тем, на которые проведен инструктаж</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Номер обращения, на основании которого был проведен инструктаж</w:t>
            </w:r>
          </w:p>
        </w:tc>
        <w:tc>
          <w:tcPr>
            <w:tcW w:w="1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0" w:start="0"/>
              <w:jc w:val="center"/>
              <w:rPr>
                <w:rFonts w:eastAsia="Batang"/>
                <w:b/>
                <w:bCs/>
                <w:sz w:val="24"/>
                <w:szCs w:val="24"/>
                <w:lang w:eastAsia="ru-RU"/>
              </w:rPr>
            </w:pPr>
            <w:r>
              <w:rPr>
                <w:rFonts w:eastAsia="Batang"/>
                <w:b/>
                <w:bCs/>
                <w:sz w:val="24"/>
                <w:szCs w:val="24"/>
                <w:lang w:eastAsia="ru-RU"/>
              </w:rPr>
              <w:t>Запись инструктажа предоставлена (да/нет)</w:t>
            </w:r>
          </w:p>
        </w:tc>
      </w:tr>
      <w:tr>
        <w:trPr>
          <w:trHeight w:val="20" w:hRule="atLeast"/>
        </w:trPr>
        <w:tc>
          <w:tcPr>
            <w:tcW w:w="2595"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701"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212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703"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984"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2552"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r>
      <w:tr>
        <w:trPr>
          <w:trHeight w:val="20" w:hRule="atLeast"/>
        </w:trPr>
        <w:tc>
          <w:tcPr>
            <w:tcW w:w="2595"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701"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212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703"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984"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2552"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r>
      <w:tr>
        <w:trPr>
          <w:trHeight w:val="20" w:hRule="atLeast"/>
        </w:trPr>
        <w:tc>
          <w:tcPr>
            <w:tcW w:w="2595"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701"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212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703"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984"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2552"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0"/>
              <w:ind w:hanging="0" w:start="357"/>
              <w:contextualSpacing/>
              <w:jc w:val="center"/>
              <w:rPr>
                <w:sz w:val="24"/>
                <w:szCs w:val="24"/>
                <w:lang w:eastAsia="ru-RU"/>
              </w:rPr>
            </w:pPr>
            <w:r>
              <w:rPr>
                <w:sz w:val="24"/>
                <w:szCs w:val="24"/>
                <w:lang w:eastAsia="ru-RU"/>
              </w:rPr>
            </w:r>
          </w:p>
        </w:tc>
      </w:tr>
    </w:tbl>
    <w:p>
      <w:pPr>
        <w:pStyle w:val="Normal"/>
        <w:spacing w:lineRule="auto" w:line="276" w:before="120" w:after="0"/>
        <w:contextualSpacing/>
        <w:rPr>
          <w:sz w:val="24"/>
          <w:szCs w:val="24"/>
        </w:rPr>
      </w:pPr>
      <w:r>
        <w:rPr>
          <w:sz w:val="24"/>
          <w:szCs w:val="24"/>
        </w:rPr>
      </w:r>
    </w:p>
    <w:tbl>
      <w:tblPr>
        <w:tblW w:w="12900"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535"/>
        <w:gridCol w:w="2255"/>
        <w:gridCol w:w="6110"/>
      </w:tblGrid>
      <w:tr>
        <w:trPr/>
        <w:tc>
          <w:tcPr>
            <w:tcW w:w="4535" w:type="dxa"/>
            <w:tcBorders/>
          </w:tcPr>
          <w:p>
            <w:pPr>
              <w:pStyle w:val="Normal"/>
              <w:spacing w:lineRule="auto" w:line="276" w:before="120" w:after="0"/>
              <w:ind w:hanging="0" w:start="357"/>
              <w:contextualSpacing/>
              <w:jc w:val="start"/>
              <w:rPr>
                <w:i/>
                <w:i/>
                <w:iCs/>
                <w:caps/>
                <w:sz w:val="24"/>
                <w:szCs w:val="24"/>
              </w:rPr>
            </w:pPr>
            <w:r>
              <w:rPr>
                <w:sz w:val="24"/>
                <w:szCs w:val="24"/>
              </w:rPr>
              <w:t>Ответственное лицо Исполнителя</w:t>
            </w:r>
          </w:p>
        </w:tc>
        <w:tc>
          <w:tcPr>
            <w:tcW w:w="2255" w:type="dxa"/>
            <w:tcBorders/>
          </w:tcPr>
          <w:p>
            <w:pPr>
              <w:pStyle w:val="Normal"/>
              <w:spacing w:lineRule="auto" w:line="276" w:before="120" w:after="0"/>
              <w:ind w:hanging="0" w:start="357"/>
              <w:contextualSpacing/>
              <w:jc w:val="start"/>
              <w:rPr>
                <w:sz w:val="24"/>
                <w:szCs w:val="24"/>
              </w:rPr>
            </w:pPr>
            <w:r>
              <w:rPr>
                <w:sz w:val="24"/>
                <w:szCs w:val="24"/>
              </w:rPr>
            </w:r>
          </w:p>
        </w:tc>
        <w:tc>
          <w:tcPr>
            <w:tcW w:w="6110" w:type="dxa"/>
            <w:tcBorders/>
          </w:tcPr>
          <w:p>
            <w:pPr>
              <w:pStyle w:val="Normal"/>
              <w:spacing w:lineRule="auto" w:line="276" w:before="120" w:after="0"/>
              <w:ind w:hanging="0" w:start="357"/>
              <w:contextualSpacing/>
              <w:jc w:val="start"/>
              <w:rPr>
                <w:sz w:val="24"/>
                <w:szCs w:val="24"/>
              </w:rPr>
            </w:pPr>
            <w:r>
              <w:rPr>
                <w:sz w:val="24"/>
                <w:szCs w:val="24"/>
              </w:rPr>
              <w:t>Ответственное лицо Заказчика</w:t>
            </w:r>
          </w:p>
        </w:tc>
      </w:tr>
      <w:tr>
        <w:trPr/>
        <w:tc>
          <w:tcPr>
            <w:tcW w:w="4535" w:type="dxa"/>
            <w:tcBorders/>
          </w:tcPr>
          <w:p>
            <w:pPr>
              <w:pStyle w:val="Normal"/>
              <w:spacing w:lineRule="auto" w:line="276" w:before="120" w:after="0"/>
              <w:ind w:hanging="0" w:start="357"/>
              <w:contextualSpacing/>
              <w:jc w:val="start"/>
              <w:rPr>
                <w:i/>
                <w:i/>
                <w:iCs/>
                <w:caps/>
                <w:sz w:val="24"/>
                <w:szCs w:val="24"/>
              </w:rPr>
            </w:pPr>
            <w:r>
              <w:rPr>
                <w:sz w:val="24"/>
                <w:szCs w:val="24"/>
              </w:rPr>
              <w:t>ФИО ____________________</w:t>
            </w:r>
          </w:p>
          <w:p>
            <w:pPr>
              <w:pStyle w:val="Normal"/>
              <w:spacing w:lineRule="auto" w:line="276" w:before="120" w:after="0"/>
              <w:ind w:hanging="0" w:start="357"/>
              <w:contextualSpacing/>
              <w:jc w:val="start"/>
              <w:rPr>
                <w:i/>
                <w:i/>
                <w:iCs/>
                <w:caps/>
                <w:sz w:val="24"/>
                <w:szCs w:val="24"/>
              </w:rPr>
            </w:pPr>
            <w:r>
              <w:rPr>
                <w:sz w:val="24"/>
                <w:szCs w:val="24"/>
              </w:rPr>
              <w:t>Должность _______________</w:t>
            </w:r>
          </w:p>
          <w:p>
            <w:pPr>
              <w:pStyle w:val="Normal"/>
              <w:spacing w:lineRule="auto" w:line="276" w:before="120" w:after="0"/>
              <w:ind w:hanging="0" w:start="357"/>
              <w:contextualSpacing/>
              <w:jc w:val="start"/>
              <w:rPr>
                <w:i/>
                <w:i/>
                <w:iCs/>
                <w:caps/>
                <w:sz w:val="24"/>
                <w:szCs w:val="24"/>
              </w:rPr>
            </w:pPr>
            <w:r>
              <w:rPr>
                <w:sz w:val="24"/>
                <w:szCs w:val="24"/>
              </w:rPr>
              <w:t>Подпись _________________</w:t>
            </w:r>
          </w:p>
        </w:tc>
        <w:tc>
          <w:tcPr>
            <w:tcW w:w="2255" w:type="dxa"/>
            <w:tcBorders/>
          </w:tcPr>
          <w:p>
            <w:pPr>
              <w:pStyle w:val="Normal"/>
              <w:spacing w:lineRule="auto" w:line="276" w:before="120" w:after="0"/>
              <w:ind w:hanging="0" w:start="357"/>
              <w:contextualSpacing/>
              <w:jc w:val="start"/>
              <w:rPr>
                <w:i/>
                <w:i/>
                <w:sz w:val="24"/>
                <w:szCs w:val="24"/>
                <w:u w:val="single"/>
              </w:rPr>
            </w:pPr>
            <w:r>
              <w:rPr>
                <w:i/>
                <w:sz w:val="24"/>
                <w:szCs w:val="24"/>
                <w:u w:val="single"/>
              </w:rPr>
            </w:r>
          </w:p>
        </w:tc>
        <w:tc>
          <w:tcPr>
            <w:tcW w:w="6110" w:type="dxa"/>
            <w:tcBorders/>
          </w:tcPr>
          <w:p>
            <w:pPr>
              <w:pStyle w:val="Normal"/>
              <w:spacing w:lineRule="auto" w:line="276" w:before="120" w:after="0"/>
              <w:ind w:hanging="0" w:start="357"/>
              <w:contextualSpacing/>
              <w:rPr>
                <w:i/>
                <w:i/>
                <w:iCs/>
                <w:caps/>
                <w:sz w:val="24"/>
                <w:szCs w:val="24"/>
              </w:rPr>
            </w:pPr>
            <w:r>
              <w:rPr>
                <w:sz w:val="24"/>
                <w:szCs w:val="24"/>
              </w:rPr>
              <w:t>ФИО ____________________</w:t>
            </w:r>
          </w:p>
          <w:p>
            <w:pPr>
              <w:pStyle w:val="Normal"/>
              <w:spacing w:lineRule="auto" w:line="276" w:before="120" w:after="0"/>
              <w:ind w:hanging="0" w:start="357"/>
              <w:contextualSpacing/>
              <w:rPr>
                <w:i/>
                <w:i/>
                <w:iCs/>
                <w:caps/>
                <w:sz w:val="24"/>
                <w:szCs w:val="24"/>
              </w:rPr>
            </w:pPr>
            <w:r>
              <w:rPr>
                <w:sz w:val="24"/>
                <w:szCs w:val="24"/>
              </w:rPr>
              <w:t>Должность _______________</w:t>
            </w:r>
          </w:p>
          <w:p>
            <w:pPr>
              <w:pStyle w:val="Normal"/>
              <w:spacing w:lineRule="auto" w:line="276" w:before="120" w:after="0"/>
              <w:ind w:hanging="0" w:start="357"/>
              <w:contextualSpacing/>
              <w:rPr>
                <w:i/>
                <w:i/>
                <w:iCs/>
                <w:caps/>
                <w:sz w:val="24"/>
                <w:szCs w:val="24"/>
              </w:rPr>
            </w:pPr>
            <w:r>
              <w:rPr>
                <w:sz w:val="24"/>
                <w:szCs w:val="24"/>
              </w:rPr>
              <w:t>Подпись _________________</w:t>
            </w:r>
          </w:p>
        </w:tc>
      </w:tr>
    </w:tbl>
    <w:p>
      <w:pPr>
        <w:pStyle w:val="Normal"/>
        <w:spacing w:lineRule="auto" w:line="276" w:before="0" w:after="0"/>
        <w:ind w:hanging="0" w:start="0"/>
        <w:contextualSpacing/>
        <w:jc w:val="start"/>
        <w:rPr>
          <w:b/>
          <w:bCs/>
          <w:sz w:val="24"/>
          <w:szCs w:val="24"/>
          <w:lang w:eastAsia="ru-RU"/>
        </w:rPr>
      </w:pPr>
      <w:r>
        <w:rPr>
          <w:b/>
          <w:bCs/>
          <w:sz w:val="24"/>
          <w:szCs w:val="24"/>
          <w:lang w:eastAsia="ru-RU"/>
        </w:rPr>
      </w:r>
    </w:p>
    <w:p>
      <w:pPr>
        <w:pStyle w:val="Normal"/>
        <w:spacing w:lineRule="auto" w:line="240" w:before="0" w:after="0"/>
        <w:ind w:hanging="0" w:start="0"/>
        <w:jc w:val="start"/>
        <w:rPr>
          <w:b/>
          <w:bCs/>
          <w:sz w:val="24"/>
          <w:szCs w:val="24"/>
          <w:lang w:eastAsia="ru-RU"/>
        </w:rPr>
      </w:pPr>
      <w:r>
        <w:rPr>
          <w:b/>
          <w:bCs/>
          <w:sz w:val="24"/>
          <w:szCs w:val="24"/>
          <w:lang w:eastAsia="ru-RU"/>
        </w:rPr>
      </w:r>
      <w:r>
        <w:br w:type="page"/>
      </w:r>
    </w:p>
    <w:p>
      <w:pPr>
        <w:pStyle w:val="1SLA"/>
        <w:numPr>
          <w:ilvl w:val="0"/>
          <w:numId w:val="49"/>
        </w:numPr>
        <w:tabs>
          <w:tab w:val="clear" w:pos="708"/>
          <w:tab w:val="left" w:pos="1134" w:leader="none"/>
        </w:tabs>
        <w:spacing w:lineRule="auto" w:line="276" w:before="0" w:after="160"/>
        <w:ind w:hanging="357" w:start="2200"/>
        <w:jc w:val="end"/>
        <w:rPr>
          <w:sz w:val="24"/>
          <w:szCs w:val="24"/>
        </w:rPr>
      </w:pPr>
      <w:bookmarkStart w:id="300" w:name="__RefHeading___Toc33592_3559854210"/>
      <w:bookmarkStart w:id="301" w:name="_Toc215755914"/>
      <w:bookmarkStart w:id="302" w:name="_Toc176951312"/>
      <w:bookmarkStart w:id="303" w:name="_Toc461024928"/>
      <w:bookmarkStart w:id="304" w:name="_Toc475372186"/>
      <w:bookmarkStart w:id="305" w:name="_Toc464139517"/>
      <w:bookmarkStart w:id="306" w:name="_Toc482983031"/>
      <w:bookmarkStart w:id="307" w:name="_Hlk177654202"/>
      <w:bookmarkEnd w:id="300"/>
      <w:bookmarkEnd w:id="307"/>
      <w:r>
        <w:rPr>
          <w:sz w:val="24"/>
          <w:szCs w:val="24"/>
        </w:rPr>
        <w:t xml:space="preserve">Форма Отчета о недоступности </w:t>
      </w:r>
      <w:bookmarkEnd w:id="303"/>
      <w:bookmarkEnd w:id="304"/>
      <w:bookmarkEnd w:id="305"/>
      <w:bookmarkEnd w:id="306"/>
      <w:r>
        <w:rPr>
          <w:sz w:val="24"/>
          <w:szCs w:val="24"/>
        </w:rPr>
        <w:t>Системы</w:t>
      </w:r>
      <w:bookmarkEnd w:id="301"/>
      <w:bookmarkEnd w:id="302"/>
    </w:p>
    <w:p>
      <w:pPr>
        <w:pStyle w:val="Normal"/>
        <w:spacing w:lineRule="auto" w:line="276" w:before="0" w:after="0"/>
        <w:ind w:hanging="0" w:start="0"/>
        <w:contextualSpacing/>
        <w:jc w:val="start"/>
        <w:rPr>
          <w:sz w:val="24"/>
          <w:szCs w:val="24"/>
          <w:lang w:eastAsia="ru-RU"/>
        </w:rPr>
      </w:pPr>
      <w:r>
        <w:rPr>
          <w:sz w:val="24"/>
          <w:szCs w:val="24"/>
          <w:lang w:eastAsia="ru-RU"/>
        </w:rPr>
      </w:r>
    </w:p>
    <w:p>
      <w:pPr>
        <w:pStyle w:val="Normal"/>
        <w:spacing w:lineRule="auto" w:line="276" w:before="0" w:after="0"/>
        <w:ind w:firstLine="709" w:start="0"/>
        <w:contextualSpacing/>
        <w:jc w:val="center"/>
        <w:rPr>
          <w:rFonts w:eastAsia="Batang"/>
          <w:sz w:val="24"/>
          <w:szCs w:val="24"/>
        </w:rPr>
      </w:pPr>
      <w:r>
        <w:rPr>
          <w:rFonts w:eastAsia="Batang"/>
          <w:bCs/>
          <w:sz w:val="24"/>
          <w:szCs w:val="24"/>
        </w:rPr>
        <w:t>Отчёт о недоступности</w:t>
      </w:r>
      <w:r>
        <w:rPr>
          <w:rFonts w:eastAsia="Batang"/>
          <w:sz w:val="24"/>
          <w:szCs w:val="24"/>
        </w:rPr>
        <w:t xml:space="preserve"> Системы</w:t>
      </w:r>
    </w:p>
    <w:p>
      <w:pPr>
        <w:pStyle w:val="Normal"/>
        <w:spacing w:lineRule="auto" w:line="276" w:before="0" w:after="0"/>
        <w:ind w:firstLine="709" w:start="0"/>
        <w:contextualSpacing/>
        <w:jc w:val="center"/>
        <w:rPr>
          <w:rFonts w:eastAsia="Batang"/>
          <w:sz w:val="24"/>
          <w:szCs w:val="24"/>
        </w:rPr>
      </w:pPr>
      <w:r>
        <w:rPr>
          <w:rFonts w:eastAsia="Batang"/>
          <w:sz w:val="24"/>
          <w:szCs w:val="24"/>
        </w:rPr>
        <w:t>по Договору от «___»</w:t>
      </w:r>
      <w:r>
        <w:rPr>
          <w:rFonts w:eastAsia="Batang"/>
          <w:sz w:val="24"/>
          <w:szCs w:val="24"/>
          <w:u w:val="single"/>
        </w:rPr>
        <w:t xml:space="preserve">                  </w:t>
      </w:r>
      <w:r>
        <w:rPr>
          <w:rFonts w:eastAsia="Batang"/>
          <w:sz w:val="24"/>
          <w:szCs w:val="24"/>
        </w:rPr>
        <w:t>202_ г. №__________________</w:t>
      </w:r>
    </w:p>
    <w:p>
      <w:pPr>
        <w:pStyle w:val="Normal"/>
        <w:spacing w:lineRule="auto" w:line="276" w:before="0" w:after="0"/>
        <w:ind w:firstLine="709" w:start="0"/>
        <w:contextualSpacing/>
        <w:jc w:val="center"/>
        <w:rPr>
          <w:rFonts w:eastAsia="Batang"/>
          <w:sz w:val="24"/>
          <w:szCs w:val="24"/>
        </w:rPr>
      </w:pPr>
      <w:r>
        <w:rPr>
          <w:rFonts w:eastAsia="Batang"/>
          <w:sz w:val="24"/>
          <w:szCs w:val="24"/>
        </w:rPr>
        <w:t>за период с __________ по __________</w:t>
      </w:r>
    </w:p>
    <w:p>
      <w:pPr>
        <w:pStyle w:val="Normal"/>
        <w:spacing w:lineRule="auto" w:line="276" w:before="0" w:after="0"/>
        <w:ind w:firstLine="709" w:start="0"/>
        <w:contextualSpacing/>
        <w:jc w:val="center"/>
        <w:rPr>
          <w:rFonts w:eastAsia="Batang"/>
          <w:sz w:val="24"/>
          <w:szCs w:val="24"/>
        </w:rPr>
      </w:pPr>
      <w:r>
        <w:rPr>
          <w:rFonts w:eastAsia="Batang"/>
          <w:sz w:val="24"/>
          <w:szCs w:val="24"/>
        </w:rPr>
      </w:r>
    </w:p>
    <w:p>
      <w:pPr>
        <w:pStyle w:val="Normal"/>
        <w:tabs>
          <w:tab w:val="clear" w:pos="708"/>
          <w:tab w:val="left" w:pos="0" w:leader="none"/>
        </w:tabs>
        <w:spacing w:lineRule="auto" w:line="276" w:before="0" w:after="0"/>
        <w:ind w:firstLine="709" w:start="0"/>
        <w:contextualSpacing/>
        <w:rPr>
          <w:rFonts w:eastAsia="Batang"/>
          <w:sz w:val="24"/>
          <w:szCs w:val="24"/>
          <w:lang w:eastAsia="ar-SA"/>
        </w:rPr>
      </w:pPr>
      <w:r>
        <w:rPr>
          <w:rFonts w:eastAsia="Batang"/>
          <w:sz w:val="24"/>
          <w:szCs w:val="24"/>
          <w:lang w:eastAsia="ar-SA"/>
        </w:rPr>
        <w:t>Отчет о недоступности Системы сформирован на основе данных системы мониторинга.</w:t>
      </w:r>
    </w:p>
    <w:p>
      <w:pPr>
        <w:pStyle w:val="Normal"/>
        <w:tabs>
          <w:tab w:val="clear" w:pos="708"/>
          <w:tab w:val="left" w:pos="0" w:leader="none"/>
        </w:tabs>
        <w:spacing w:lineRule="auto" w:line="276" w:before="0" w:after="0"/>
        <w:ind w:firstLine="709" w:start="0"/>
        <w:contextualSpacing/>
        <w:rPr>
          <w:rFonts w:eastAsia="Batang"/>
          <w:sz w:val="24"/>
          <w:szCs w:val="24"/>
        </w:rPr>
      </w:pPr>
      <w:r>
        <w:rPr>
          <w:rFonts w:eastAsia="Batang"/>
          <w:sz w:val="24"/>
          <w:szCs w:val="24"/>
        </w:rPr>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782"/>
        <w:gridCol w:w="2636"/>
        <w:gridCol w:w="2089"/>
        <w:gridCol w:w="3567"/>
        <w:gridCol w:w="5496"/>
      </w:tblGrid>
      <w:tr>
        <w:trPr/>
        <w:tc>
          <w:tcPr>
            <w:tcW w:w="7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i/>
                <w:i/>
                <w:iCs/>
                <w:caps/>
                <w:sz w:val="24"/>
                <w:szCs w:val="24"/>
              </w:rPr>
            </w:pPr>
            <w:r>
              <w:rPr>
                <w:rFonts w:eastAsia="Batang"/>
                <w:b/>
                <w:sz w:val="24"/>
                <w:szCs w:val="24"/>
              </w:rPr>
              <w:t xml:space="preserve">№ </w:t>
            </w:r>
            <w:r>
              <w:rPr>
                <w:rFonts w:eastAsia="Batang"/>
                <w:b/>
                <w:sz w:val="24"/>
                <w:szCs w:val="24"/>
              </w:rPr>
              <w:t>п/п</w:t>
            </w:r>
          </w:p>
        </w:tc>
        <w:tc>
          <w:tcPr>
            <w:tcW w:w="26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i/>
                <w:i/>
                <w:iCs/>
                <w:caps/>
                <w:sz w:val="24"/>
                <w:szCs w:val="24"/>
              </w:rPr>
            </w:pPr>
            <w:r>
              <w:rPr>
                <w:rFonts w:eastAsia="Batang"/>
                <w:b/>
                <w:sz w:val="24"/>
                <w:szCs w:val="24"/>
              </w:rPr>
              <w:t>Дата и время зафиксированного случая недоступности Системы</w:t>
            </w:r>
          </w:p>
        </w:tc>
        <w:tc>
          <w:tcPr>
            <w:tcW w:w="20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i/>
                <w:i/>
                <w:iCs/>
                <w:caps/>
                <w:sz w:val="24"/>
                <w:szCs w:val="24"/>
              </w:rPr>
            </w:pPr>
            <w:r>
              <w:rPr>
                <w:rFonts w:eastAsia="Batang"/>
                <w:b/>
                <w:sz w:val="24"/>
                <w:szCs w:val="24"/>
              </w:rPr>
              <w:t>Время недоступности Системы</w:t>
            </w:r>
            <w:r>
              <w:rPr>
                <w:rStyle w:val="FootnoteReference"/>
                <w:rFonts w:eastAsia="Batang"/>
                <w:b/>
                <w:sz w:val="24"/>
                <w:szCs w:val="24"/>
              </w:rPr>
              <w:footnoteReference w:id="6"/>
            </w:r>
            <w:r>
              <w:rPr>
                <w:rFonts w:eastAsia="Batang"/>
                <w:b/>
                <w:sz w:val="24"/>
                <w:szCs w:val="24"/>
              </w:rPr>
              <w:t>, час, мин</w:t>
            </w:r>
          </w:p>
        </w:tc>
        <w:tc>
          <w:tcPr>
            <w:tcW w:w="3567"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t>В том числе время недоступности по причинам в зоне ответственности Исполнителя, час, мин</w:t>
            </w:r>
          </w:p>
        </w:tc>
        <w:tc>
          <w:tcPr>
            <w:tcW w:w="54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i/>
                <w:i/>
                <w:iCs/>
                <w:caps/>
                <w:sz w:val="24"/>
                <w:szCs w:val="24"/>
              </w:rPr>
            </w:pPr>
            <w:r>
              <w:rPr>
                <w:rFonts w:eastAsia="Batang"/>
                <w:b/>
                <w:sz w:val="24"/>
                <w:szCs w:val="24"/>
              </w:rPr>
              <w:t>Описание причины недоступности Системы</w:t>
            </w:r>
          </w:p>
        </w:tc>
      </w:tr>
      <w:tr>
        <w:trPr/>
        <w:tc>
          <w:tcPr>
            <w:tcW w:w="7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sz w:val="24"/>
                <w:szCs w:val="24"/>
              </w:rPr>
            </w:pPr>
            <w:r>
              <w:rPr>
                <w:rFonts w:eastAsia="Batang"/>
                <w:sz w:val="24"/>
                <w:szCs w:val="24"/>
              </w:rPr>
              <w:t>1.</w:t>
            </w:r>
          </w:p>
        </w:tc>
        <w:tc>
          <w:tcPr>
            <w:tcW w:w="26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start"/>
              <w:rPr>
                <w:rFonts w:eastAsia="Batang"/>
                <w:sz w:val="24"/>
                <w:szCs w:val="24"/>
              </w:rPr>
            </w:pPr>
            <w:r>
              <w:rPr>
                <w:rFonts w:eastAsia="Batang"/>
                <w:sz w:val="24"/>
                <w:szCs w:val="24"/>
              </w:rPr>
            </w:r>
          </w:p>
        </w:tc>
        <w:tc>
          <w:tcPr>
            <w:tcW w:w="2089"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sz w:val="24"/>
                <w:szCs w:val="24"/>
              </w:rPr>
            </w:pPr>
            <w:r>
              <w:rPr>
                <w:rFonts w:eastAsia="Batang"/>
                <w:sz w:val="24"/>
                <w:szCs w:val="24"/>
              </w:rPr>
            </w:r>
          </w:p>
        </w:tc>
        <w:tc>
          <w:tcPr>
            <w:tcW w:w="3567"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start"/>
              <w:rPr>
                <w:rFonts w:eastAsia="Batang"/>
                <w:sz w:val="24"/>
                <w:szCs w:val="24"/>
              </w:rPr>
            </w:pPr>
            <w:r>
              <w:rPr>
                <w:rFonts w:eastAsia="Batang"/>
                <w:sz w:val="24"/>
                <w:szCs w:val="24"/>
              </w:rPr>
            </w:r>
          </w:p>
        </w:tc>
        <w:tc>
          <w:tcPr>
            <w:tcW w:w="5496"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start"/>
              <w:rPr>
                <w:rFonts w:eastAsia="Batang"/>
                <w:sz w:val="24"/>
                <w:szCs w:val="24"/>
              </w:rPr>
            </w:pPr>
            <w:r>
              <w:rPr>
                <w:rFonts w:eastAsia="Batang"/>
                <w:sz w:val="24"/>
                <w:szCs w:val="24"/>
              </w:rPr>
            </w:r>
          </w:p>
        </w:tc>
      </w:tr>
      <w:tr>
        <w:trPr/>
        <w:tc>
          <w:tcPr>
            <w:tcW w:w="7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sz w:val="24"/>
                <w:szCs w:val="24"/>
              </w:rPr>
            </w:pPr>
            <w:r>
              <w:rPr>
                <w:rFonts w:eastAsia="Batang"/>
                <w:sz w:val="24"/>
                <w:szCs w:val="24"/>
              </w:rPr>
              <w:t>2.</w:t>
            </w:r>
          </w:p>
        </w:tc>
        <w:tc>
          <w:tcPr>
            <w:tcW w:w="26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start"/>
              <w:rPr>
                <w:rFonts w:eastAsia="Batang"/>
                <w:sz w:val="24"/>
                <w:szCs w:val="24"/>
              </w:rPr>
            </w:pPr>
            <w:r>
              <w:rPr>
                <w:rFonts w:eastAsia="Batang"/>
                <w:sz w:val="24"/>
                <w:szCs w:val="24"/>
              </w:rPr>
            </w:r>
          </w:p>
        </w:tc>
        <w:tc>
          <w:tcPr>
            <w:tcW w:w="2089"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sz w:val="24"/>
                <w:szCs w:val="24"/>
              </w:rPr>
            </w:pPr>
            <w:r>
              <w:rPr>
                <w:rFonts w:eastAsia="Batang"/>
                <w:sz w:val="24"/>
                <w:szCs w:val="24"/>
              </w:rPr>
            </w:r>
          </w:p>
        </w:tc>
        <w:tc>
          <w:tcPr>
            <w:tcW w:w="3567"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start"/>
              <w:rPr>
                <w:rFonts w:eastAsia="Batang"/>
                <w:sz w:val="24"/>
                <w:szCs w:val="24"/>
              </w:rPr>
            </w:pPr>
            <w:r>
              <w:rPr>
                <w:rFonts w:eastAsia="Batang"/>
                <w:sz w:val="24"/>
                <w:szCs w:val="24"/>
              </w:rPr>
            </w:r>
          </w:p>
        </w:tc>
        <w:tc>
          <w:tcPr>
            <w:tcW w:w="5496"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start"/>
              <w:rPr>
                <w:rFonts w:eastAsia="Batang"/>
                <w:sz w:val="24"/>
                <w:szCs w:val="24"/>
              </w:rPr>
            </w:pPr>
            <w:r>
              <w:rPr>
                <w:rFonts w:eastAsia="Batang"/>
                <w:sz w:val="24"/>
                <w:szCs w:val="24"/>
              </w:rPr>
            </w:r>
          </w:p>
        </w:tc>
      </w:tr>
      <w:tr>
        <w:trPr/>
        <w:tc>
          <w:tcPr>
            <w:tcW w:w="7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sz w:val="24"/>
                <w:szCs w:val="24"/>
              </w:rPr>
            </w:pPr>
            <w:r>
              <w:rPr>
                <w:rFonts w:eastAsia="Batang"/>
                <w:sz w:val="24"/>
                <w:szCs w:val="24"/>
              </w:rPr>
              <w:t>…</w:t>
            </w:r>
          </w:p>
        </w:tc>
        <w:tc>
          <w:tcPr>
            <w:tcW w:w="26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start"/>
              <w:rPr>
                <w:rFonts w:eastAsia="Batang"/>
                <w:sz w:val="24"/>
                <w:szCs w:val="24"/>
              </w:rPr>
            </w:pPr>
            <w:r>
              <w:rPr>
                <w:rFonts w:eastAsia="Batang"/>
                <w:sz w:val="24"/>
                <w:szCs w:val="24"/>
              </w:rPr>
            </w:r>
          </w:p>
        </w:tc>
        <w:tc>
          <w:tcPr>
            <w:tcW w:w="2089"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sz w:val="24"/>
                <w:szCs w:val="24"/>
              </w:rPr>
            </w:pPr>
            <w:r>
              <w:rPr>
                <w:rFonts w:eastAsia="Batang"/>
                <w:sz w:val="24"/>
                <w:szCs w:val="24"/>
              </w:rPr>
            </w:r>
          </w:p>
        </w:tc>
        <w:tc>
          <w:tcPr>
            <w:tcW w:w="3567"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start"/>
              <w:rPr>
                <w:rFonts w:eastAsia="Batang"/>
                <w:sz w:val="24"/>
                <w:szCs w:val="24"/>
              </w:rPr>
            </w:pPr>
            <w:r>
              <w:rPr>
                <w:rFonts w:eastAsia="Batang"/>
                <w:sz w:val="24"/>
                <w:szCs w:val="24"/>
              </w:rPr>
            </w:r>
          </w:p>
        </w:tc>
        <w:tc>
          <w:tcPr>
            <w:tcW w:w="5496"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start"/>
              <w:rPr>
                <w:rFonts w:eastAsia="Batang"/>
                <w:sz w:val="24"/>
                <w:szCs w:val="24"/>
              </w:rPr>
            </w:pPr>
            <w:r>
              <w:rPr>
                <w:rFonts w:eastAsia="Batang"/>
                <w:sz w:val="24"/>
                <w:szCs w:val="24"/>
              </w:rPr>
            </w:r>
          </w:p>
        </w:tc>
      </w:tr>
      <w:tr>
        <w:trPr/>
        <w:tc>
          <w:tcPr>
            <w:tcW w:w="341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sz w:val="24"/>
                <w:szCs w:val="24"/>
              </w:rPr>
            </w:pPr>
            <w:r>
              <w:rPr>
                <w:rFonts w:eastAsia="Batang"/>
                <w:b/>
                <w:sz w:val="24"/>
                <w:szCs w:val="24"/>
              </w:rPr>
              <w:t>ИТОГО</w:t>
            </w:r>
          </w:p>
        </w:tc>
        <w:tc>
          <w:tcPr>
            <w:tcW w:w="2089"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sz w:val="24"/>
                <w:szCs w:val="24"/>
              </w:rPr>
            </w:pPr>
            <w:r>
              <w:rPr>
                <w:rFonts w:eastAsia="Batang"/>
                <w:sz w:val="24"/>
                <w:szCs w:val="24"/>
              </w:rPr>
            </w:r>
          </w:p>
        </w:tc>
        <w:tc>
          <w:tcPr>
            <w:tcW w:w="3567"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start"/>
              <w:rPr>
                <w:rFonts w:eastAsia="Batang"/>
                <w:sz w:val="24"/>
                <w:szCs w:val="24"/>
              </w:rPr>
            </w:pPr>
            <w:r>
              <w:rPr>
                <w:rFonts w:eastAsia="Batang"/>
                <w:sz w:val="24"/>
                <w:szCs w:val="24"/>
              </w:rPr>
            </w:r>
          </w:p>
        </w:tc>
        <w:tc>
          <w:tcPr>
            <w:tcW w:w="5496"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start"/>
              <w:rPr>
                <w:rFonts w:eastAsia="Batang"/>
                <w:sz w:val="24"/>
                <w:szCs w:val="24"/>
              </w:rPr>
            </w:pPr>
            <w:r>
              <w:rPr>
                <w:rFonts w:eastAsia="Batang"/>
                <w:sz w:val="24"/>
                <w:szCs w:val="24"/>
              </w:rPr>
            </w:r>
          </w:p>
        </w:tc>
      </w:tr>
    </w:tbl>
    <w:p>
      <w:pPr>
        <w:pStyle w:val="Normal"/>
        <w:spacing w:lineRule="auto" w:line="276" w:before="0" w:after="0"/>
        <w:ind w:firstLine="709" w:start="0" w:end="20"/>
        <w:contextualSpacing/>
        <w:rPr>
          <w:rFonts w:eastAsia="Batang"/>
          <w:sz w:val="24"/>
          <w:szCs w:val="24"/>
        </w:rPr>
      </w:pPr>
      <w:r>
        <w:rPr>
          <w:rFonts w:eastAsia="Batang"/>
          <w:sz w:val="24"/>
          <w:szCs w:val="24"/>
        </w:rPr>
      </w:r>
    </w:p>
    <w:tbl>
      <w:tblPr>
        <w:tblW w:w="1456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365"/>
        <w:gridCol w:w="4770"/>
        <w:gridCol w:w="5430"/>
      </w:tblGrid>
      <w:tr>
        <w:trPr>
          <w:trHeight w:val="309" w:hRule="atLeast"/>
        </w:trPr>
        <w:tc>
          <w:tcPr>
            <w:tcW w:w="4365" w:type="dxa"/>
            <w:tcBorders/>
          </w:tcPr>
          <w:p>
            <w:pPr>
              <w:pStyle w:val="Normal"/>
              <w:spacing w:lineRule="auto" w:line="276" w:before="0" w:after="0"/>
              <w:ind w:hanging="0" w:start="0"/>
              <w:contextualSpacing/>
              <w:jc w:val="start"/>
              <w:rPr>
                <w:rFonts w:eastAsia="Batang"/>
                <w:i/>
                <w:i/>
                <w:iCs/>
                <w:caps/>
                <w:sz w:val="24"/>
                <w:szCs w:val="24"/>
              </w:rPr>
            </w:pPr>
            <w:r>
              <w:rPr>
                <w:rFonts w:eastAsia="Batang"/>
                <w:sz w:val="24"/>
                <w:szCs w:val="24"/>
              </w:rPr>
              <w:t>Ответственное лицо Исполнителя</w:t>
            </w:r>
          </w:p>
        </w:tc>
        <w:tc>
          <w:tcPr>
            <w:tcW w:w="4770" w:type="dxa"/>
            <w:tcBorders/>
          </w:tcPr>
          <w:p>
            <w:pPr>
              <w:pStyle w:val="Normal"/>
              <w:spacing w:lineRule="auto" w:line="276" w:before="0" w:after="0"/>
              <w:ind w:hanging="0" w:start="0"/>
              <w:contextualSpacing/>
              <w:jc w:val="start"/>
              <w:rPr>
                <w:rFonts w:eastAsia="Batang"/>
                <w:sz w:val="24"/>
                <w:szCs w:val="24"/>
              </w:rPr>
            </w:pPr>
            <w:r>
              <w:rPr>
                <w:rFonts w:eastAsia="Batang"/>
                <w:sz w:val="24"/>
                <w:szCs w:val="24"/>
              </w:rPr>
            </w:r>
          </w:p>
        </w:tc>
        <w:tc>
          <w:tcPr>
            <w:tcW w:w="5430" w:type="dxa"/>
            <w:tcBorders/>
          </w:tcPr>
          <w:p>
            <w:pPr>
              <w:pStyle w:val="Normal"/>
              <w:spacing w:lineRule="auto" w:line="276" w:before="0" w:after="0"/>
              <w:ind w:hanging="0" w:start="0"/>
              <w:contextualSpacing/>
              <w:jc w:val="start"/>
              <w:rPr>
                <w:rFonts w:eastAsia="Batang"/>
                <w:sz w:val="24"/>
                <w:szCs w:val="24"/>
              </w:rPr>
            </w:pPr>
            <w:r>
              <w:rPr>
                <w:rFonts w:eastAsia="Batang"/>
                <w:sz w:val="24"/>
                <w:szCs w:val="24"/>
              </w:rPr>
              <w:t>Ответственное лицо Заказчика</w:t>
            </w:r>
          </w:p>
        </w:tc>
      </w:tr>
      <w:tr>
        <w:trPr>
          <w:trHeight w:val="566" w:hRule="atLeast"/>
        </w:trPr>
        <w:tc>
          <w:tcPr>
            <w:tcW w:w="4365" w:type="dxa"/>
            <w:tcBorders/>
          </w:tcPr>
          <w:p>
            <w:pPr>
              <w:pStyle w:val="Normal"/>
              <w:spacing w:lineRule="auto" w:line="276" w:before="0" w:after="0"/>
              <w:ind w:hanging="0" w:start="0"/>
              <w:contextualSpacing/>
              <w:jc w:val="start"/>
              <w:rPr>
                <w:rFonts w:eastAsia="Batang"/>
                <w:i/>
                <w:i/>
                <w:iCs/>
                <w:caps/>
                <w:sz w:val="24"/>
                <w:szCs w:val="24"/>
              </w:rPr>
            </w:pPr>
            <w:r>
              <w:rPr>
                <w:rFonts w:eastAsia="Batang"/>
                <w:sz w:val="24"/>
                <w:szCs w:val="24"/>
              </w:rPr>
              <w:t>ФИО ____________________</w:t>
            </w:r>
          </w:p>
          <w:p>
            <w:pPr>
              <w:pStyle w:val="Normal"/>
              <w:spacing w:lineRule="auto" w:line="276" w:before="0" w:after="0"/>
              <w:ind w:hanging="0" w:start="0"/>
              <w:contextualSpacing/>
              <w:jc w:val="start"/>
              <w:rPr>
                <w:rFonts w:eastAsia="Batang"/>
                <w:i/>
                <w:i/>
                <w:iCs/>
                <w:caps/>
                <w:sz w:val="24"/>
                <w:szCs w:val="24"/>
              </w:rPr>
            </w:pPr>
            <w:r>
              <w:rPr>
                <w:rFonts w:eastAsia="Batang"/>
                <w:sz w:val="24"/>
                <w:szCs w:val="24"/>
              </w:rPr>
              <w:t>Должность _______________</w:t>
            </w:r>
          </w:p>
          <w:p>
            <w:pPr>
              <w:pStyle w:val="Normal"/>
              <w:spacing w:lineRule="auto" w:line="276" w:before="0" w:after="0"/>
              <w:ind w:hanging="0" w:start="0"/>
              <w:contextualSpacing/>
              <w:jc w:val="start"/>
              <w:rPr>
                <w:rFonts w:eastAsia="Batang"/>
                <w:i/>
                <w:i/>
                <w:iCs/>
                <w:caps/>
                <w:sz w:val="24"/>
                <w:szCs w:val="24"/>
              </w:rPr>
            </w:pPr>
            <w:r>
              <w:rPr>
                <w:rFonts w:eastAsia="Batang"/>
                <w:sz w:val="24"/>
                <w:szCs w:val="24"/>
              </w:rPr>
              <w:t>Подпись _________________</w:t>
            </w:r>
          </w:p>
        </w:tc>
        <w:tc>
          <w:tcPr>
            <w:tcW w:w="4770" w:type="dxa"/>
            <w:tcBorders/>
          </w:tcPr>
          <w:p>
            <w:pPr>
              <w:pStyle w:val="Normal"/>
              <w:spacing w:lineRule="auto" w:line="276" w:before="0" w:after="0"/>
              <w:ind w:hanging="0" w:start="0"/>
              <w:contextualSpacing/>
              <w:jc w:val="start"/>
              <w:rPr>
                <w:rFonts w:eastAsia="Batang"/>
                <w:i/>
                <w:i/>
                <w:sz w:val="24"/>
                <w:szCs w:val="24"/>
                <w:u w:val="single"/>
              </w:rPr>
            </w:pPr>
            <w:r>
              <w:rPr>
                <w:rFonts w:eastAsia="Batang"/>
                <w:i/>
                <w:sz w:val="24"/>
                <w:szCs w:val="24"/>
                <w:u w:val="single"/>
              </w:rPr>
            </w:r>
          </w:p>
        </w:tc>
        <w:tc>
          <w:tcPr>
            <w:tcW w:w="5430" w:type="dxa"/>
            <w:tcBorders/>
          </w:tcPr>
          <w:p>
            <w:pPr>
              <w:pStyle w:val="Normal"/>
              <w:spacing w:lineRule="auto" w:line="276" w:before="0" w:after="0"/>
              <w:ind w:hanging="0" w:start="0"/>
              <w:contextualSpacing/>
              <w:rPr>
                <w:rFonts w:eastAsia="Batang"/>
                <w:i/>
                <w:i/>
                <w:iCs/>
                <w:caps/>
                <w:sz w:val="24"/>
                <w:szCs w:val="24"/>
              </w:rPr>
            </w:pPr>
            <w:r>
              <w:rPr>
                <w:rFonts w:eastAsia="Batang"/>
                <w:sz w:val="24"/>
                <w:szCs w:val="24"/>
              </w:rPr>
              <w:t>ФИО ____________________</w:t>
            </w:r>
          </w:p>
          <w:p>
            <w:pPr>
              <w:pStyle w:val="Normal"/>
              <w:spacing w:lineRule="auto" w:line="276" w:before="0" w:after="0"/>
              <w:ind w:hanging="0" w:start="0"/>
              <w:contextualSpacing/>
              <w:rPr>
                <w:rFonts w:eastAsia="Batang"/>
                <w:i/>
                <w:i/>
                <w:iCs/>
                <w:caps/>
                <w:sz w:val="24"/>
                <w:szCs w:val="24"/>
              </w:rPr>
            </w:pPr>
            <w:r>
              <w:rPr>
                <w:rFonts w:eastAsia="Batang"/>
                <w:sz w:val="24"/>
                <w:szCs w:val="24"/>
              </w:rPr>
              <w:t>Должность _______________</w:t>
            </w:r>
          </w:p>
          <w:p>
            <w:pPr>
              <w:pStyle w:val="Normal"/>
              <w:spacing w:lineRule="auto" w:line="276" w:before="0" w:after="0"/>
              <w:ind w:hanging="0" w:start="0"/>
              <w:contextualSpacing/>
              <w:rPr>
                <w:rFonts w:eastAsia="Batang"/>
                <w:i/>
                <w:i/>
                <w:iCs/>
                <w:caps/>
                <w:sz w:val="24"/>
                <w:szCs w:val="24"/>
              </w:rPr>
            </w:pPr>
            <w:r>
              <w:rPr>
                <w:rFonts w:eastAsia="Batang"/>
                <w:sz w:val="24"/>
                <w:szCs w:val="24"/>
              </w:rPr>
              <w:t>Подпись _________________</w:t>
            </w:r>
          </w:p>
        </w:tc>
      </w:tr>
    </w:tbl>
    <w:p>
      <w:pPr>
        <w:pStyle w:val="Normal"/>
        <w:spacing w:lineRule="auto" w:line="276" w:before="0" w:after="0"/>
        <w:ind w:hanging="0" w:start="0"/>
        <w:contextualSpacing/>
        <w:jc w:val="start"/>
        <w:rPr>
          <w:sz w:val="24"/>
          <w:szCs w:val="24"/>
          <w:lang w:eastAsia="ru-RU"/>
        </w:rPr>
      </w:pPr>
      <w:r>
        <w:rPr>
          <w:sz w:val="24"/>
          <w:szCs w:val="24"/>
          <w:lang w:eastAsia="ru-RU"/>
        </w:rPr>
      </w:r>
    </w:p>
    <w:p>
      <w:pPr>
        <w:pStyle w:val="Normal"/>
        <w:spacing w:lineRule="auto" w:line="240" w:before="0" w:after="0"/>
        <w:ind w:hanging="0" w:start="0"/>
        <w:jc w:val="start"/>
        <w:rPr>
          <w:b/>
          <w:bCs/>
          <w:sz w:val="24"/>
          <w:szCs w:val="24"/>
          <w:lang w:eastAsia="ru-RU"/>
        </w:rPr>
      </w:pPr>
      <w:r>
        <w:rPr>
          <w:b/>
          <w:bCs/>
          <w:sz w:val="24"/>
          <w:szCs w:val="24"/>
          <w:lang w:eastAsia="ru-RU"/>
        </w:rPr>
      </w:r>
      <w:r>
        <w:br w:type="page"/>
      </w:r>
    </w:p>
    <w:p>
      <w:pPr>
        <w:pStyle w:val="1SLA"/>
        <w:numPr>
          <w:ilvl w:val="0"/>
          <w:numId w:val="50"/>
        </w:numPr>
        <w:tabs>
          <w:tab w:val="clear" w:pos="708"/>
          <w:tab w:val="left" w:pos="1134" w:leader="none"/>
        </w:tabs>
        <w:spacing w:lineRule="auto" w:line="276" w:before="0" w:after="160"/>
        <w:ind w:hanging="357" w:start="2200"/>
        <w:jc w:val="end"/>
        <w:rPr>
          <w:sz w:val="24"/>
          <w:szCs w:val="24"/>
        </w:rPr>
      </w:pPr>
      <w:bookmarkStart w:id="308" w:name="__RefHeading___Toc33594_3559854210"/>
      <w:bookmarkStart w:id="309" w:name="_Toc176951313"/>
      <w:bookmarkStart w:id="310" w:name="_Toc215755915"/>
      <w:bookmarkStart w:id="311" w:name="_Hlk177654202_Копия_1"/>
      <w:bookmarkEnd w:id="308"/>
      <w:bookmarkEnd w:id="311"/>
      <w:r>
        <w:rPr>
          <w:sz w:val="24"/>
          <w:szCs w:val="24"/>
        </w:rPr>
        <w:t>Форма Отчета о работоспособности Системы</w:t>
      </w:r>
      <w:bookmarkEnd w:id="309"/>
      <w:bookmarkEnd w:id="310"/>
    </w:p>
    <w:p>
      <w:pPr>
        <w:pStyle w:val="Normal"/>
        <w:spacing w:lineRule="auto" w:line="276" w:before="0" w:after="0"/>
        <w:ind w:hanging="0" w:start="0"/>
        <w:contextualSpacing/>
        <w:jc w:val="start"/>
        <w:rPr>
          <w:sz w:val="24"/>
          <w:szCs w:val="24"/>
          <w:lang w:eastAsia="ru-RU"/>
        </w:rPr>
      </w:pPr>
      <w:r>
        <w:rPr>
          <w:sz w:val="24"/>
          <w:szCs w:val="24"/>
          <w:lang w:eastAsia="ru-RU"/>
        </w:rPr>
      </w:r>
    </w:p>
    <w:p>
      <w:pPr>
        <w:pStyle w:val="Normal"/>
        <w:spacing w:lineRule="auto" w:line="276" w:before="0" w:after="0"/>
        <w:ind w:firstLine="709" w:start="0"/>
        <w:contextualSpacing/>
        <w:jc w:val="center"/>
        <w:rPr>
          <w:rFonts w:eastAsia="Batang"/>
          <w:sz w:val="24"/>
          <w:szCs w:val="24"/>
        </w:rPr>
      </w:pPr>
      <w:r>
        <w:rPr>
          <w:rFonts w:eastAsia="Batang"/>
          <w:sz w:val="24"/>
          <w:szCs w:val="24"/>
        </w:rPr>
        <w:t>Отчет о работоспособности Системы</w:t>
      </w:r>
    </w:p>
    <w:p>
      <w:pPr>
        <w:pStyle w:val="Normal"/>
        <w:spacing w:lineRule="auto" w:line="276" w:before="0" w:after="0"/>
        <w:ind w:firstLine="709" w:start="0"/>
        <w:contextualSpacing/>
        <w:jc w:val="center"/>
        <w:rPr>
          <w:rFonts w:eastAsia="Batang"/>
          <w:sz w:val="24"/>
          <w:szCs w:val="24"/>
        </w:rPr>
      </w:pPr>
      <w:r>
        <w:rPr>
          <w:rFonts w:eastAsia="Batang"/>
          <w:sz w:val="24"/>
          <w:szCs w:val="24"/>
        </w:rPr>
        <w:t>по Договору от «___»</w:t>
      </w:r>
      <w:r>
        <w:rPr>
          <w:rFonts w:eastAsia="Batang"/>
          <w:sz w:val="24"/>
          <w:szCs w:val="24"/>
          <w:u w:val="single"/>
        </w:rPr>
        <w:t xml:space="preserve">                  </w:t>
      </w:r>
      <w:r>
        <w:rPr>
          <w:rFonts w:eastAsia="Batang"/>
          <w:sz w:val="24"/>
          <w:szCs w:val="24"/>
        </w:rPr>
        <w:t>202_ г. №__________________</w:t>
      </w:r>
    </w:p>
    <w:p>
      <w:pPr>
        <w:pStyle w:val="Normal"/>
        <w:spacing w:lineRule="auto" w:line="276" w:before="0" w:after="0"/>
        <w:ind w:firstLine="709" w:start="0"/>
        <w:contextualSpacing/>
        <w:jc w:val="center"/>
        <w:rPr>
          <w:rFonts w:eastAsia="Batang"/>
          <w:sz w:val="24"/>
          <w:szCs w:val="24"/>
        </w:rPr>
      </w:pPr>
      <w:r>
        <w:rPr>
          <w:rFonts w:eastAsia="Batang"/>
          <w:sz w:val="24"/>
          <w:szCs w:val="24"/>
        </w:rPr>
        <w:t>за период с __________ по __________</w:t>
      </w:r>
    </w:p>
    <w:p>
      <w:pPr>
        <w:pStyle w:val="Normal"/>
        <w:spacing w:lineRule="auto" w:line="276" w:before="0" w:after="0"/>
        <w:ind w:hanging="0" w:start="0"/>
        <w:contextualSpacing/>
        <w:jc w:val="start"/>
        <w:rPr>
          <w:rFonts w:eastAsia="Batang"/>
          <w:sz w:val="24"/>
          <w:szCs w:val="24"/>
        </w:rPr>
      </w:pPr>
      <w:r>
        <w:rPr>
          <w:rFonts w:eastAsia="Batang"/>
          <w:sz w:val="24"/>
          <w:szCs w:val="24"/>
        </w:rPr>
      </w:r>
    </w:p>
    <w:p>
      <w:pPr>
        <w:pStyle w:val="Normal"/>
        <w:spacing w:lineRule="auto" w:line="276" w:before="0" w:after="0"/>
        <w:ind w:firstLine="709" w:start="0"/>
        <w:contextualSpacing/>
        <w:jc w:val="start"/>
        <w:rPr>
          <w:rFonts w:eastAsia="Batang"/>
          <w:sz w:val="24"/>
          <w:szCs w:val="24"/>
        </w:rPr>
      </w:pPr>
      <w:r>
        <w:rPr>
          <w:rFonts w:eastAsia="Batang"/>
          <w:sz w:val="24"/>
          <w:szCs w:val="24"/>
        </w:rPr>
        <w:t>Отчет о работоспособности (производительности) Системы сформирован на основе данных системы мониторинга.</w:t>
      </w:r>
    </w:p>
    <w:p>
      <w:pPr>
        <w:pStyle w:val="Normal"/>
        <w:spacing w:lineRule="auto" w:line="276" w:before="0" w:after="0"/>
        <w:ind w:hanging="0" w:start="0"/>
        <w:contextualSpacing/>
        <w:jc w:val="start"/>
        <w:rPr>
          <w:rFonts w:eastAsia="Batang"/>
          <w:sz w:val="24"/>
          <w:szCs w:val="24"/>
        </w:rPr>
      </w:pPr>
      <w:r>
        <w:rPr>
          <w:rFonts w:eastAsia="Batang"/>
          <w:sz w:val="24"/>
          <w:szCs w:val="24"/>
        </w:rPr>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791"/>
        <w:gridCol w:w="1961"/>
        <w:gridCol w:w="2310"/>
        <w:gridCol w:w="2160"/>
        <w:gridCol w:w="2281"/>
        <w:gridCol w:w="2490"/>
        <w:gridCol w:w="2576"/>
      </w:tblGrid>
      <w:tr>
        <w:trPr>
          <w:trHeight w:val="509" w:hRule="atLeast"/>
        </w:trPr>
        <w:tc>
          <w:tcPr>
            <w:tcW w:w="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i/>
                <w:i/>
                <w:iCs/>
                <w:sz w:val="24"/>
                <w:szCs w:val="24"/>
              </w:rPr>
            </w:pPr>
            <w:r>
              <w:rPr>
                <w:rFonts w:eastAsia="Batang"/>
                <w:b/>
                <w:sz w:val="24"/>
                <w:szCs w:val="24"/>
              </w:rPr>
              <w:t xml:space="preserve">№ </w:t>
            </w:r>
            <w:r>
              <w:rPr>
                <w:rFonts w:eastAsia="Batang"/>
                <w:b/>
                <w:sz w:val="24"/>
                <w:szCs w:val="24"/>
              </w:rPr>
              <w:t>п.п.</w:t>
            </w:r>
          </w:p>
        </w:tc>
        <w:tc>
          <w:tcPr>
            <w:tcW w:w="19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sz w:val="24"/>
                <w:szCs w:val="24"/>
              </w:rPr>
            </w:pPr>
            <w:r>
              <w:rPr>
                <w:rFonts w:eastAsia="Batang"/>
                <w:b/>
                <w:sz w:val="24"/>
                <w:szCs w:val="24"/>
              </w:rPr>
              <w:t>Наименование параметра</w:t>
            </w:r>
          </w:p>
        </w:tc>
        <w:tc>
          <w:tcPr>
            <w:tcW w:w="23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sz w:val="24"/>
                <w:szCs w:val="24"/>
              </w:rPr>
            </w:pPr>
            <w:r>
              <w:rPr>
                <w:rFonts w:eastAsia="Batang"/>
                <w:b/>
                <w:sz w:val="24"/>
                <w:szCs w:val="24"/>
              </w:rPr>
              <w:t>Пороговое значение</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sz w:val="24"/>
                <w:szCs w:val="24"/>
              </w:rPr>
            </w:pPr>
            <w:r>
              <w:rPr>
                <w:rFonts w:eastAsia="Batang"/>
                <w:b/>
                <w:sz w:val="24"/>
                <w:szCs w:val="24"/>
              </w:rPr>
              <w:t>Пиковое значение</w:t>
            </w:r>
          </w:p>
        </w:tc>
        <w:tc>
          <w:tcPr>
            <w:tcW w:w="22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sz w:val="24"/>
                <w:szCs w:val="24"/>
              </w:rPr>
            </w:pPr>
            <w:r>
              <w:rPr>
                <w:rFonts w:eastAsia="Batang"/>
                <w:b/>
                <w:sz w:val="24"/>
                <w:szCs w:val="24"/>
              </w:rPr>
              <w:t>Признак нарушения порогового значения</w:t>
            </w:r>
          </w:p>
        </w:tc>
        <w:tc>
          <w:tcPr>
            <w:tcW w:w="24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i/>
                <w:i/>
                <w:iCs/>
                <w:sz w:val="24"/>
                <w:szCs w:val="24"/>
              </w:rPr>
            </w:pPr>
            <w:r>
              <w:rPr>
                <w:rFonts w:eastAsia="Batang"/>
                <w:b/>
                <w:sz w:val="24"/>
                <w:szCs w:val="24"/>
              </w:rPr>
              <w:t>Дата и время измерения</w:t>
            </w:r>
          </w:p>
        </w:tc>
        <w:tc>
          <w:tcPr>
            <w:tcW w:w="2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i/>
                <w:i/>
                <w:iCs/>
                <w:sz w:val="24"/>
                <w:szCs w:val="24"/>
              </w:rPr>
            </w:pPr>
            <w:r>
              <w:rPr>
                <w:rFonts w:eastAsia="Batang"/>
                <w:b/>
                <w:sz w:val="24"/>
                <w:szCs w:val="24"/>
              </w:rPr>
              <w:t>Причина</w:t>
            </w:r>
          </w:p>
        </w:tc>
      </w:tr>
      <w:tr>
        <w:trPr/>
        <w:tc>
          <w:tcPr>
            <w:tcW w:w="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sz w:val="24"/>
                <w:szCs w:val="24"/>
              </w:rPr>
            </w:pPr>
            <w:r>
              <w:rPr>
                <w:rFonts w:eastAsia="Batang"/>
                <w:b/>
                <w:sz w:val="24"/>
                <w:szCs w:val="24"/>
              </w:rPr>
              <w:t>1.</w:t>
            </w:r>
          </w:p>
        </w:tc>
        <w:tc>
          <w:tcPr>
            <w:tcW w:w="1961"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c>
          <w:tcPr>
            <w:tcW w:w="2281"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c>
          <w:tcPr>
            <w:tcW w:w="24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c>
          <w:tcPr>
            <w:tcW w:w="2576"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r>
      <w:tr>
        <w:trPr/>
        <w:tc>
          <w:tcPr>
            <w:tcW w:w="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sz w:val="24"/>
                <w:szCs w:val="24"/>
              </w:rPr>
            </w:pPr>
            <w:r>
              <w:rPr>
                <w:rFonts w:eastAsia="Batang"/>
                <w:b/>
                <w:sz w:val="24"/>
                <w:szCs w:val="24"/>
              </w:rPr>
              <w:t>2.</w:t>
            </w:r>
          </w:p>
        </w:tc>
        <w:tc>
          <w:tcPr>
            <w:tcW w:w="1961"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c>
          <w:tcPr>
            <w:tcW w:w="2281"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c>
          <w:tcPr>
            <w:tcW w:w="24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c>
          <w:tcPr>
            <w:tcW w:w="2576" w:type="dxa"/>
            <w:tcBorders>
              <w:top w:val="single" w:sz="4" w:space="0" w:color="000000"/>
              <w:start w:val="single" w:sz="4" w:space="0" w:color="000000"/>
              <w:bottom w:val="single" w:sz="4" w:space="0" w:color="000000"/>
              <w:end w:val="single" w:sz="4" w:space="0" w:color="000000"/>
            </w:tcBorders>
          </w:tcPr>
          <w:p>
            <w:pPr>
              <w:pStyle w:val="Normal"/>
              <w:spacing w:lineRule="auto" w:line="276" w:before="0" w:after="0"/>
              <w:ind w:hanging="0" w:start="0"/>
              <w:contextualSpacing/>
              <w:jc w:val="center"/>
              <w:rPr>
                <w:rFonts w:eastAsia="Batang"/>
                <w:b/>
                <w:sz w:val="24"/>
                <w:szCs w:val="24"/>
              </w:rPr>
            </w:pPr>
            <w:r>
              <w:rPr>
                <w:rFonts w:eastAsia="Batang"/>
                <w:b/>
                <w:sz w:val="24"/>
                <w:szCs w:val="24"/>
              </w:rPr>
            </w:r>
          </w:p>
        </w:tc>
      </w:tr>
    </w:tbl>
    <w:p>
      <w:pPr>
        <w:pStyle w:val="Normal"/>
        <w:spacing w:lineRule="auto" w:line="276" w:before="0" w:after="0"/>
        <w:ind w:firstLine="709" w:start="0"/>
        <w:contextualSpacing/>
        <w:jc w:val="start"/>
        <w:rPr>
          <w:rFonts w:eastAsia="Batang"/>
          <w:sz w:val="24"/>
          <w:szCs w:val="24"/>
        </w:rPr>
      </w:pPr>
      <w:r>
        <w:rPr>
          <w:rFonts w:eastAsia="Batang"/>
          <w:sz w:val="24"/>
          <w:szCs w:val="24"/>
        </w:rPr>
      </w:r>
    </w:p>
    <w:p>
      <w:pPr>
        <w:pStyle w:val="Normal"/>
        <w:spacing w:lineRule="auto" w:line="276" w:before="0" w:after="0"/>
        <w:ind w:firstLine="709" w:start="0"/>
        <w:contextualSpacing/>
        <w:jc w:val="start"/>
        <w:rPr>
          <w:rFonts w:eastAsia="Batang"/>
          <w:sz w:val="24"/>
          <w:szCs w:val="24"/>
        </w:rPr>
      </w:pPr>
      <w:r>
        <w:rPr>
          <w:rFonts w:eastAsia="Batang"/>
          <w:sz w:val="24"/>
          <w:szCs w:val="24"/>
        </w:rPr>
        <w:t>Рекомендации по улучшению производительности:</w:t>
      </w:r>
    </w:p>
    <w:p>
      <w:pPr>
        <w:pStyle w:val="Normal"/>
        <w:spacing w:lineRule="auto" w:line="276" w:before="0" w:after="0"/>
        <w:ind w:firstLine="709" w:start="0"/>
        <w:contextualSpacing/>
        <w:jc w:val="start"/>
        <w:rPr>
          <w:rFonts w:eastAsia="Batang"/>
          <w:sz w:val="24"/>
          <w:szCs w:val="24"/>
        </w:rPr>
      </w:pPr>
      <w:r>
        <w:rPr>
          <w:rFonts w:eastAsia="Batang"/>
          <w:sz w:val="24"/>
          <w:szCs w:val="24"/>
        </w:rPr>
      </w:r>
    </w:p>
    <w:p>
      <w:pPr>
        <w:pStyle w:val="Normal"/>
        <w:spacing w:lineRule="auto" w:line="276" w:before="0" w:after="0"/>
        <w:ind w:firstLine="709" w:start="0"/>
        <w:contextualSpacing/>
        <w:jc w:val="start"/>
        <w:rPr>
          <w:rFonts w:eastAsia="Batang"/>
          <w:sz w:val="24"/>
          <w:szCs w:val="24"/>
        </w:rPr>
      </w:pPr>
      <w:r>
        <w:rPr>
          <w:rFonts w:eastAsia="Batang"/>
          <w:sz w:val="24"/>
          <w:szCs w:val="24"/>
        </w:rPr>
      </w:r>
    </w:p>
    <w:tbl>
      <w:tblPr>
        <w:tblStyle w:val="GR3"/>
        <w:tblW w:w="12131"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546"/>
        <w:gridCol w:w="1041"/>
        <w:gridCol w:w="5544"/>
      </w:tblGrid>
      <w:tr>
        <w:trPr>
          <w:trHeight w:val="326" w:hRule="atLeast"/>
        </w:trPr>
        <w:tc>
          <w:tcPr>
            <w:tcW w:w="5546" w:type="dxa"/>
            <w:tcBorders>
              <w:top w:val="nil"/>
              <w:start w:val="nil"/>
              <w:bottom w:val="nil"/>
              <w:end w:val="nil"/>
            </w:tcBorders>
          </w:tcPr>
          <w:p>
            <w:pPr>
              <w:pStyle w:val="Normal"/>
              <w:widowControl/>
              <w:suppressAutoHyphens w:val="true"/>
              <w:spacing w:lineRule="auto" w:line="276" w:before="0" w:after="0"/>
              <w:ind w:hanging="0" w:start="0"/>
              <w:contextualSpacing/>
              <w:jc w:val="start"/>
              <w:rPr>
                <w:sz w:val="24"/>
                <w:szCs w:val="24"/>
              </w:rPr>
            </w:pPr>
            <w:r>
              <w:rPr>
                <w:rFonts w:eastAsia="Batang" w:cs="Times New Roman"/>
                <w:kern w:val="0"/>
                <w:sz w:val="24"/>
                <w:szCs w:val="24"/>
                <w:lang w:val="ru-RU" w:bidi="ar-SA"/>
              </w:rPr>
              <w:t>Ответственное лицо Исполнителя</w:t>
            </w:r>
          </w:p>
        </w:tc>
        <w:tc>
          <w:tcPr>
            <w:tcW w:w="1041" w:type="dxa"/>
            <w:tcBorders>
              <w:top w:val="nil"/>
              <w:start w:val="nil"/>
              <w:bottom w:val="nil"/>
              <w:end w:val="nil"/>
            </w:tcBorders>
          </w:tcPr>
          <w:p>
            <w:pPr>
              <w:pStyle w:val="Normal"/>
              <w:widowControl/>
              <w:suppressAutoHyphens w:val="true"/>
              <w:spacing w:lineRule="auto" w:line="276" w:before="0" w:after="0"/>
              <w:ind w:firstLine="709" w:start="0"/>
              <w:contextualSpacing/>
              <w:jc w:val="start"/>
              <w:rPr>
                <w:sz w:val="24"/>
                <w:szCs w:val="24"/>
              </w:rPr>
            </w:pPr>
            <w:r>
              <w:rPr>
                <w:sz w:val="24"/>
                <w:szCs w:val="24"/>
              </w:rPr>
            </w:r>
          </w:p>
        </w:tc>
        <w:tc>
          <w:tcPr>
            <w:tcW w:w="5544" w:type="dxa"/>
            <w:tcBorders>
              <w:top w:val="nil"/>
              <w:start w:val="nil"/>
              <w:bottom w:val="nil"/>
              <w:end w:val="nil"/>
            </w:tcBorders>
          </w:tcPr>
          <w:p>
            <w:pPr>
              <w:pStyle w:val="Normal"/>
              <w:widowControl/>
              <w:suppressAutoHyphens w:val="true"/>
              <w:spacing w:lineRule="auto" w:line="276" w:before="0" w:after="0"/>
              <w:ind w:hanging="0" w:start="0"/>
              <w:contextualSpacing/>
              <w:jc w:val="start"/>
              <w:rPr>
                <w:sz w:val="24"/>
                <w:szCs w:val="24"/>
              </w:rPr>
            </w:pPr>
            <w:r>
              <w:rPr>
                <w:rFonts w:eastAsia="Batang" w:cs="Times New Roman"/>
                <w:kern w:val="0"/>
                <w:sz w:val="24"/>
                <w:szCs w:val="24"/>
                <w:lang w:val="ru-RU" w:bidi="ar-SA"/>
              </w:rPr>
              <w:t>Ответственное лицо Заказчика</w:t>
            </w:r>
          </w:p>
        </w:tc>
      </w:tr>
      <w:tr>
        <w:trPr>
          <w:trHeight w:val="343" w:hRule="atLeast"/>
        </w:trPr>
        <w:tc>
          <w:tcPr>
            <w:tcW w:w="5546" w:type="dxa"/>
            <w:tcBorders>
              <w:top w:val="nil"/>
              <w:start w:val="nil"/>
              <w:end w:val="nil"/>
            </w:tcBorders>
          </w:tcPr>
          <w:p>
            <w:pPr>
              <w:pStyle w:val="Normal"/>
              <w:widowControl/>
              <w:suppressAutoHyphens w:val="true"/>
              <w:spacing w:lineRule="auto" w:line="276" w:before="0" w:after="0"/>
              <w:ind w:hanging="0" w:start="0"/>
              <w:contextualSpacing/>
              <w:jc w:val="start"/>
              <w:rPr>
                <w:i/>
                <w:i/>
                <w:iCs/>
                <w:caps/>
                <w:sz w:val="24"/>
                <w:szCs w:val="24"/>
              </w:rPr>
            </w:pPr>
            <w:r>
              <w:rPr>
                <w:rFonts w:eastAsia="Batang" w:cs="Times New Roman"/>
                <w:kern w:val="0"/>
                <w:sz w:val="24"/>
                <w:szCs w:val="24"/>
                <w:lang w:val="ru-RU" w:bidi="ar-SA"/>
              </w:rPr>
              <w:t>ФИО ____________________</w:t>
            </w:r>
          </w:p>
          <w:p>
            <w:pPr>
              <w:pStyle w:val="Normal"/>
              <w:widowControl/>
              <w:suppressAutoHyphens w:val="true"/>
              <w:spacing w:lineRule="auto" w:line="276" w:before="0" w:after="0"/>
              <w:ind w:hanging="0" w:start="0"/>
              <w:contextualSpacing/>
              <w:jc w:val="start"/>
              <w:rPr>
                <w:i/>
                <w:i/>
                <w:iCs/>
                <w:caps/>
                <w:sz w:val="24"/>
                <w:szCs w:val="24"/>
              </w:rPr>
            </w:pPr>
            <w:r>
              <w:rPr>
                <w:rFonts w:eastAsia="Batang" w:cs="Times New Roman"/>
                <w:kern w:val="0"/>
                <w:sz w:val="24"/>
                <w:szCs w:val="24"/>
                <w:lang w:val="ru-RU" w:bidi="ar-SA"/>
              </w:rPr>
              <w:t>Должность _______________</w:t>
            </w:r>
          </w:p>
          <w:p>
            <w:pPr>
              <w:pStyle w:val="Normal"/>
              <w:widowControl/>
              <w:suppressAutoHyphens w:val="true"/>
              <w:spacing w:lineRule="auto" w:line="276" w:before="0" w:after="0"/>
              <w:ind w:firstLine="42" w:start="0"/>
              <w:contextualSpacing/>
              <w:jc w:val="start"/>
              <w:rPr>
                <w:sz w:val="24"/>
                <w:szCs w:val="24"/>
              </w:rPr>
            </w:pPr>
            <w:r>
              <w:rPr>
                <w:rFonts w:eastAsia="Batang" w:cs="Times New Roman"/>
                <w:kern w:val="0"/>
                <w:sz w:val="24"/>
                <w:szCs w:val="24"/>
                <w:lang w:val="ru-RU" w:bidi="ar-SA"/>
              </w:rPr>
              <w:t>Подпись _________________</w:t>
            </w:r>
          </w:p>
        </w:tc>
        <w:tc>
          <w:tcPr>
            <w:tcW w:w="1041" w:type="dxa"/>
            <w:tcBorders>
              <w:top w:val="nil"/>
              <w:start w:val="nil"/>
              <w:bottom w:val="nil"/>
              <w:end w:val="nil"/>
            </w:tcBorders>
          </w:tcPr>
          <w:p>
            <w:pPr>
              <w:pStyle w:val="Normal"/>
              <w:widowControl/>
              <w:suppressAutoHyphens w:val="true"/>
              <w:spacing w:lineRule="auto" w:line="276" w:before="0" w:after="0"/>
              <w:ind w:firstLine="709" w:start="0"/>
              <w:contextualSpacing/>
              <w:jc w:val="start"/>
              <w:rPr>
                <w:sz w:val="24"/>
                <w:szCs w:val="24"/>
              </w:rPr>
            </w:pPr>
            <w:r>
              <w:rPr>
                <w:sz w:val="24"/>
                <w:szCs w:val="24"/>
              </w:rPr>
            </w:r>
          </w:p>
        </w:tc>
        <w:tc>
          <w:tcPr>
            <w:tcW w:w="5544" w:type="dxa"/>
            <w:tcBorders>
              <w:top w:val="nil"/>
              <w:start w:val="nil"/>
              <w:end w:val="nil"/>
            </w:tcBorders>
          </w:tcPr>
          <w:p>
            <w:pPr>
              <w:pStyle w:val="Normal"/>
              <w:widowControl/>
              <w:suppressAutoHyphens w:val="true"/>
              <w:spacing w:lineRule="auto" w:line="276" w:before="0" w:after="0"/>
              <w:ind w:hanging="0" w:start="0"/>
              <w:contextualSpacing/>
              <w:rPr>
                <w:i/>
                <w:i/>
                <w:iCs/>
                <w:caps/>
                <w:sz w:val="24"/>
                <w:szCs w:val="24"/>
              </w:rPr>
            </w:pPr>
            <w:r>
              <w:rPr>
                <w:rFonts w:eastAsia="Batang" w:cs="Times New Roman"/>
                <w:kern w:val="0"/>
                <w:sz w:val="24"/>
                <w:szCs w:val="24"/>
                <w:lang w:val="ru-RU" w:bidi="ar-SA"/>
              </w:rPr>
              <w:t>ФИО ____________________</w:t>
            </w:r>
          </w:p>
          <w:p>
            <w:pPr>
              <w:pStyle w:val="Normal"/>
              <w:widowControl/>
              <w:suppressAutoHyphens w:val="true"/>
              <w:spacing w:lineRule="auto" w:line="276" w:before="0" w:after="0"/>
              <w:ind w:hanging="0" w:start="0"/>
              <w:contextualSpacing/>
              <w:rPr>
                <w:i/>
                <w:i/>
                <w:iCs/>
                <w:caps/>
                <w:sz w:val="24"/>
                <w:szCs w:val="24"/>
              </w:rPr>
            </w:pPr>
            <w:r>
              <w:rPr>
                <w:rFonts w:eastAsia="Batang" w:cs="Times New Roman"/>
                <w:kern w:val="0"/>
                <w:sz w:val="24"/>
                <w:szCs w:val="24"/>
                <w:lang w:val="ru-RU" w:bidi="ar-SA"/>
              </w:rPr>
              <w:t>Должность ______________</w:t>
            </w:r>
            <w:r>
              <w:rPr>
                <w:rFonts w:eastAsia="Batang" w:cs="Times New Roman" w:ascii="Calibri" w:hAnsi="Calibri"/>
                <w:kern w:val="0"/>
                <w:sz w:val="24"/>
                <w:szCs w:val="24"/>
                <w:lang w:val="ru-RU" w:bidi="ar-SA"/>
              </w:rPr>
              <w:t>_</w:t>
            </w:r>
          </w:p>
          <w:p>
            <w:pPr>
              <w:pStyle w:val="Normal"/>
              <w:widowControl/>
              <w:suppressAutoHyphens w:val="true"/>
              <w:spacing w:lineRule="auto" w:line="276" w:before="0" w:after="0"/>
              <w:ind w:hanging="0" w:start="0"/>
              <w:contextualSpacing/>
              <w:jc w:val="start"/>
              <w:rPr>
                <w:sz w:val="24"/>
                <w:szCs w:val="24"/>
              </w:rPr>
            </w:pPr>
            <w:r>
              <w:rPr>
                <w:rFonts w:eastAsia="Batang" w:cs="Times New Roman"/>
                <w:kern w:val="0"/>
                <w:sz w:val="24"/>
                <w:szCs w:val="24"/>
                <w:lang w:val="ru-RU" w:bidi="ar-SA"/>
              </w:rPr>
              <w:t>Подпись ________________</w:t>
            </w:r>
            <w:r>
              <w:rPr>
                <w:rFonts w:eastAsia="Batang" w:cs="Times New Roman" w:ascii="Calibri" w:hAnsi="Calibri"/>
                <w:kern w:val="0"/>
                <w:sz w:val="24"/>
                <w:szCs w:val="24"/>
                <w:lang w:val="ru-RU" w:bidi="ar-SA"/>
              </w:rPr>
              <w:t>_</w:t>
            </w:r>
          </w:p>
        </w:tc>
      </w:tr>
      <w:tr>
        <w:trPr>
          <w:trHeight w:val="326" w:hRule="atLeast"/>
        </w:trPr>
        <w:tc>
          <w:tcPr>
            <w:tcW w:w="5546" w:type="dxa"/>
            <w:tcBorders>
              <w:start w:val="nil"/>
              <w:bottom w:val="nil"/>
              <w:end w:val="nil"/>
            </w:tcBorders>
          </w:tcPr>
          <w:p>
            <w:pPr>
              <w:pStyle w:val="Normal"/>
              <w:widowControl/>
              <w:suppressAutoHyphens w:val="true"/>
              <w:spacing w:lineRule="auto" w:line="276" w:before="0" w:after="0"/>
              <w:ind w:firstLine="709" w:start="0"/>
              <w:contextualSpacing/>
              <w:jc w:val="start"/>
              <w:rPr>
                <w:sz w:val="24"/>
                <w:szCs w:val="24"/>
              </w:rPr>
            </w:pPr>
            <w:r>
              <w:rPr>
                <w:rFonts w:eastAsia="Batang" w:cs="Times New Roman"/>
                <w:kern w:val="0"/>
                <w:sz w:val="24"/>
                <w:szCs w:val="24"/>
                <w:lang w:val="ru-RU" w:bidi="ar-SA"/>
              </w:rPr>
              <w:t>(                                                           )</w:t>
            </w:r>
          </w:p>
        </w:tc>
        <w:tc>
          <w:tcPr>
            <w:tcW w:w="1041" w:type="dxa"/>
            <w:tcBorders>
              <w:top w:val="nil"/>
              <w:start w:val="nil"/>
              <w:bottom w:val="nil"/>
              <w:end w:val="nil"/>
            </w:tcBorders>
          </w:tcPr>
          <w:p>
            <w:pPr>
              <w:pStyle w:val="Normal"/>
              <w:widowControl/>
              <w:suppressAutoHyphens w:val="true"/>
              <w:spacing w:lineRule="auto" w:line="276" w:before="0" w:after="0"/>
              <w:ind w:firstLine="709" w:start="0"/>
              <w:contextualSpacing/>
              <w:jc w:val="start"/>
              <w:rPr>
                <w:sz w:val="24"/>
                <w:szCs w:val="24"/>
              </w:rPr>
            </w:pPr>
            <w:r>
              <w:rPr>
                <w:sz w:val="24"/>
                <w:szCs w:val="24"/>
              </w:rPr>
            </w:r>
          </w:p>
        </w:tc>
        <w:tc>
          <w:tcPr>
            <w:tcW w:w="5544" w:type="dxa"/>
            <w:tcBorders>
              <w:start w:val="nil"/>
              <w:bottom w:val="nil"/>
              <w:end w:val="nil"/>
            </w:tcBorders>
          </w:tcPr>
          <w:p>
            <w:pPr>
              <w:pStyle w:val="Normal"/>
              <w:widowControl/>
              <w:suppressAutoHyphens w:val="true"/>
              <w:spacing w:lineRule="auto" w:line="276" w:before="0" w:after="0"/>
              <w:ind w:firstLine="709" w:start="0"/>
              <w:contextualSpacing/>
              <w:jc w:val="start"/>
              <w:rPr>
                <w:sz w:val="24"/>
                <w:szCs w:val="24"/>
              </w:rPr>
            </w:pPr>
            <w:r>
              <w:rPr>
                <w:rFonts w:eastAsia="Batang" w:cs="Times New Roman"/>
                <w:kern w:val="0"/>
                <w:sz w:val="24"/>
                <w:szCs w:val="24"/>
                <w:lang w:val="ru-RU" w:bidi="ar-SA"/>
              </w:rPr>
              <w:t>(                                                           )</w:t>
            </w:r>
          </w:p>
        </w:tc>
      </w:tr>
      <w:tr>
        <w:trPr>
          <w:trHeight w:val="326" w:hRule="atLeast"/>
        </w:trPr>
        <w:tc>
          <w:tcPr>
            <w:tcW w:w="5546" w:type="dxa"/>
            <w:tcBorders>
              <w:top w:val="nil"/>
              <w:start w:val="nil"/>
              <w:bottom w:val="nil"/>
              <w:end w:val="nil"/>
            </w:tcBorders>
          </w:tcPr>
          <w:p>
            <w:pPr>
              <w:pStyle w:val="Normal"/>
              <w:widowControl/>
              <w:suppressAutoHyphens w:val="true"/>
              <w:spacing w:lineRule="auto" w:line="276" w:before="0" w:after="0"/>
              <w:ind w:firstLine="709" w:start="0"/>
              <w:contextualSpacing/>
              <w:jc w:val="start"/>
              <w:rPr>
                <w:sz w:val="24"/>
                <w:szCs w:val="24"/>
              </w:rPr>
            </w:pPr>
            <w:r>
              <w:rPr>
                <w:rFonts w:eastAsia="Batang" w:cs="Times New Roman"/>
                <w:kern w:val="0"/>
                <w:sz w:val="24"/>
                <w:szCs w:val="24"/>
                <w:lang w:val="ru-RU" w:bidi="ar-SA"/>
              </w:rPr>
              <w:t>«      » ____________________ 20    г.</w:t>
            </w:r>
          </w:p>
        </w:tc>
        <w:tc>
          <w:tcPr>
            <w:tcW w:w="1041" w:type="dxa"/>
            <w:tcBorders>
              <w:top w:val="nil"/>
              <w:start w:val="nil"/>
              <w:bottom w:val="nil"/>
              <w:end w:val="nil"/>
            </w:tcBorders>
          </w:tcPr>
          <w:p>
            <w:pPr>
              <w:pStyle w:val="Normal"/>
              <w:widowControl/>
              <w:suppressAutoHyphens w:val="true"/>
              <w:spacing w:lineRule="auto" w:line="276" w:before="0" w:after="0"/>
              <w:ind w:firstLine="709" w:start="0"/>
              <w:contextualSpacing/>
              <w:jc w:val="start"/>
              <w:rPr>
                <w:sz w:val="24"/>
                <w:szCs w:val="24"/>
              </w:rPr>
            </w:pPr>
            <w:r>
              <w:rPr>
                <w:sz w:val="24"/>
                <w:szCs w:val="24"/>
              </w:rPr>
            </w:r>
          </w:p>
        </w:tc>
        <w:tc>
          <w:tcPr>
            <w:tcW w:w="5544" w:type="dxa"/>
            <w:tcBorders>
              <w:top w:val="nil"/>
              <w:start w:val="nil"/>
              <w:bottom w:val="nil"/>
              <w:end w:val="nil"/>
            </w:tcBorders>
          </w:tcPr>
          <w:p>
            <w:pPr>
              <w:pStyle w:val="Normal"/>
              <w:widowControl/>
              <w:suppressAutoHyphens w:val="true"/>
              <w:spacing w:lineRule="auto" w:line="276" w:before="0" w:after="0"/>
              <w:ind w:firstLine="709" w:start="0"/>
              <w:contextualSpacing/>
              <w:jc w:val="start"/>
              <w:rPr>
                <w:sz w:val="24"/>
                <w:szCs w:val="24"/>
              </w:rPr>
            </w:pPr>
            <w:r>
              <w:rPr>
                <w:rFonts w:eastAsia="Batang" w:cs="Times New Roman"/>
                <w:kern w:val="0"/>
                <w:sz w:val="24"/>
                <w:szCs w:val="24"/>
                <w:lang w:val="ru-RU" w:bidi="ar-SA"/>
              </w:rPr>
              <w:t>«      » ____________________ 20    г.</w:t>
            </w:r>
            <w:bookmarkStart w:id="312" w:name="_Hlk177654393"/>
            <w:bookmarkEnd w:id="312"/>
          </w:p>
        </w:tc>
      </w:tr>
    </w:tbl>
    <w:p>
      <w:pPr>
        <w:sectPr>
          <w:headerReference w:type="even" r:id="rId55"/>
          <w:headerReference w:type="default" r:id="rId56"/>
          <w:headerReference w:type="first" r:id="rId57"/>
          <w:footerReference w:type="even" r:id="rId58"/>
          <w:footerReference w:type="default" r:id="rId59"/>
          <w:footerReference w:type="first" r:id="rId60"/>
          <w:footnotePr>
            <w:numFmt w:val="decimal"/>
          </w:footnotePr>
          <w:type w:val="nextPage"/>
          <w:pgSz w:orient="landscape" w:w="16838" w:h="11906"/>
          <w:pgMar w:left="1134" w:right="1134" w:gutter="0" w:header="709" w:top="1134" w:footer="709" w:bottom="851"/>
          <w:pgNumType w:fmt="decimal"/>
          <w:formProt w:val="false"/>
          <w:textDirection w:val="lrTb"/>
          <w:docGrid w:type="default" w:linePitch="299" w:charSpace="0"/>
        </w:sectPr>
      </w:pPr>
    </w:p>
    <w:p>
      <w:pPr>
        <w:pStyle w:val="Normal"/>
        <w:spacing w:lineRule="auto" w:line="240" w:before="0" w:after="0"/>
        <w:ind w:hanging="0" w:start="0"/>
        <w:jc w:val="start"/>
        <w:rPr>
          <w:sz w:val="24"/>
          <w:szCs w:val="20"/>
          <w:lang w:eastAsia="ru-RU"/>
        </w:rPr>
      </w:pPr>
      <w:r>
        <w:rPr>
          <w:sz w:val="24"/>
          <w:szCs w:val="20"/>
          <w:lang w:eastAsia="ru-RU"/>
        </w:rPr>
      </w:r>
    </w:p>
    <w:p>
      <w:pPr>
        <w:pStyle w:val="1SLA"/>
        <w:numPr>
          <w:ilvl w:val="0"/>
          <w:numId w:val="51"/>
        </w:numPr>
        <w:tabs>
          <w:tab w:val="clear" w:pos="708"/>
          <w:tab w:val="left" w:pos="1134" w:leader="none"/>
        </w:tabs>
        <w:spacing w:lineRule="auto" w:line="276"/>
        <w:ind w:hanging="357" w:start="2200"/>
        <w:jc w:val="end"/>
        <w:rPr>
          <w:sz w:val="24"/>
          <w:szCs w:val="24"/>
        </w:rPr>
      </w:pPr>
      <w:bookmarkStart w:id="313" w:name="__RefHeading___Toc33596_3559854210"/>
      <w:bookmarkStart w:id="314" w:name="_Toc215755916"/>
      <w:bookmarkEnd w:id="313"/>
      <w:r>
        <w:rPr>
          <w:sz w:val="24"/>
          <w:szCs w:val="24"/>
        </w:rPr>
        <w:t>Форма Акта размещения исходного кода</w:t>
      </w:r>
      <w:bookmarkEnd w:id="314"/>
    </w:p>
    <w:p>
      <w:pPr>
        <w:pStyle w:val="Normal"/>
        <w:spacing w:lineRule="auto" w:line="276" w:before="0" w:after="0"/>
        <w:ind w:hanging="0" w:start="0"/>
        <w:contextualSpacing/>
        <w:jc w:val="start"/>
        <w:rPr>
          <w:sz w:val="24"/>
          <w:szCs w:val="24"/>
          <w:lang w:eastAsia="ru-RU"/>
        </w:rPr>
      </w:pPr>
      <w:r>
        <w:rPr>
          <w:sz w:val="24"/>
          <w:szCs w:val="24"/>
          <w:lang w:eastAsia="ru-RU"/>
        </w:rPr>
      </w:r>
    </w:p>
    <w:p>
      <w:pPr>
        <w:pStyle w:val="Normal"/>
        <w:spacing w:lineRule="auto" w:line="276" w:before="120" w:after="0"/>
        <w:contextualSpacing/>
        <w:jc w:val="center"/>
        <w:rPr>
          <w:sz w:val="24"/>
          <w:szCs w:val="24"/>
        </w:rPr>
      </w:pPr>
      <w:r>
        <w:rPr>
          <w:sz w:val="24"/>
          <w:szCs w:val="24"/>
        </w:rPr>
        <w:t>АКТ</w:t>
      </w:r>
    </w:p>
    <w:p>
      <w:pPr>
        <w:pStyle w:val="Normal"/>
        <w:spacing w:lineRule="auto" w:line="276" w:before="120" w:after="0"/>
        <w:contextualSpacing/>
        <w:jc w:val="center"/>
        <w:rPr>
          <w:sz w:val="24"/>
          <w:szCs w:val="24"/>
        </w:rPr>
      </w:pPr>
      <w:r>
        <w:rPr>
          <w:sz w:val="24"/>
          <w:szCs w:val="24"/>
        </w:rPr>
        <w:t>РАЗМЕЩЕНИЯ ИСХОДНОГО КОДА</w:t>
      </w:r>
    </w:p>
    <w:p>
      <w:pPr>
        <w:pStyle w:val="Normal"/>
        <w:spacing w:lineRule="auto" w:line="276" w:before="120" w:after="0"/>
        <w:contextualSpacing/>
        <w:jc w:val="center"/>
        <w:rPr>
          <w:sz w:val="24"/>
          <w:szCs w:val="24"/>
        </w:rPr>
      </w:pPr>
      <w:r>
        <w:rPr>
          <w:sz w:val="24"/>
          <w:szCs w:val="24"/>
          <w:lang w:val="en-US"/>
        </w:rPr>
        <w:t>(</w:t>
      </w:r>
      <w:r>
        <w:rPr>
          <w:sz w:val="24"/>
          <w:szCs w:val="24"/>
        </w:rPr>
        <w:t>ФОРМА)</w:t>
      </w:r>
    </w:p>
    <w:p>
      <w:pPr>
        <w:pStyle w:val="Normal"/>
        <w:spacing w:lineRule="auto" w:line="276" w:before="120" w:after="0"/>
        <w:contextualSpacing/>
        <w:jc w:val="start"/>
        <w:rPr>
          <w:sz w:val="24"/>
          <w:szCs w:val="24"/>
        </w:rPr>
      </w:pPr>
      <w:r>
        <w:rPr>
          <w:sz w:val="24"/>
          <w:szCs w:val="24"/>
        </w:rPr>
      </w:r>
    </w:p>
    <w:tbl>
      <w:tblPr>
        <w:tblW w:w="10065" w:type="dxa"/>
        <w:jc w:val="start"/>
        <w:tblInd w:w="0" w:type="dxa"/>
        <w:tblLayout w:type="fixed"/>
        <w:tblCellMar>
          <w:top w:w="0" w:type="dxa"/>
          <w:start w:w="0" w:type="dxa"/>
          <w:bottom w:w="0" w:type="dxa"/>
          <w:end w:w="0" w:type="dxa"/>
        </w:tblCellMar>
        <w:tblLook w:val="04a0" w:noHBand="0" w:noVBand="1" w:firstColumn="1" w:lastRow="0" w:lastColumn="0" w:firstRow="1"/>
      </w:tblPr>
      <w:tblGrid>
        <w:gridCol w:w="4674"/>
        <w:gridCol w:w="5390"/>
      </w:tblGrid>
      <w:tr>
        <w:trPr/>
        <w:tc>
          <w:tcPr>
            <w:tcW w:w="4674" w:type="dxa"/>
            <w:tcBorders/>
          </w:tcPr>
          <w:p>
            <w:pPr>
              <w:pStyle w:val="Normal"/>
              <w:spacing w:lineRule="auto" w:line="276" w:before="120" w:after="0"/>
              <w:contextualSpacing/>
              <w:rPr>
                <w:sz w:val="24"/>
                <w:szCs w:val="24"/>
              </w:rPr>
            </w:pPr>
            <w:r>
              <w:rPr>
                <w:sz w:val="24"/>
                <w:szCs w:val="24"/>
              </w:rPr>
              <w:t>г. Красногорск</w:t>
            </w:r>
          </w:p>
        </w:tc>
        <w:tc>
          <w:tcPr>
            <w:tcW w:w="5390" w:type="dxa"/>
            <w:tcBorders/>
          </w:tcPr>
          <w:p>
            <w:pPr>
              <w:pStyle w:val="Normal"/>
              <w:spacing w:lineRule="auto" w:line="276" w:before="120" w:after="0"/>
              <w:contextualSpacing/>
              <w:jc w:val="end"/>
              <w:rPr>
                <w:sz w:val="24"/>
                <w:szCs w:val="24"/>
              </w:rPr>
            </w:pPr>
            <w:r>
              <w:rPr>
                <w:sz w:val="24"/>
                <w:szCs w:val="24"/>
              </w:rPr>
              <w:t>«___» ___________202_ г.</w:t>
            </w:r>
          </w:p>
        </w:tc>
      </w:tr>
    </w:tbl>
    <w:p>
      <w:pPr>
        <w:pStyle w:val="Normal"/>
        <w:spacing w:lineRule="auto" w:line="276" w:before="120" w:after="0"/>
        <w:contextualSpacing/>
        <w:jc w:val="center"/>
        <w:rPr>
          <w:sz w:val="24"/>
          <w:szCs w:val="24"/>
        </w:rPr>
      </w:pPr>
      <w:r>
        <w:rPr>
          <w:sz w:val="24"/>
          <w:szCs w:val="24"/>
        </w:rPr>
      </w:r>
    </w:p>
    <w:p>
      <w:pPr>
        <w:pStyle w:val="Style51"/>
        <w:spacing w:lineRule="auto" w:line="276" w:before="120" w:after="0"/>
        <w:ind w:firstLine="708" w:start="357"/>
        <w:contextualSpacing/>
        <w:rPr/>
      </w:pPr>
      <w:r>
        <w:rPr/>
        <w:t>_______________________________________________________________, именуемое в дальнейшем «Заказчик», в лице____________________________________________, с одной стороны, и _________________, именуемое в дальнейшем «Исполнитель», в лице___________________________________, с другой стороны, составили настоящий Акт о нижеследующем:</w:t>
      </w:r>
    </w:p>
    <w:p>
      <w:pPr>
        <w:pStyle w:val="Style51"/>
        <w:numPr>
          <w:ilvl w:val="0"/>
          <w:numId w:val="26"/>
        </w:numPr>
        <w:spacing w:lineRule="auto" w:line="276" w:before="120" w:after="0"/>
        <w:contextualSpacing/>
        <w:rPr/>
      </w:pPr>
      <w:r>
        <w:rPr/>
        <w:t>В соответствии с Договором от «___» ____________ 202_ г. № ___________________ (далее – Договор) Исполнитель разместил исходный код специального программного обеспечения (далее — СПО) Государственной информационной системы ______________________ (далее – Система) в Репозитории исходных кодов Заказчика (далее – Репозиторий).</w:t>
      </w:r>
    </w:p>
    <w:p>
      <w:pPr>
        <w:pStyle w:val="Style51"/>
        <w:numPr>
          <w:ilvl w:val="0"/>
          <w:numId w:val="26"/>
        </w:numPr>
        <w:spacing w:lineRule="auto" w:line="276" w:before="120" w:after="0"/>
        <w:contextualSpacing/>
        <w:rPr/>
      </w:pPr>
      <w:r>
        <w:rPr/>
        <w:t>Исполнитель предоставил все средства, необходимые для сборки СПО Системы из исходного кода, размещенного в Репозитории, включая набор приложений и конфигурационных файлов, входящих в состав сборочной среды СПО Системы.</w:t>
      </w:r>
    </w:p>
    <w:p>
      <w:pPr>
        <w:pStyle w:val="Style51"/>
        <w:numPr>
          <w:ilvl w:val="0"/>
          <w:numId w:val="26"/>
        </w:numPr>
        <w:spacing w:lineRule="auto" w:line="276" w:before="120" w:after="0"/>
        <w:contextualSpacing/>
        <w:rPr/>
      </w:pPr>
      <w:r>
        <w:rPr/>
        <w:t>Заказчик подтверждает размещение в Репозитории исходного кода СПО Системы, включая набор приложений и конфигурационных файлов, входящих в состав сборочной среды СПО Системы.</w:t>
      </w:r>
    </w:p>
    <w:p>
      <w:pPr>
        <w:pStyle w:val="Style51"/>
        <w:numPr>
          <w:ilvl w:val="0"/>
          <w:numId w:val="26"/>
        </w:numPr>
        <w:spacing w:lineRule="auto" w:line="276" w:before="120" w:after="0"/>
        <w:contextualSpacing/>
        <w:rPr/>
      </w:pPr>
      <w:r>
        <w:rPr/>
        <w:t>Заказчик выполнил работы по сборке СПО Системы из исходного кода, размещенного в Репозитории.</w:t>
      </w:r>
    </w:p>
    <w:p>
      <w:pPr>
        <w:pStyle w:val="Style51"/>
        <w:spacing w:lineRule="auto" w:line="276" w:before="120" w:after="0"/>
        <w:contextualSpacing/>
        <w:rPr/>
      </w:pPr>
      <w:r>
        <w:rPr/>
      </w:r>
    </w:p>
    <w:tbl>
      <w:tblPr>
        <w:tblW w:w="5000" w:type="pct"/>
        <w:jc w:val="start"/>
        <w:tblInd w:w="0" w:type="dxa"/>
        <w:tblLayout w:type="fixed"/>
        <w:tblCellMar>
          <w:top w:w="0" w:type="dxa"/>
          <w:start w:w="0" w:type="dxa"/>
          <w:bottom w:w="0" w:type="dxa"/>
          <w:end w:w="0" w:type="dxa"/>
        </w:tblCellMar>
        <w:tblLook w:val="0000" w:noHBand="0" w:noVBand="0" w:firstColumn="0" w:lastRow="0" w:lastColumn="0" w:firstRow="0"/>
      </w:tblPr>
      <w:tblGrid>
        <w:gridCol w:w="4814"/>
        <w:gridCol w:w="5106"/>
      </w:tblGrid>
      <w:tr>
        <w:trPr/>
        <w:tc>
          <w:tcPr>
            <w:tcW w:w="4814" w:type="dxa"/>
            <w:tcBorders/>
          </w:tcPr>
          <w:p>
            <w:pPr>
              <w:pStyle w:val="Normal"/>
              <w:spacing w:lineRule="auto" w:line="276" w:before="0" w:after="0"/>
              <w:ind w:hanging="0" w:start="284"/>
              <w:contextualSpacing/>
              <w:rPr>
                <w:sz w:val="24"/>
                <w:szCs w:val="24"/>
              </w:rPr>
            </w:pPr>
            <w:r>
              <w:rPr>
                <w:sz w:val="24"/>
                <w:szCs w:val="24"/>
              </w:rPr>
              <w:t>Сдал:</w:t>
            </w:r>
          </w:p>
          <w:p>
            <w:pPr>
              <w:pStyle w:val="Normal"/>
              <w:spacing w:lineRule="auto" w:line="276" w:before="120" w:after="0"/>
              <w:ind w:hanging="0" w:start="284"/>
              <w:contextualSpacing/>
              <w:rPr>
                <w:sz w:val="24"/>
                <w:szCs w:val="24"/>
              </w:rPr>
            </w:pPr>
            <w:r>
              <w:rPr>
                <w:sz w:val="24"/>
                <w:szCs w:val="24"/>
              </w:rPr>
              <w:t>Ответственный</w:t>
            </w:r>
          </w:p>
          <w:p>
            <w:pPr>
              <w:pStyle w:val="Normal"/>
              <w:spacing w:lineRule="auto" w:line="276" w:before="120" w:after="0"/>
              <w:ind w:hanging="0" w:start="284"/>
              <w:contextualSpacing/>
              <w:rPr>
                <w:sz w:val="24"/>
                <w:szCs w:val="24"/>
              </w:rPr>
            </w:pPr>
            <w:r>
              <w:rPr>
                <w:sz w:val="24"/>
                <w:szCs w:val="24"/>
              </w:rPr>
              <w:t>представитель Исполнителя:</w:t>
            </w:r>
          </w:p>
          <w:p>
            <w:pPr>
              <w:pStyle w:val="Normal"/>
              <w:spacing w:lineRule="auto" w:line="276" w:before="0" w:after="0"/>
              <w:ind w:hanging="0" w:start="284"/>
              <w:contextualSpacing/>
              <w:jc w:val="start"/>
              <w:rPr>
                <w:rFonts w:eastAsia="Batang"/>
                <w:i/>
                <w:i/>
                <w:iCs/>
                <w:caps/>
                <w:sz w:val="24"/>
                <w:szCs w:val="24"/>
              </w:rPr>
            </w:pPr>
            <w:r>
              <w:rPr>
                <w:rFonts w:eastAsia="Batang"/>
                <w:sz w:val="24"/>
                <w:szCs w:val="24"/>
              </w:rPr>
              <w:t>ФИО ____________________</w:t>
            </w:r>
          </w:p>
          <w:p>
            <w:pPr>
              <w:pStyle w:val="Normal"/>
              <w:spacing w:lineRule="auto" w:line="276" w:before="0" w:after="0"/>
              <w:ind w:hanging="0" w:start="284"/>
              <w:contextualSpacing/>
              <w:jc w:val="start"/>
              <w:rPr>
                <w:rFonts w:eastAsia="Batang"/>
                <w:i/>
                <w:i/>
                <w:iCs/>
                <w:caps/>
                <w:sz w:val="24"/>
                <w:szCs w:val="24"/>
              </w:rPr>
            </w:pPr>
            <w:r>
              <w:rPr>
                <w:rFonts w:eastAsia="Batang"/>
                <w:sz w:val="24"/>
                <w:szCs w:val="24"/>
              </w:rPr>
              <w:t>Должность _______________</w:t>
            </w:r>
          </w:p>
        </w:tc>
        <w:tc>
          <w:tcPr>
            <w:tcW w:w="5106" w:type="dxa"/>
            <w:tcBorders/>
          </w:tcPr>
          <w:p>
            <w:pPr>
              <w:pStyle w:val="Normal"/>
              <w:spacing w:lineRule="auto" w:line="276" w:before="120" w:after="0"/>
              <w:ind w:firstLine="430" w:start="357"/>
              <w:contextualSpacing/>
              <w:rPr>
                <w:sz w:val="24"/>
                <w:szCs w:val="24"/>
              </w:rPr>
            </w:pPr>
            <w:r>
              <w:rPr>
                <w:sz w:val="24"/>
                <w:szCs w:val="24"/>
              </w:rPr>
              <w:t>Принял:</w:t>
            </w:r>
          </w:p>
          <w:p>
            <w:pPr>
              <w:pStyle w:val="Normal"/>
              <w:spacing w:lineRule="auto" w:line="276" w:before="120" w:after="0"/>
              <w:ind w:firstLine="430" w:start="357"/>
              <w:contextualSpacing/>
              <w:rPr>
                <w:sz w:val="24"/>
                <w:szCs w:val="24"/>
              </w:rPr>
            </w:pPr>
            <w:r>
              <w:rPr>
                <w:sz w:val="24"/>
                <w:szCs w:val="24"/>
              </w:rPr>
              <w:t>Ответственный представитель</w:t>
            </w:r>
          </w:p>
          <w:p>
            <w:pPr>
              <w:pStyle w:val="Normal"/>
              <w:spacing w:lineRule="auto" w:line="276" w:before="120" w:after="0"/>
              <w:ind w:firstLine="430" w:start="357"/>
              <w:contextualSpacing/>
              <w:rPr>
                <w:sz w:val="24"/>
                <w:szCs w:val="24"/>
              </w:rPr>
            </w:pPr>
            <w:r>
              <w:rPr>
                <w:sz w:val="24"/>
                <w:szCs w:val="24"/>
              </w:rPr>
              <w:t>Заказчика:</w:t>
            </w:r>
          </w:p>
          <w:p>
            <w:pPr>
              <w:pStyle w:val="Normal"/>
              <w:spacing w:lineRule="auto" w:line="276" w:before="0" w:after="0"/>
              <w:ind w:hanging="0" w:start="792"/>
              <w:contextualSpacing/>
              <w:jc w:val="start"/>
              <w:rPr>
                <w:rFonts w:eastAsia="Batang"/>
                <w:i/>
                <w:i/>
                <w:iCs/>
                <w:caps/>
                <w:sz w:val="24"/>
                <w:szCs w:val="24"/>
              </w:rPr>
            </w:pPr>
            <w:r>
              <w:rPr>
                <w:rFonts w:eastAsia="Batang"/>
                <w:sz w:val="24"/>
                <w:szCs w:val="24"/>
              </w:rPr>
              <w:t>ФИО ____________________</w:t>
            </w:r>
          </w:p>
          <w:p>
            <w:pPr>
              <w:pStyle w:val="Normal"/>
              <w:spacing w:lineRule="auto" w:line="276" w:before="120" w:after="0"/>
              <w:ind w:firstLine="430" w:start="357"/>
              <w:contextualSpacing/>
              <w:rPr>
                <w:sz w:val="24"/>
                <w:szCs w:val="24"/>
              </w:rPr>
            </w:pPr>
            <w:r>
              <w:rPr>
                <w:rFonts w:eastAsia="Batang"/>
                <w:sz w:val="24"/>
                <w:szCs w:val="24"/>
              </w:rPr>
              <w:t>Должность _______________</w:t>
            </w:r>
          </w:p>
        </w:tc>
      </w:tr>
      <w:tr>
        <w:trPr>
          <w:trHeight w:val="902" w:hRule="atLeast"/>
        </w:trPr>
        <w:tc>
          <w:tcPr>
            <w:tcW w:w="4814" w:type="dxa"/>
            <w:tcBorders/>
          </w:tcPr>
          <w:p>
            <w:pPr>
              <w:pStyle w:val="Normal"/>
              <w:spacing w:lineRule="auto" w:line="276" w:before="120" w:after="0"/>
              <w:ind w:firstLine="426" w:start="357"/>
              <w:contextualSpacing/>
              <w:rPr>
                <w:sz w:val="24"/>
                <w:szCs w:val="24"/>
              </w:rPr>
            </w:pPr>
            <w:r>
              <w:rPr>
                <w:sz w:val="24"/>
                <w:szCs w:val="24"/>
              </w:rPr>
              <w:t>_______________ ____________</w:t>
            </w:r>
          </w:p>
          <w:p>
            <w:pPr>
              <w:pStyle w:val="Normal"/>
              <w:spacing w:lineRule="auto" w:line="276" w:before="120" w:after="0"/>
              <w:ind w:firstLine="426" w:start="357"/>
              <w:contextualSpacing/>
              <w:rPr>
                <w:sz w:val="24"/>
                <w:szCs w:val="24"/>
              </w:rPr>
            </w:pPr>
            <w:r>
              <w:rPr>
                <w:sz w:val="24"/>
                <w:szCs w:val="24"/>
              </w:rPr>
              <w:t>«___» __________________ 202_ г.</w:t>
            </w:r>
          </w:p>
        </w:tc>
        <w:tc>
          <w:tcPr>
            <w:tcW w:w="5106" w:type="dxa"/>
            <w:tcBorders/>
          </w:tcPr>
          <w:p>
            <w:pPr>
              <w:pStyle w:val="Normal"/>
              <w:spacing w:lineRule="auto" w:line="276" w:before="120" w:after="0"/>
              <w:ind w:firstLine="430" w:start="357"/>
              <w:contextualSpacing/>
              <w:rPr>
                <w:sz w:val="24"/>
                <w:szCs w:val="24"/>
              </w:rPr>
            </w:pPr>
            <w:r>
              <w:rPr>
                <w:sz w:val="24"/>
                <w:szCs w:val="24"/>
              </w:rPr>
              <w:t>_______________ ____________</w:t>
            </w:r>
          </w:p>
          <w:p>
            <w:pPr>
              <w:pStyle w:val="Normal"/>
              <w:spacing w:lineRule="auto" w:line="276" w:before="120" w:after="0"/>
              <w:ind w:firstLine="430" w:start="357"/>
              <w:contextualSpacing/>
              <w:rPr>
                <w:sz w:val="24"/>
                <w:szCs w:val="24"/>
              </w:rPr>
            </w:pPr>
            <w:r>
              <w:rPr>
                <w:sz w:val="24"/>
                <w:szCs w:val="24"/>
              </w:rPr>
              <w:t>«___» __________________ 202_ г.</w:t>
            </w:r>
          </w:p>
        </w:tc>
      </w:tr>
    </w:tbl>
    <w:p>
      <w:pPr>
        <w:sectPr>
          <w:headerReference w:type="even" r:id="rId61"/>
          <w:headerReference w:type="default" r:id="rId62"/>
          <w:headerReference w:type="first" r:id="rId63"/>
          <w:footerReference w:type="even" r:id="rId64"/>
          <w:footerReference w:type="default" r:id="rId65"/>
          <w:footerReference w:type="first" r:id="rId66"/>
          <w:footnotePr>
            <w:numFmt w:val="decimal"/>
          </w:footnotePr>
          <w:type w:val="nextPage"/>
          <w:pgSz w:w="11906" w:h="16838"/>
          <w:pgMar w:left="1134" w:right="851" w:gutter="0" w:header="709" w:top="1134" w:footer="709" w:bottom="1134"/>
          <w:pgNumType w:fmt="decimal"/>
          <w:formProt w:val="false"/>
          <w:textDirection w:val="lrTb"/>
          <w:docGrid w:type="default" w:linePitch="299" w:charSpace="0"/>
        </w:sectPr>
      </w:pPr>
    </w:p>
    <w:p>
      <w:pPr>
        <w:pStyle w:val="15"/>
        <w:numPr>
          <w:ilvl w:val="0"/>
          <w:numId w:val="0"/>
        </w:numPr>
        <w:spacing w:lineRule="auto" w:line="240" w:before="0" w:after="0"/>
        <w:ind w:hanging="0" w:start="709"/>
        <w:jc w:val="end"/>
        <w:rPr>
          <w:rFonts w:ascii="Times New Roman" w:hAnsi="Times New Roman"/>
        </w:rPr>
      </w:pPr>
      <w:bookmarkStart w:id="315" w:name="__RefHeading___Toc33598_3559854210"/>
      <w:bookmarkStart w:id="316" w:name="_Toc176951314"/>
      <w:bookmarkStart w:id="317" w:name="_Toc154142268"/>
      <w:bookmarkStart w:id="318" w:name="_Hlk177129562"/>
      <w:bookmarkStart w:id="319" w:name="_Toc215755917"/>
      <w:bookmarkStart w:id="320" w:name="_Hlk177654543"/>
      <w:bookmarkEnd w:id="315"/>
      <w:bookmarkEnd w:id="320"/>
      <w:r>
        <w:rPr>
          <w:rFonts w:ascii="Times New Roman" w:hAnsi="Times New Roman"/>
        </w:rPr>
        <w:t>Приложение В</w:t>
      </w:r>
      <w:bookmarkEnd w:id="316"/>
      <w:bookmarkEnd w:id="317"/>
      <w:bookmarkEnd w:id="318"/>
      <w:bookmarkEnd w:id="319"/>
    </w:p>
    <w:p>
      <w:pPr>
        <w:pStyle w:val="Normal"/>
        <w:spacing w:lineRule="auto" w:line="276" w:before="0" w:after="0"/>
        <w:ind w:hanging="0" w:start="0"/>
        <w:contextualSpacing/>
        <w:jc w:val="start"/>
        <w:rPr>
          <w:sz w:val="24"/>
          <w:szCs w:val="24"/>
          <w:lang w:eastAsia="ru-RU"/>
        </w:rPr>
      </w:pPr>
      <w:r>
        <w:rPr>
          <w:sz w:val="24"/>
          <w:szCs w:val="24"/>
          <w:lang w:eastAsia="ru-RU"/>
        </w:rPr>
      </w:r>
    </w:p>
    <w:p>
      <w:pPr>
        <w:pStyle w:val="Normal"/>
        <w:spacing w:lineRule="auto" w:line="276" w:before="0" w:after="0"/>
        <w:ind w:firstLine="709" w:start="0"/>
        <w:contextualSpacing/>
        <w:jc w:val="center"/>
        <w:rPr>
          <w:rFonts w:eastAsia="Batang"/>
          <w:b/>
          <w:sz w:val="24"/>
          <w:szCs w:val="24"/>
        </w:rPr>
      </w:pPr>
      <w:r>
        <w:rPr>
          <w:rFonts w:eastAsia="Batang"/>
          <w:b/>
          <w:sz w:val="24"/>
          <w:szCs w:val="24"/>
        </w:rPr>
        <w:t>СОГЛАШЕНИЕ ОБ ОБЕСПЕЧЕНИИ КОНФИДЕНЦИАЛЬНОСТИ</w:t>
      </w:r>
    </w:p>
    <w:p>
      <w:pPr>
        <w:pStyle w:val="Normal"/>
        <w:widowControl w:val="false"/>
        <w:spacing w:lineRule="auto" w:line="276" w:before="0" w:after="0"/>
        <w:ind w:hanging="0" w:start="0"/>
        <w:contextualSpacing/>
        <w:rPr>
          <w:rFonts w:eastAsia="Batang"/>
          <w:sz w:val="24"/>
          <w:szCs w:val="24"/>
        </w:rPr>
      </w:pPr>
      <w:r>
        <w:rPr>
          <w:rFonts w:eastAsia="Batang"/>
          <w:sz w:val="24"/>
          <w:szCs w:val="24"/>
        </w:rPr>
      </w:r>
    </w:p>
    <w:p>
      <w:pPr>
        <w:pStyle w:val="Normal"/>
        <w:widowControl w:val="false"/>
        <w:spacing w:lineRule="auto" w:line="276" w:before="0" w:after="0"/>
        <w:ind w:hanging="0" w:start="0"/>
        <w:contextualSpacing/>
        <w:rPr>
          <w:rFonts w:eastAsia="Batang"/>
          <w:sz w:val="24"/>
          <w:szCs w:val="24"/>
        </w:rPr>
      </w:pPr>
      <w:r>
        <w:rPr>
          <w:rFonts w:eastAsia="Batang"/>
          <w:sz w:val="24"/>
          <w:szCs w:val="24"/>
        </w:rPr>
        <w:t>г. _______                                                                                                      «____» __________ 202_ г.</w:t>
      </w:r>
    </w:p>
    <w:p>
      <w:pPr>
        <w:pStyle w:val="Normal"/>
        <w:widowControl w:val="false"/>
        <w:spacing w:lineRule="auto" w:line="276" w:before="0" w:after="0"/>
        <w:ind w:hanging="0" w:start="0"/>
        <w:contextualSpacing/>
        <w:rPr>
          <w:rFonts w:eastAsia="Batang"/>
          <w:sz w:val="24"/>
          <w:szCs w:val="24"/>
        </w:rPr>
      </w:pPr>
      <w:r>
        <w:rPr>
          <w:rFonts w:eastAsia="Batang"/>
          <w:sz w:val="24"/>
          <w:szCs w:val="24"/>
        </w:rPr>
      </w:r>
    </w:p>
    <w:p>
      <w:pPr>
        <w:pStyle w:val="Normal"/>
        <w:spacing w:lineRule="auto" w:line="276" w:before="0" w:after="0"/>
        <w:ind w:firstLine="709" w:start="0"/>
        <w:contextualSpacing/>
        <w:rPr>
          <w:rFonts w:eastAsia="Batang"/>
          <w:sz w:val="24"/>
          <w:szCs w:val="24"/>
        </w:rPr>
      </w:pPr>
      <w:r>
        <w:rPr>
          <w:rFonts w:eastAsia="Batang"/>
          <w:sz w:val="24"/>
          <w:szCs w:val="24"/>
        </w:rPr>
        <w:t>_____________________, именуемое в дальнейшем «Заказчик», в лице</w:t>
      </w:r>
      <w:r>
        <w:rPr>
          <w:rFonts w:eastAsia="Batang"/>
          <w:bCs/>
          <w:sz w:val="24"/>
          <w:szCs w:val="24"/>
        </w:rPr>
        <w:t xml:space="preserve"> _______________________________, </w:t>
      </w:r>
      <w:bookmarkStart w:id="321" w:name="_Hlk65610701"/>
      <w:r>
        <w:rPr>
          <w:rFonts w:eastAsia="Batang"/>
          <w:bCs/>
          <w:sz w:val="24"/>
          <w:szCs w:val="24"/>
        </w:rPr>
        <w:t xml:space="preserve">действующего на основании ________________________________________, </w:t>
      </w:r>
      <w:bookmarkEnd w:id="321"/>
      <w:r>
        <w:rPr>
          <w:rFonts w:eastAsia="Batang"/>
          <w:bCs/>
          <w:sz w:val="24"/>
          <w:szCs w:val="24"/>
        </w:rPr>
        <w:t xml:space="preserve">с одной стороны и </w:t>
      </w:r>
      <w:r>
        <w:rPr>
          <w:rFonts w:eastAsia="Batang"/>
          <w:sz w:val="24"/>
          <w:szCs w:val="24"/>
        </w:rPr>
        <w:t>____________________________,</w:t>
      </w:r>
      <w:r>
        <w:rPr>
          <w:rFonts w:eastAsia="Batang"/>
          <w:bCs/>
          <w:sz w:val="24"/>
          <w:szCs w:val="24"/>
        </w:rPr>
        <w:t xml:space="preserve"> именуемое в дальнейшем «Исполнитель», в лице  ______________________</w:t>
      </w:r>
      <w:r>
        <w:rPr>
          <w:rFonts w:eastAsia="Batang"/>
          <w:sz w:val="24"/>
          <w:szCs w:val="24"/>
        </w:rPr>
        <w:t>,</w:t>
      </w:r>
      <w:r>
        <w:rPr>
          <w:rFonts w:eastAsia="Batang"/>
          <w:bCs/>
          <w:sz w:val="24"/>
          <w:szCs w:val="24"/>
        </w:rPr>
        <w:t xml:space="preserve"> действующего на основании __________________________________, с другой стороны, совместно именуемые в дальнейшем «Стороны», в рамках заключенного Договора от ___________ №__________ «На оказание услуг по сопровождению Государственной информационной системы «Х» (далее – Договор), руководствуясь принципами соблюдения условий гарантированной защиты конфиденциальной информации, заключили настоящее</w:t>
      </w:r>
      <w:r>
        <w:rPr>
          <w:rFonts w:eastAsia="Batang"/>
          <w:sz w:val="24"/>
          <w:szCs w:val="24"/>
        </w:rPr>
        <w:t xml:space="preserve"> Соглашение о взаимном обеспечении конфиденциальности (далее – Соглашение) о нижеследующем:</w:t>
      </w:r>
    </w:p>
    <w:p>
      <w:pPr>
        <w:pStyle w:val="Normal"/>
        <w:spacing w:lineRule="auto" w:line="276" w:before="0" w:after="0"/>
        <w:ind w:firstLine="709" w:start="0"/>
        <w:contextualSpacing/>
        <w:rPr>
          <w:rFonts w:eastAsia="Batang"/>
          <w:sz w:val="24"/>
          <w:szCs w:val="24"/>
        </w:rPr>
      </w:pPr>
      <w:r>
        <w:rPr>
          <w:rFonts w:eastAsia="Batang"/>
          <w:sz w:val="24"/>
          <w:szCs w:val="24"/>
        </w:rPr>
      </w:r>
    </w:p>
    <w:p>
      <w:pPr>
        <w:pStyle w:val="Normal"/>
        <w:widowControl w:val="false"/>
        <w:spacing w:lineRule="auto" w:line="276" w:before="0" w:after="0"/>
        <w:ind w:firstLine="709" w:start="0"/>
        <w:contextualSpacing/>
        <w:jc w:val="center"/>
        <w:rPr>
          <w:rFonts w:eastAsia="Batang"/>
          <w:b/>
          <w:bCs/>
          <w:sz w:val="24"/>
          <w:szCs w:val="24"/>
        </w:rPr>
      </w:pPr>
      <w:bookmarkStart w:id="322" w:name="Par17"/>
      <w:bookmarkEnd w:id="322"/>
      <w:r>
        <w:rPr>
          <w:rFonts w:eastAsia="Batang"/>
          <w:b/>
          <w:bCs/>
          <w:sz w:val="24"/>
          <w:szCs w:val="24"/>
        </w:rPr>
        <w:t>1. ТЕРМИНЫ И ОПРЕДЕЛЕНИЯ</w:t>
      </w:r>
    </w:p>
    <w:p>
      <w:pPr>
        <w:pStyle w:val="Normal"/>
        <w:widowControl w:val="false"/>
        <w:spacing w:lineRule="auto" w:line="276" w:before="0" w:after="0"/>
        <w:ind w:firstLine="709" w:start="0"/>
        <w:contextualSpacing/>
        <w:jc w:val="start"/>
        <w:rPr>
          <w:rFonts w:eastAsia="Batang"/>
          <w:sz w:val="24"/>
          <w:szCs w:val="24"/>
        </w:rPr>
      </w:pPr>
      <w:r>
        <w:rPr>
          <w:rFonts w:eastAsia="Batang"/>
          <w:sz w:val="24"/>
          <w:szCs w:val="24"/>
        </w:rPr>
      </w:r>
    </w:p>
    <w:p>
      <w:pPr>
        <w:pStyle w:val="Normal"/>
        <w:widowControl w:val="false"/>
        <w:spacing w:lineRule="auto" w:line="276" w:before="0" w:after="0"/>
        <w:ind w:firstLine="540" w:start="0"/>
        <w:contextualSpacing/>
        <w:rPr>
          <w:rFonts w:eastAsia="Batang"/>
          <w:sz w:val="24"/>
          <w:szCs w:val="24"/>
        </w:rPr>
      </w:pPr>
      <w:r>
        <w:rPr>
          <w:rFonts w:eastAsia="Batang"/>
          <w:sz w:val="24"/>
          <w:szCs w:val="24"/>
        </w:rPr>
        <w:t xml:space="preserve">1.1. Используемый в тексте Соглашения термин </w:t>
      </w:r>
      <w:r>
        <w:rPr>
          <w:rFonts w:eastAsia="Batang"/>
          <w:b/>
          <w:bCs/>
          <w:sz w:val="24"/>
          <w:szCs w:val="24"/>
        </w:rPr>
        <w:t>«Конфиденциальная информация»</w:t>
      </w:r>
      <w:r>
        <w:rPr>
          <w:rFonts w:eastAsia="Batang"/>
          <w:sz w:val="24"/>
          <w:szCs w:val="24"/>
        </w:rPr>
        <w:t xml:space="preserve"> это передаваемая в любой (письменной, устной, электронной, графической и т.д.) форме раскрывающей Стороной информация, в том числе, но не ограничиваясь, сведения о лицах (включая персональные данные физических лиц), предметах, фактах, событиях, явлениях и процессах, независимо от формы и представления, составляющие коммерческую тайну, или другие сведения конфиденциального характера, и охраняемые в соответствии с законодательством Российской Федерации, а также нормативными актами и документами Заказчика по защите Конфиденциальной информации, а также любую иную информацию, обозначенную в качестве таковой или на которой имеется ссылка как на Конфиденциальную информацию.</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 xml:space="preserve">1.2. Понятие </w:t>
      </w:r>
      <w:r>
        <w:rPr>
          <w:rFonts w:eastAsia="Batang"/>
          <w:b/>
          <w:bCs/>
          <w:sz w:val="24"/>
          <w:szCs w:val="24"/>
        </w:rPr>
        <w:t>«Стороны»</w:t>
      </w:r>
      <w:r>
        <w:rPr>
          <w:rFonts w:eastAsia="Batang"/>
          <w:sz w:val="24"/>
          <w:szCs w:val="24"/>
        </w:rPr>
        <w:t xml:space="preserve"> включает «Заказчика» и «Исполнителя», в том числе их законных правопреемников. Понятие «Исполнитель» включает работников Исполнителя, которые получают доступ к Конфиденциальной информации в соответствии с пунктом 3.1 настоящего Соглашения.</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 xml:space="preserve">1.3. Понятие </w:t>
      </w:r>
      <w:r>
        <w:rPr>
          <w:rFonts w:eastAsia="Batang"/>
          <w:b/>
          <w:bCs/>
          <w:sz w:val="24"/>
          <w:szCs w:val="24"/>
        </w:rPr>
        <w:t>«Соглашение»</w:t>
      </w:r>
      <w:r>
        <w:rPr>
          <w:rFonts w:eastAsia="Batang"/>
          <w:sz w:val="24"/>
          <w:szCs w:val="24"/>
        </w:rPr>
        <w:t xml:space="preserve"> означает настоящее Соглашение о конфиденциальности между Сторонами с учетом изменений и дополнений, вносимых Сторонами в соответствии с пунктом 6.5 настоящего Соглашения. Все ссылки в тексте Соглашения на статьи и пункты понимаются как ссылки на статьи и пункты настоящего Соглашения.</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1.4. Разглашение информации, составляющей «Конфиденциальную информацию» - действие или бездействие, в результате которых соответствующая информация, в любой возможной форме (устной, письменной, иной форме, в том числе с использованием технических средств) становится известной третьим лицам без согласия обладателя такой информации либо вопреки трудовому или гражданско-правовому договору.</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1.5. Защита информации - организационные, правовые, технические и технологические меры по предотвращению угроз информационной безопасности и устранению их последствий.</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1.6. Средства защиты информации - технические, криптографические, программные и другие средства, предназначенные для защиты сведений, составляющих коммерческую тайну, и иных конфиденциальных сведений, средства, в которых они реализованы, а также средства контроля эффективности защиты информации.</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1.7. Обработка сведений (информации) - получение, хранение, преобразование, комбинирование, передача или любое другое использование сведений (информации).</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r>
    </w:p>
    <w:p>
      <w:pPr>
        <w:pStyle w:val="ListParagraph"/>
        <w:widowControl w:val="false"/>
        <w:numPr>
          <w:ilvl w:val="0"/>
          <w:numId w:val="24"/>
        </w:numPr>
        <w:spacing w:lineRule="auto" w:line="276" w:before="0" w:after="0"/>
        <w:contextualSpacing/>
        <w:jc w:val="center"/>
        <w:rPr>
          <w:rFonts w:eastAsia="Batang"/>
          <w:b/>
          <w:bCs/>
        </w:rPr>
      </w:pPr>
      <w:bookmarkStart w:id="323" w:name="Par23"/>
      <w:bookmarkEnd w:id="323"/>
      <w:r>
        <w:rPr>
          <w:rFonts w:eastAsia="Batang"/>
          <w:b/>
          <w:bCs/>
        </w:rPr>
        <w:t>ПРЕДМЕТ СОГЛАШЕНИЯ</w:t>
      </w:r>
    </w:p>
    <w:p>
      <w:pPr>
        <w:pStyle w:val="Normal"/>
        <w:widowControl w:val="false"/>
        <w:spacing w:lineRule="auto" w:line="276" w:before="0" w:after="0"/>
        <w:ind w:firstLine="540" w:start="0"/>
        <w:contextualSpacing/>
        <w:rPr>
          <w:rFonts w:eastAsia="Batang"/>
          <w:b/>
          <w:bCs/>
          <w:sz w:val="24"/>
          <w:szCs w:val="24"/>
        </w:rPr>
      </w:pPr>
      <w:r>
        <w:rPr>
          <w:rFonts w:eastAsia="Batang"/>
          <w:b/>
          <w:bCs/>
          <w:sz w:val="24"/>
          <w:szCs w:val="24"/>
        </w:rPr>
      </w:r>
    </w:p>
    <w:p>
      <w:pPr>
        <w:pStyle w:val="Normal"/>
        <w:tabs>
          <w:tab w:val="clear" w:pos="708"/>
          <w:tab w:val="left" w:pos="1418" w:leader="none"/>
        </w:tabs>
        <w:spacing w:lineRule="auto" w:line="276" w:before="0" w:after="0"/>
        <w:ind w:firstLine="709" w:start="0"/>
        <w:contextualSpacing/>
        <w:rPr>
          <w:rFonts w:eastAsia="Batang"/>
          <w:sz w:val="24"/>
          <w:szCs w:val="24"/>
        </w:rPr>
      </w:pPr>
      <w:r>
        <w:rPr>
          <w:rFonts w:eastAsia="Batang"/>
          <w:sz w:val="24"/>
          <w:szCs w:val="24"/>
        </w:rPr>
        <w:t>2.1. На условиях Соглашения Заказчик вправе передавать Исполнителю Конфиденциальную информацию, а Исполнитель обязуется обеспечить защиту Конфиденциальной информации на уровне, обеспечивающем соблюдение требований законодательства Российской Федерации, в том числе:</w:t>
      </w:r>
    </w:p>
    <w:p>
      <w:pPr>
        <w:pStyle w:val="Normal"/>
        <w:tabs>
          <w:tab w:val="clear" w:pos="708"/>
          <w:tab w:val="left" w:pos="1418" w:leader="none"/>
        </w:tabs>
        <w:spacing w:lineRule="auto" w:line="276" w:before="0" w:after="0"/>
        <w:ind w:firstLine="709" w:start="0"/>
        <w:contextualSpacing/>
        <w:rPr>
          <w:rFonts w:eastAsia="Batang"/>
          <w:sz w:val="24"/>
          <w:szCs w:val="24"/>
        </w:rPr>
      </w:pPr>
      <w:r>
        <w:rPr>
          <w:rFonts w:eastAsia="Batang"/>
          <w:sz w:val="24"/>
          <w:szCs w:val="24"/>
        </w:rPr>
        <w:t>– </w:t>
      </w:r>
      <w:r>
        <w:rPr>
          <w:rFonts w:eastAsia="Batang"/>
          <w:sz w:val="24"/>
          <w:szCs w:val="24"/>
        </w:rPr>
        <w:t>Федерального закона от 27.07.2006 № 152-ФЗ «О персональных данных»;</w:t>
      </w:r>
    </w:p>
    <w:p>
      <w:pPr>
        <w:pStyle w:val="Normal"/>
        <w:tabs>
          <w:tab w:val="clear" w:pos="708"/>
          <w:tab w:val="left" w:pos="1418" w:leader="none"/>
        </w:tabs>
        <w:spacing w:lineRule="auto" w:line="276" w:before="0" w:after="0"/>
        <w:ind w:firstLine="709" w:start="0"/>
        <w:contextualSpacing/>
        <w:rPr>
          <w:rFonts w:eastAsia="Batang"/>
          <w:sz w:val="24"/>
          <w:szCs w:val="24"/>
        </w:rPr>
      </w:pPr>
      <w:r>
        <w:rPr>
          <w:rFonts w:eastAsia="Batang"/>
          <w:sz w:val="24"/>
          <w:szCs w:val="24"/>
        </w:rPr>
        <w:t>– </w:t>
      </w:r>
      <w:r>
        <w:rPr>
          <w:rFonts w:eastAsia="Batang"/>
          <w:sz w:val="24"/>
          <w:szCs w:val="24"/>
        </w:rPr>
        <w:t>Федерального закона от 06.042011 № 63-ФЗ «Об электронной подписи»;</w:t>
      </w:r>
    </w:p>
    <w:p>
      <w:pPr>
        <w:pStyle w:val="Normal"/>
        <w:tabs>
          <w:tab w:val="clear" w:pos="708"/>
          <w:tab w:val="left" w:pos="1418" w:leader="none"/>
        </w:tabs>
        <w:spacing w:lineRule="auto" w:line="276" w:before="0" w:after="0"/>
        <w:ind w:firstLine="709" w:start="0"/>
        <w:contextualSpacing/>
        <w:rPr>
          <w:rFonts w:eastAsia="Batang"/>
          <w:sz w:val="24"/>
          <w:szCs w:val="24"/>
        </w:rPr>
      </w:pPr>
      <w:r>
        <w:rPr>
          <w:rFonts w:eastAsia="Batang"/>
          <w:sz w:val="24"/>
          <w:szCs w:val="24"/>
        </w:rPr>
        <w:t>– </w:t>
      </w:r>
      <w:r>
        <w:rPr>
          <w:rFonts w:eastAsia="Batang"/>
          <w:sz w:val="24"/>
          <w:szCs w:val="24"/>
        </w:rPr>
        <w:t>Федерального закона от 27.07.2006 № 149-ФЗ «Об информации, информационных технологиях и о защите информации»;</w:t>
      </w:r>
    </w:p>
    <w:p>
      <w:pPr>
        <w:pStyle w:val="Normal"/>
        <w:tabs>
          <w:tab w:val="clear" w:pos="708"/>
          <w:tab w:val="left" w:pos="1418" w:leader="none"/>
        </w:tabs>
        <w:spacing w:lineRule="auto" w:line="276" w:before="0" w:after="0"/>
        <w:ind w:firstLine="709" w:start="0"/>
        <w:contextualSpacing/>
        <w:rPr>
          <w:rFonts w:eastAsia="Batang"/>
          <w:sz w:val="24"/>
          <w:szCs w:val="24"/>
        </w:rPr>
      </w:pPr>
      <w:r>
        <w:rPr>
          <w:rFonts w:eastAsia="Batang"/>
          <w:sz w:val="24"/>
          <w:szCs w:val="24"/>
        </w:rPr>
        <w:t>– </w:t>
      </w:r>
      <w:r>
        <w:rPr>
          <w:rFonts w:eastAsia="Batang"/>
          <w:sz w:val="24"/>
          <w:szCs w:val="24"/>
        </w:rPr>
        <w:t>постановления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pPr>
        <w:pStyle w:val="Normal"/>
        <w:tabs>
          <w:tab w:val="clear" w:pos="708"/>
          <w:tab w:val="left" w:pos="1418" w:leader="none"/>
        </w:tabs>
        <w:spacing w:lineRule="auto" w:line="276" w:before="0" w:after="0"/>
        <w:ind w:firstLine="709" w:start="0"/>
        <w:contextualSpacing/>
        <w:rPr>
          <w:rFonts w:eastAsia="Batang"/>
          <w:sz w:val="24"/>
          <w:szCs w:val="24"/>
        </w:rPr>
      </w:pPr>
      <w:r>
        <w:rPr>
          <w:rFonts w:eastAsia="Batang"/>
          <w:sz w:val="24"/>
          <w:szCs w:val="24"/>
        </w:rPr>
        <w:t>– </w:t>
      </w:r>
      <w:r>
        <w:rPr>
          <w:rFonts w:eastAsia="Batang"/>
          <w:sz w:val="24"/>
          <w:szCs w:val="24"/>
        </w:rPr>
        <w:t>постановления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pPr>
        <w:pStyle w:val="Normal"/>
        <w:tabs>
          <w:tab w:val="clear" w:pos="708"/>
          <w:tab w:val="left" w:pos="1418" w:leader="none"/>
        </w:tabs>
        <w:spacing w:lineRule="auto" w:line="276" w:before="0" w:after="0"/>
        <w:ind w:firstLine="709" w:start="0"/>
        <w:contextualSpacing/>
        <w:rPr>
          <w:rFonts w:eastAsia="Batang"/>
          <w:sz w:val="24"/>
          <w:szCs w:val="24"/>
        </w:rPr>
      </w:pPr>
      <w:r>
        <w:rPr>
          <w:rFonts w:eastAsia="Batang"/>
          <w:sz w:val="24"/>
          <w:szCs w:val="24"/>
        </w:rPr>
        <w:t>– </w:t>
      </w:r>
      <w:r>
        <w:rPr>
          <w:rFonts w:eastAsia="Batang"/>
          <w:sz w:val="24"/>
          <w:szCs w:val="24"/>
        </w:rPr>
        <w:t xml:space="preserve">приказа Федеральной службы по техническому и экспортному контролю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2.2. Настоящее Соглашение распространяется на Конфиденциальную информацию, доступ к которой был или будет в течение срока действия Соглашения предоставлен Исполнителю Заказчиком, или которая иным образом станет известной Исполнителю в рамках сотрудничества Сторон.</w:t>
      </w:r>
    </w:p>
    <w:p>
      <w:pPr>
        <w:pStyle w:val="Normal"/>
        <w:widowControl w:val="false"/>
        <w:spacing w:lineRule="auto" w:line="276" w:before="0" w:after="0"/>
        <w:ind w:hanging="0" w:start="0"/>
        <w:contextualSpacing/>
        <w:rPr>
          <w:rFonts w:eastAsia="Batang"/>
          <w:sz w:val="24"/>
          <w:szCs w:val="24"/>
        </w:rPr>
      </w:pPr>
      <w:r>
        <w:rPr>
          <w:rFonts w:eastAsia="Batang"/>
          <w:sz w:val="24"/>
          <w:szCs w:val="24"/>
        </w:rPr>
      </w:r>
    </w:p>
    <w:p>
      <w:pPr>
        <w:pStyle w:val="Normal"/>
        <w:widowControl w:val="false"/>
        <w:spacing w:lineRule="auto" w:line="276" w:before="0" w:after="0"/>
        <w:ind w:firstLine="709" w:start="0"/>
        <w:contextualSpacing/>
        <w:jc w:val="center"/>
        <w:rPr>
          <w:rFonts w:eastAsia="Batang"/>
          <w:b/>
          <w:bCs/>
          <w:sz w:val="24"/>
          <w:szCs w:val="24"/>
        </w:rPr>
      </w:pPr>
      <w:bookmarkStart w:id="324" w:name="Par28"/>
      <w:bookmarkEnd w:id="324"/>
      <w:r>
        <w:rPr>
          <w:rFonts w:eastAsia="Batang"/>
          <w:b/>
          <w:bCs/>
          <w:sz w:val="24"/>
          <w:szCs w:val="24"/>
        </w:rPr>
        <w:t>3. ОБЯЗАННОСТИ СТОРОН</w:t>
      </w:r>
    </w:p>
    <w:p>
      <w:pPr>
        <w:pStyle w:val="Normal"/>
        <w:widowControl w:val="false"/>
        <w:spacing w:lineRule="auto" w:line="276" w:before="0" w:after="0"/>
        <w:ind w:hanging="0" w:start="0"/>
        <w:contextualSpacing/>
        <w:jc w:val="start"/>
        <w:rPr>
          <w:rFonts w:eastAsia="Batang"/>
          <w:sz w:val="24"/>
          <w:szCs w:val="24"/>
        </w:rPr>
      </w:pPr>
      <w:r>
        <w:rPr>
          <w:rFonts w:eastAsia="Batang"/>
          <w:sz w:val="24"/>
          <w:szCs w:val="24"/>
        </w:rPr>
      </w:r>
    </w:p>
    <w:p>
      <w:pPr>
        <w:pStyle w:val="Normal"/>
        <w:widowControl w:val="false"/>
        <w:spacing w:lineRule="auto" w:line="276" w:before="0" w:after="0"/>
        <w:ind w:firstLine="540" w:start="0"/>
        <w:contextualSpacing/>
        <w:rPr>
          <w:rFonts w:eastAsia="Batang"/>
          <w:sz w:val="24"/>
          <w:szCs w:val="24"/>
        </w:rPr>
      </w:pPr>
      <w:r>
        <w:rPr>
          <w:rFonts w:eastAsia="Batang"/>
          <w:sz w:val="24"/>
          <w:szCs w:val="24"/>
        </w:rPr>
        <w:t>3.1. Исполнитель обязан использовать Конфиденциальную информацию Заказчика исключительно в целях оказания услуг по Договору.</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3.2. Конфиденциальная информация может быть передана только тем штатным сотрудникам Исполнителя, доступ которых к Конфиденциальной информации необходим в рамках отношений Сторон, указанных в пункте 2.2 настоящего Соглашения, и только в необходимой части. При этом такие сотрудники Исполнителя должны быть уведомлены о конфиденциальности такой информации самим Исполнителем.</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3.3. Исполнитель обязуется не разглашать Конфиденциальную информацию без предварительного письменного согласия Заказчика. Передача Исполнителем Конфиденциальной информации по открытым каналам телефонной, телеграфной и факсимильной связи, а также с использованием сети Интернет без принятия соответствующих мер защиты, удовлетворяющих обе Стороны, запрещена.</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3.4. Исполнитель не должен сообщать, передавать, каким-либо образом делать известной или давать свое разрешение на использование третьим лицам (включая, но не ограничиваясь аффилированными лицами, консультантами Исполнителя) Конфиденциальной информации, без предварительного письменного согласия Заказчика. При этом Исполнитель должен обеспечить, чтобы такие третьи лица до получения доступа к Конфиденциальной информации приняли на себя письменные обязательства по неразглашению информации в объеме не меньшем, чем установлено в Соглашении. Исполнитель должен заблаговременно предоставить Заказчику заверенную копию соглашения о конфиденциальности, подписанного таким третьим лицом.</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3.5. Конфиденциальная информация может быть передана без согласия Заказчика по обоснованному требованию уполномоченных государственных органов, но только в той степени, насколько предоставление такой информации отвечает требованиям действующего законодательства. Заказчик должен быть своевременно уведомлен о передаче такой Конфиденциальной информации в письменной форме, с указанием объема и характера раскрытой информации.</w:t>
      </w:r>
    </w:p>
    <w:p>
      <w:pPr>
        <w:pStyle w:val="Normal"/>
        <w:spacing w:lineRule="auto" w:line="276" w:before="0" w:after="0"/>
        <w:ind w:firstLine="540" w:start="0"/>
        <w:contextualSpacing/>
        <w:rPr>
          <w:rFonts w:eastAsia="Batang"/>
          <w:sz w:val="24"/>
          <w:szCs w:val="24"/>
        </w:rPr>
      </w:pPr>
      <w:r>
        <w:rPr>
          <w:rFonts w:eastAsia="Batang"/>
          <w:sz w:val="24"/>
          <w:szCs w:val="24"/>
          <w:lang w:eastAsia="ru-RU"/>
        </w:rPr>
        <w:t>3</w:t>
      </w:r>
      <w:r>
        <w:rPr>
          <w:rFonts w:eastAsia="Batang"/>
          <w:sz w:val="24"/>
          <w:szCs w:val="24"/>
        </w:rPr>
        <w:t>.6. Стороны также договорились о том, что:</w:t>
      </w:r>
    </w:p>
    <w:p>
      <w:pPr>
        <w:pStyle w:val="Normal"/>
        <w:spacing w:lineRule="auto" w:line="276" w:before="105" w:after="0"/>
        <w:ind w:firstLine="540" w:start="0"/>
        <w:contextualSpacing/>
        <w:rPr>
          <w:rFonts w:eastAsia="Batang"/>
          <w:sz w:val="24"/>
          <w:szCs w:val="24"/>
        </w:rPr>
      </w:pPr>
      <w:r>
        <w:rPr>
          <w:rFonts w:eastAsia="Batang"/>
          <w:sz w:val="24"/>
          <w:szCs w:val="24"/>
        </w:rPr>
        <w:t>а) доступ к Конфиденциальной информации друг друга они будут предоставлять только тем своим работникам, у которых на то будут веские причины;</w:t>
      </w:r>
    </w:p>
    <w:p>
      <w:pPr>
        <w:pStyle w:val="Normal"/>
        <w:spacing w:lineRule="auto" w:line="276" w:before="105" w:after="0"/>
        <w:ind w:firstLine="540" w:start="0"/>
        <w:contextualSpacing/>
        <w:rPr>
          <w:rFonts w:eastAsia="Batang"/>
          <w:sz w:val="24"/>
          <w:szCs w:val="24"/>
        </w:rPr>
      </w:pPr>
      <w:r>
        <w:rPr>
          <w:rFonts w:eastAsia="Batang"/>
          <w:sz w:val="24"/>
          <w:szCs w:val="24"/>
        </w:rPr>
        <w:t>б) они будут требовать от этих работников выполнения всех обязательств, оговоренных в Соглашении;</w:t>
      </w:r>
    </w:p>
    <w:p>
      <w:pPr>
        <w:pStyle w:val="Normal"/>
        <w:spacing w:lineRule="auto" w:line="276" w:before="105" w:after="0"/>
        <w:ind w:firstLine="540" w:start="0"/>
        <w:contextualSpacing/>
        <w:rPr>
          <w:rFonts w:eastAsia="Batang"/>
          <w:sz w:val="24"/>
          <w:szCs w:val="24"/>
        </w:rPr>
      </w:pPr>
      <w:r>
        <w:rPr>
          <w:rFonts w:eastAsia="Batang"/>
          <w:sz w:val="24"/>
          <w:szCs w:val="24"/>
        </w:rPr>
        <w:t>в) по запросам они будут сразу возвращать друг другу все оригиналы и, если таковые будут, копии полученной Конфиденциальной информации;</w:t>
      </w:r>
    </w:p>
    <w:p>
      <w:pPr>
        <w:pStyle w:val="Normal"/>
        <w:spacing w:lineRule="auto" w:line="276" w:before="105" w:after="0"/>
        <w:ind w:firstLine="540" w:start="0"/>
        <w:contextualSpacing/>
        <w:rPr>
          <w:rFonts w:eastAsia="Batang"/>
          <w:sz w:val="24"/>
          <w:szCs w:val="24"/>
        </w:rPr>
      </w:pPr>
      <w:r>
        <w:rPr>
          <w:rFonts w:eastAsia="Batang"/>
          <w:sz w:val="24"/>
          <w:szCs w:val="24"/>
        </w:rPr>
        <w:t>г) обязательства, оговоренные в Соглашении, будут оставаться в силе бессрочно, вне зависимости от прекращения его действия.</w:t>
      </w:r>
    </w:p>
    <w:p>
      <w:pPr>
        <w:pStyle w:val="Normal"/>
        <w:spacing w:lineRule="auto" w:line="276" w:before="105" w:after="0"/>
        <w:ind w:firstLine="540" w:start="0"/>
        <w:contextualSpacing/>
        <w:rPr>
          <w:rFonts w:eastAsia="Batang"/>
          <w:sz w:val="24"/>
          <w:szCs w:val="24"/>
        </w:rPr>
      </w:pPr>
      <w:r>
        <w:rPr>
          <w:rFonts w:eastAsia="Batang"/>
          <w:sz w:val="24"/>
          <w:szCs w:val="24"/>
        </w:rPr>
      </w:r>
    </w:p>
    <w:p>
      <w:pPr>
        <w:pStyle w:val="Normal"/>
        <w:widowControl w:val="false"/>
        <w:spacing w:lineRule="auto" w:line="276" w:before="240" w:after="0"/>
        <w:ind w:firstLine="709" w:start="0"/>
        <w:contextualSpacing/>
        <w:jc w:val="center"/>
        <w:rPr>
          <w:rFonts w:eastAsia="Batang"/>
          <w:b/>
          <w:bCs/>
          <w:sz w:val="24"/>
          <w:szCs w:val="24"/>
        </w:rPr>
      </w:pPr>
      <w:bookmarkStart w:id="325" w:name="Par35"/>
      <w:bookmarkEnd w:id="325"/>
      <w:r>
        <w:rPr>
          <w:rFonts w:eastAsia="Batang"/>
          <w:b/>
          <w:bCs/>
          <w:sz w:val="24"/>
          <w:szCs w:val="24"/>
        </w:rPr>
        <w:t>4. ОТВЕТСТВЕННОСТЬ СТОРОН</w:t>
      </w:r>
    </w:p>
    <w:p>
      <w:pPr>
        <w:pStyle w:val="Normal"/>
        <w:widowControl w:val="false"/>
        <w:spacing w:lineRule="auto" w:line="276" w:before="240" w:after="0"/>
        <w:ind w:firstLine="567" w:start="0"/>
        <w:contextualSpacing/>
        <w:jc w:val="start"/>
        <w:rPr>
          <w:rFonts w:eastAsia="Batang"/>
          <w:sz w:val="24"/>
          <w:szCs w:val="24"/>
        </w:rPr>
      </w:pPr>
      <w:r>
        <w:rPr>
          <w:rFonts w:eastAsia="Batang"/>
          <w:sz w:val="24"/>
          <w:szCs w:val="24"/>
        </w:rPr>
      </w:r>
    </w:p>
    <w:p>
      <w:pPr>
        <w:pStyle w:val="Normal"/>
        <w:widowControl w:val="false"/>
        <w:spacing w:lineRule="auto" w:line="276" w:before="0" w:after="0"/>
        <w:ind w:firstLine="540" w:start="0"/>
        <w:contextualSpacing/>
        <w:rPr>
          <w:rFonts w:eastAsia="Batang"/>
          <w:sz w:val="24"/>
          <w:szCs w:val="24"/>
        </w:rPr>
      </w:pPr>
      <w:r>
        <w:rPr>
          <w:rFonts w:eastAsia="Batang"/>
          <w:sz w:val="24"/>
          <w:szCs w:val="24"/>
        </w:rPr>
        <w:t xml:space="preserve">4.1. Исполнитель несет ответственность за нарушение обязательств по сохранению Конфиденциальной информации в соответствии с разделом 7 Договора, законодательством Российской Федерации, настоящим Соглашением и обязан возместить Заказчику </w:t>
      </w:r>
      <w:sdt>
        <w:sdtPr>
          <w:tag w:val="goog_rdk_1"/>
          <w:id w:val="1427078155"/>
        </w:sdtPr>
        <w:sdtContent>
          <w:r>
            <w:rPr>
              <w:rFonts w:eastAsia="Batang"/>
              <w:sz w:val="24"/>
              <w:szCs w:val="24"/>
            </w:rPr>
          </w:r>
          <w:r>
            <w:rPr>
              <w:rFonts w:eastAsia="Batang"/>
              <w:sz w:val="24"/>
              <w:szCs w:val="24"/>
            </w:rPr>
            <w:t xml:space="preserve">причиненные </w:t>
          </w:r>
        </w:sdtContent>
      </w:sdt>
      <w:r>
        <w:rPr>
          <w:rFonts w:eastAsia="Batang"/>
          <w:sz w:val="24"/>
          <w:szCs w:val="24"/>
        </w:rPr>
        <w:t>убытки в полном объеме, сверх начисленной неустойки.</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4.2. При разглашении Конфиденциальной информации или наличии угрозы разглашения Исполнитель обязан незамедлительно уведомить об этом Заказчика.</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4.3. При проведении расследования фактов разглашения Конфиденциальной информации или обстоятельств, свидетельствующих об угрозе такого разглашения, Заказчик вправе направлять к Исполнителю уполномоченных лиц - специалистов в области защиты информации.</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4.4. Любые споры и разногласия между Сторонами, касающиеся Соглашения, которые не могут быть урегулированы ими путем консультаций и переговоров, должны быть переданы на рассмотрение Арбитражного суда Московской области. К отношениям Сторон, не урегулированным Соглашением, применяется законодательство Российской Федерации.</w:t>
      </w:r>
    </w:p>
    <w:p>
      <w:pPr>
        <w:pStyle w:val="Normal"/>
        <w:widowControl w:val="false"/>
        <w:spacing w:lineRule="auto" w:line="276" w:before="0" w:after="0"/>
        <w:ind w:hanging="0" w:start="0"/>
        <w:contextualSpacing/>
        <w:rPr>
          <w:rFonts w:eastAsia="Batang"/>
          <w:sz w:val="24"/>
          <w:szCs w:val="24"/>
        </w:rPr>
      </w:pPr>
      <w:r>
        <w:rPr>
          <w:rFonts w:eastAsia="Batang"/>
          <w:sz w:val="24"/>
          <w:szCs w:val="24"/>
        </w:rPr>
      </w:r>
    </w:p>
    <w:p>
      <w:pPr>
        <w:pStyle w:val="Normal"/>
        <w:widowControl w:val="false"/>
        <w:spacing w:lineRule="auto" w:line="276" w:before="240" w:after="0"/>
        <w:ind w:firstLine="709" w:start="0"/>
        <w:contextualSpacing/>
        <w:jc w:val="center"/>
        <w:rPr>
          <w:rFonts w:eastAsia="Batang"/>
          <w:b/>
          <w:bCs/>
          <w:sz w:val="24"/>
          <w:szCs w:val="24"/>
        </w:rPr>
      </w:pPr>
      <w:bookmarkStart w:id="326" w:name="Par43"/>
      <w:bookmarkEnd w:id="326"/>
      <w:r>
        <w:rPr>
          <w:rFonts w:eastAsia="Batang"/>
          <w:b/>
          <w:bCs/>
          <w:sz w:val="24"/>
          <w:szCs w:val="24"/>
        </w:rPr>
        <w:t>5. СРОК ДЕЙСТВИЯ СОГЛАШЕНИЯ</w:t>
      </w:r>
    </w:p>
    <w:p>
      <w:pPr>
        <w:pStyle w:val="Normal"/>
        <w:widowControl w:val="false"/>
        <w:spacing w:lineRule="auto" w:line="276" w:before="240" w:after="0"/>
        <w:ind w:hanging="0" w:start="0"/>
        <w:contextualSpacing/>
        <w:jc w:val="start"/>
        <w:rPr>
          <w:rFonts w:eastAsia="Batang"/>
          <w:sz w:val="24"/>
          <w:szCs w:val="24"/>
        </w:rPr>
      </w:pPr>
      <w:r>
        <w:rPr>
          <w:rFonts w:eastAsia="Batang"/>
          <w:sz w:val="24"/>
          <w:szCs w:val="24"/>
        </w:rPr>
      </w:r>
    </w:p>
    <w:p>
      <w:pPr>
        <w:pStyle w:val="Normal"/>
        <w:widowControl w:val="false"/>
        <w:spacing w:lineRule="auto" w:line="276" w:before="0" w:after="0"/>
        <w:ind w:firstLine="540" w:start="0"/>
        <w:contextualSpacing/>
        <w:rPr>
          <w:rFonts w:eastAsia="Batang"/>
          <w:sz w:val="24"/>
          <w:szCs w:val="24"/>
        </w:rPr>
      </w:pPr>
      <w:r>
        <w:rPr>
          <w:rFonts w:eastAsia="Batang"/>
          <w:sz w:val="24"/>
          <w:szCs w:val="24"/>
        </w:rPr>
        <w:t>5.1. Настоящее Соглашение вступает в силу с момента его подписания Сторонами и действует в течение действия Договора, а обязательства Исполнителя о неразглашении и нераспространении полученной в ходе сотрудничества Сторон Конфиденциальной информации, действуют бессрочно.</w:t>
      </w:r>
    </w:p>
    <w:p>
      <w:pPr>
        <w:pStyle w:val="Normal"/>
        <w:widowControl w:val="false"/>
        <w:spacing w:lineRule="auto" w:line="276" w:before="0" w:after="0"/>
        <w:ind w:hanging="0" w:start="0"/>
        <w:contextualSpacing/>
        <w:jc w:val="start"/>
        <w:rPr>
          <w:rFonts w:eastAsia="Batang"/>
          <w:sz w:val="24"/>
          <w:szCs w:val="24"/>
        </w:rPr>
      </w:pPr>
      <w:r>
        <w:rPr>
          <w:rFonts w:eastAsia="Batang"/>
          <w:sz w:val="24"/>
          <w:szCs w:val="24"/>
        </w:rPr>
      </w:r>
    </w:p>
    <w:p>
      <w:pPr>
        <w:pStyle w:val="Normal"/>
        <w:widowControl w:val="false"/>
        <w:spacing w:lineRule="auto" w:line="276" w:before="240" w:after="0"/>
        <w:ind w:firstLine="709" w:start="0"/>
        <w:contextualSpacing/>
        <w:jc w:val="center"/>
        <w:rPr>
          <w:rFonts w:eastAsia="Batang"/>
          <w:b/>
          <w:bCs/>
          <w:sz w:val="24"/>
          <w:szCs w:val="24"/>
        </w:rPr>
      </w:pPr>
      <w:bookmarkStart w:id="327" w:name="Par48"/>
      <w:bookmarkEnd w:id="327"/>
      <w:r>
        <w:rPr>
          <w:rFonts w:eastAsia="Batang"/>
          <w:b/>
          <w:bCs/>
          <w:sz w:val="24"/>
          <w:szCs w:val="24"/>
        </w:rPr>
        <w:t>6. ОБЩИЕ ПОЛОЖЕНИЯ</w:t>
      </w:r>
    </w:p>
    <w:p>
      <w:pPr>
        <w:pStyle w:val="Normal"/>
        <w:widowControl w:val="false"/>
        <w:spacing w:lineRule="auto" w:line="276" w:before="240" w:after="0"/>
        <w:ind w:hanging="0" w:start="0"/>
        <w:contextualSpacing/>
        <w:jc w:val="start"/>
        <w:rPr>
          <w:rFonts w:eastAsia="Batang"/>
          <w:b/>
          <w:bCs/>
          <w:sz w:val="24"/>
          <w:szCs w:val="24"/>
        </w:rPr>
      </w:pPr>
      <w:r>
        <w:rPr>
          <w:rFonts w:eastAsia="Batang"/>
          <w:b/>
          <w:bCs/>
          <w:sz w:val="24"/>
          <w:szCs w:val="24"/>
        </w:rPr>
      </w:r>
    </w:p>
    <w:p>
      <w:pPr>
        <w:pStyle w:val="Normal"/>
        <w:widowControl w:val="false"/>
        <w:spacing w:lineRule="auto" w:line="276" w:before="0" w:after="0"/>
        <w:ind w:firstLine="540" w:start="0"/>
        <w:contextualSpacing/>
        <w:rPr>
          <w:rFonts w:eastAsia="Batang"/>
          <w:sz w:val="24"/>
          <w:szCs w:val="24"/>
        </w:rPr>
      </w:pPr>
      <w:r>
        <w:rPr>
          <w:rFonts w:eastAsia="Batang"/>
          <w:sz w:val="24"/>
          <w:szCs w:val="24"/>
        </w:rPr>
        <w:t>6.1. Все уведомления и сообщения, направляемые Сторонами друг другу в соответствии с Соглашением или в связи с ним, должны быть совершены в письменной форме, и переданы посредством регистрации обращения в СУТП, заказным письмом, доставлены курьером или направлены посредством системы электронного документооборота «ПИК ЭДО».</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6.2. Заказчик настоящим гарантирует, что он обладает всеми правами в отношении Конфиденциальной информации, включая право раскрывать ее Исполнителю на условиях Соглашения.</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6.3. Конфиденциальная информация остается собственностью Заказчика. Заказчик вправе потребовать от Исполнителя вернуть ей всю Конфиденциальную информацию или любую ее часть в любое время, направив Исполнителю уведомление в письменной форме. В течение пятнадцати календарных дней после получения такого уведомления Исполнитель обязан за свой счет вернуть все оригиналы носителей такой Конфиденциальной информации, и уничтожить все копии такой Конфиденциальной информации и ее воспроизведения в любой форме, находящиеся в распоряжении Исполнителя, а также в распоряжении лиц, которым Конфиденциальная информация была передана в соответствии с Соглашением.</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6.4. Исполнитель должен обеспечить конфиденциальность Соглашения и не вправе раскрывать третьим лицам какие-либо сведения относительно предоставления Конфиденциальной информации по Соглашению.</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6.5. Любые изменения и дополнения к Соглашению действительны лишь при условии, что они совершены в письменной форме и подписаны надлежащим образом уполномоченными на то представителями Сторон.</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6.6. Настоящее Соглашение представляет собой исчерпывающую договоренность Сторон по предмету Соглашения. С момента подписания Соглашения все предыдущие переговоры и переписка по нему теряют силу.</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6.7. Ни одна из Сторон не вправе передавать третьим лицам полностью или частично свои права и обязанности по Соглашению без предварительного письменного согласия другой Стороны.</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6.8. Недействительность или невозможность исполнения любого положения Соглашения не влияет на действительность или возможность исполнения как любых иных положений Соглашения, так и Соглашения в целом.</w:t>
      </w:r>
    </w:p>
    <w:p>
      <w:pPr>
        <w:pStyle w:val="Normal"/>
        <w:widowControl w:val="false"/>
        <w:spacing w:lineRule="auto" w:line="276" w:before="0" w:after="0"/>
        <w:ind w:firstLine="540" w:start="0"/>
        <w:contextualSpacing/>
        <w:rPr>
          <w:rFonts w:eastAsia="Batang"/>
          <w:sz w:val="24"/>
          <w:szCs w:val="24"/>
        </w:rPr>
      </w:pPr>
      <w:r>
        <w:rPr>
          <w:rFonts w:eastAsia="Batang"/>
          <w:sz w:val="24"/>
          <w:szCs w:val="24"/>
        </w:rPr>
        <w:t>6.9. Настоящее Соглашение заключено на русском языке в 2 (двух) экземплярах, имеющих равную юридическую силу, по одному для каждой из Сторон.</w:t>
      </w:r>
    </w:p>
    <w:p>
      <w:pPr>
        <w:pStyle w:val="Normal"/>
        <w:widowControl w:val="false"/>
        <w:spacing w:lineRule="auto" w:line="276" w:before="0" w:after="0"/>
        <w:ind w:hanging="0" w:start="0"/>
        <w:contextualSpacing/>
        <w:rPr>
          <w:rFonts w:eastAsia="Batang"/>
          <w:sz w:val="24"/>
          <w:szCs w:val="24"/>
        </w:rPr>
      </w:pPr>
      <w:r>
        <w:rPr>
          <w:rFonts w:eastAsia="Batang"/>
          <w:sz w:val="24"/>
          <w:szCs w:val="24"/>
        </w:rPr>
      </w:r>
    </w:p>
    <w:p>
      <w:pPr>
        <w:pStyle w:val="Normal"/>
        <w:widowControl w:val="false"/>
        <w:spacing w:lineRule="auto" w:line="276" w:before="0" w:after="0"/>
        <w:ind w:firstLine="709" w:start="0"/>
        <w:contextualSpacing/>
        <w:jc w:val="center"/>
        <w:rPr>
          <w:rFonts w:eastAsia="Batang"/>
          <w:b/>
          <w:bCs/>
          <w:sz w:val="24"/>
          <w:szCs w:val="24"/>
        </w:rPr>
      </w:pPr>
      <w:r>
        <w:rPr>
          <w:rFonts w:eastAsia="Batang"/>
          <w:b/>
          <w:bCs/>
          <w:sz w:val="24"/>
          <w:szCs w:val="24"/>
        </w:rPr>
        <w:t>7. РЕКВИЗИТЫ И ПОДПИСИ СТОРОН</w:t>
      </w:r>
    </w:p>
    <w:p>
      <w:pPr>
        <w:pStyle w:val="Normal"/>
        <w:widowControl w:val="false"/>
        <w:spacing w:lineRule="auto" w:line="276" w:before="0" w:after="0"/>
        <w:ind w:hanging="0" w:start="0"/>
        <w:contextualSpacing/>
        <w:jc w:val="start"/>
        <w:rPr>
          <w:rFonts w:eastAsia="Batang"/>
          <w:b/>
          <w:bCs/>
          <w:sz w:val="24"/>
          <w:szCs w:val="24"/>
        </w:rPr>
      </w:pPr>
      <w:r>
        <w:rPr>
          <w:rFonts w:eastAsia="Batang"/>
          <w:b/>
          <w:bCs/>
          <w:sz w:val="24"/>
          <w:szCs w:val="24"/>
        </w:rPr>
      </w:r>
    </w:p>
    <w:tbl>
      <w:tblPr>
        <w:tblW w:w="9781" w:type="dxa"/>
        <w:jc w:val="start"/>
        <w:tblInd w:w="109" w:type="dxa"/>
        <w:tblLayout w:type="fixed"/>
        <w:tblCellMar>
          <w:top w:w="0" w:type="dxa"/>
          <w:start w:w="108" w:type="dxa"/>
          <w:bottom w:w="0" w:type="dxa"/>
          <w:end w:w="108" w:type="dxa"/>
        </w:tblCellMar>
        <w:tblLook w:val="0400" w:noHBand="0" w:noVBand="1" w:firstColumn="0" w:lastRow="0" w:lastColumn="0" w:firstRow="0"/>
      </w:tblPr>
      <w:tblGrid>
        <w:gridCol w:w="4832"/>
        <w:gridCol w:w="4948"/>
      </w:tblGrid>
      <w:tr>
        <w:trPr>
          <w:trHeight w:val="2029" w:hRule="atLeast"/>
        </w:trPr>
        <w:tc>
          <w:tcPr>
            <w:tcW w:w="4832" w:type="dxa"/>
            <w:tcBorders/>
          </w:tcPr>
          <w:p>
            <w:pPr>
              <w:pStyle w:val="Normal"/>
              <w:spacing w:lineRule="auto" w:line="276" w:before="20" w:after="0"/>
              <w:ind w:firstLine="2" w:start="0" w:end="-150"/>
              <w:contextualSpacing/>
              <w:jc w:val="center"/>
              <w:rPr>
                <w:rFonts w:eastAsia="Batang"/>
                <w:sz w:val="24"/>
                <w:szCs w:val="24"/>
              </w:rPr>
            </w:pPr>
            <w:r>
              <w:rPr>
                <w:rFonts w:eastAsia="Batang"/>
                <w:sz w:val="24"/>
                <w:szCs w:val="24"/>
              </w:rPr>
              <w:t>Заказчик:</w:t>
            </w:r>
          </w:p>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r>
          </w:p>
          <w:p>
            <w:pPr>
              <w:pStyle w:val="Normal"/>
              <w:spacing w:lineRule="auto" w:line="276" w:before="0" w:after="0"/>
              <w:ind w:hanging="0" w:start="0"/>
              <w:contextualSpacing/>
              <w:jc w:val="start"/>
              <w:rPr>
                <w:rFonts w:eastAsia="Batang"/>
                <w:sz w:val="24"/>
                <w:szCs w:val="24"/>
              </w:rPr>
            </w:pPr>
            <w:r>
              <w:rPr>
                <w:rFonts w:eastAsia="Batang"/>
                <w:sz w:val="24"/>
                <w:szCs w:val="24"/>
              </w:rPr>
            </w:r>
          </w:p>
          <w:p>
            <w:pPr>
              <w:pStyle w:val="Normal"/>
              <w:spacing w:lineRule="auto" w:line="276" w:before="0" w:after="0"/>
              <w:ind w:hanging="0" w:start="0"/>
              <w:contextualSpacing/>
              <w:jc w:val="start"/>
              <w:rPr>
                <w:rFonts w:eastAsia="Batang"/>
                <w:sz w:val="24"/>
                <w:szCs w:val="24"/>
              </w:rPr>
            </w:pPr>
            <w:r>
              <w:rPr>
                <w:rFonts w:eastAsia="Batang"/>
                <w:sz w:val="24"/>
                <w:szCs w:val="24"/>
              </w:rPr>
            </w:r>
          </w:p>
          <w:p>
            <w:pPr>
              <w:pStyle w:val="Normal"/>
              <w:spacing w:lineRule="auto" w:line="276" w:before="0" w:after="0"/>
              <w:ind w:hanging="0" w:start="0"/>
              <w:contextualSpacing/>
              <w:jc w:val="start"/>
              <w:rPr>
                <w:rFonts w:eastAsia="Batang"/>
                <w:sz w:val="24"/>
                <w:szCs w:val="24"/>
              </w:rPr>
            </w:pPr>
            <w:r>
              <w:rPr>
                <w:rFonts w:eastAsia="Batang"/>
                <w:sz w:val="24"/>
                <w:szCs w:val="24"/>
              </w:rPr>
            </w:r>
          </w:p>
          <w:p>
            <w:pPr>
              <w:pStyle w:val="Normal"/>
              <w:spacing w:lineRule="auto" w:line="276" w:before="0" w:after="0"/>
              <w:ind w:hanging="0" w:start="0"/>
              <w:contextualSpacing/>
              <w:jc w:val="start"/>
              <w:rPr>
                <w:rFonts w:eastAsia="Batang"/>
                <w:sz w:val="24"/>
                <w:szCs w:val="24"/>
              </w:rPr>
            </w:pPr>
            <w:r>
              <w:rPr>
                <w:rFonts w:eastAsia="Batang"/>
                <w:sz w:val="24"/>
                <w:szCs w:val="24"/>
              </w:rPr>
            </w:r>
          </w:p>
        </w:tc>
        <w:tc>
          <w:tcPr>
            <w:tcW w:w="4948" w:type="dxa"/>
            <w:tcBorders/>
          </w:tcPr>
          <w:p>
            <w:pPr>
              <w:pStyle w:val="Normal"/>
              <w:spacing w:lineRule="auto" w:line="276" w:before="20" w:after="0"/>
              <w:ind w:firstLine="2" w:start="0" w:end="-150"/>
              <w:contextualSpacing/>
              <w:jc w:val="center"/>
              <w:rPr>
                <w:rFonts w:eastAsia="Batang"/>
                <w:sz w:val="24"/>
                <w:szCs w:val="24"/>
              </w:rPr>
            </w:pPr>
            <w:r>
              <w:rPr>
                <w:rFonts w:eastAsia="Batang"/>
                <w:sz w:val="24"/>
                <w:szCs w:val="24"/>
              </w:rPr>
              <w:t>Исполнитель:</w:t>
            </w:r>
          </w:p>
          <w:p>
            <w:pPr>
              <w:pStyle w:val="Normal"/>
              <w:spacing w:lineRule="auto" w:line="276" w:before="20" w:after="0"/>
              <w:ind w:hanging="0" w:start="0" w:end="-150"/>
              <w:contextualSpacing/>
              <w:jc w:val="start"/>
              <w:rPr>
                <w:rFonts w:eastAsia="Batang"/>
                <w:sz w:val="24"/>
                <w:szCs w:val="24"/>
              </w:rPr>
            </w:pPr>
            <w:r>
              <w:rPr>
                <w:rFonts w:eastAsia="Batang"/>
                <w:sz w:val="24"/>
                <w:szCs w:val="24"/>
              </w:rPr>
            </w:r>
          </w:p>
          <w:p>
            <w:pPr>
              <w:pStyle w:val="Normal"/>
              <w:spacing w:lineRule="auto" w:line="276" w:before="20" w:after="0"/>
              <w:ind w:firstLine="2" w:start="0" w:end="-150"/>
              <w:contextualSpacing/>
              <w:rPr>
                <w:rFonts w:eastAsia="Batang"/>
                <w:sz w:val="24"/>
                <w:szCs w:val="24"/>
              </w:rPr>
            </w:pPr>
            <w:r>
              <w:rPr>
                <w:rFonts w:eastAsia="Batang"/>
                <w:sz w:val="24"/>
                <w:szCs w:val="24"/>
              </w:rPr>
            </w:r>
          </w:p>
          <w:p>
            <w:pPr>
              <w:pStyle w:val="Normal"/>
              <w:spacing w:lineRule="auto" w:line="276" w:before="20" w:after="0"/>
              <w:ind w:firstLine="2" w:start="0" w:end="-150"/>
              <w:contextualSpacing/>
              <w:rPr>
                <w:rFonts w:eastAsia="Batang"/>
                <w:sz w:val="24"/>
                <w:szCs w:val="24"/>
              </w:rPr>
            </w:pPr>
            <w:r>
              <w:rPr>
                <w:rFonts w:eastAsia="Batang"/>
                <w:sz w:val="24"/>
                <w:szCs w:val="24"/>
              </w:rPr>
            </w:r>
          </w:p>
          <w:p>
            <w:pPr>
              <w:pStyle w:val="Normal"/>
              <w:spacing w:lineRule="auto" w:line="276" w:before="20" w:after="0"/>
              <w:ind w:firstLine="2" w:start="0" w:end="-150"/>
              <w:contextualSpacing/>
              <w:rPr>
                <w:rFonts w:eastAsia="Batang"/>
                <w:sz w:val="24"/>
                <w:szCs w:val="24"/>
              </w:rPr>
            </w:pPr>
            <w:r>
              <w:rPr>
                <w:rFonts w:eastAsia="Batang"/>
                <w:sz w:val="24"/>
                <w:szCs w:val="24"/>
              </w:rPr>
            </w:r>
          </w:p>
          <w:p>
            <w:pPr>
              <w:pStyle w:val="Normal"/>
              <w:spacing w:lineRule="auto" w:line="276" w:before="20" w:after="0"/>
              <w:ind w:firstLine="2" w:start="0" w:end="-150"/>
              <w:contextualSpacing/>
              <w:rPr>
                <w:rFonts w:eastAsia="Batang"/>
                <w:sz w:val="24"/>
                <w:szCs w:val="24"/>
              </w:rPr>
            </w:pPr>
            <w:r>
              <w:rPr>
                <w:rFonts w:eastAsia="Batang"/>
                <w:sz w:val="24"/>
                <w:szCs w:val="24"/>
              </w:rPr>
            </w:r>
          </w:p>
        </w:tc>
      </w:tr>
      <w:tr>
        <w:trPr>
          <w:trHeight w:val="74" w:hRule="atLeast"/>
        </w:trPr>
        <w:tc>
          <w:tcPr>
            <w:tcW w:w="4832" w:type="dxa"/>
            <w:tcBorders/>
          </w:tcPr>
          <w:p>
            <w:pPr>
              <w:pStyle w:val="Normal"/>
              <w:spacing w:lineRule="auto" w:line="276" w:before="0" w:after="0"/>
              <w:ind w:hanging="0" w:start="0"/>
              <w:contextualSpacing/>
              <w:jc w:val="start"/>
              <w:rPr>
                <w:rFonts w:eastAsia="Batang"/>
                <w:sz w:val="24"/>
                <w:szCs w:val="24"/>
              </w:rPr>
            </w:pPr>
            <w:r>
              <w:rPr>
                <w:rFonts w:eastAsia="Batang"/>
                <w:sz w:val="24"/>
                <w:szCs w:val="24"/>
              </w:rPr>
              <w:t>Сокращенное наименование:</w:t>
            </w:r>
          </w:p>
        </w:tc>
        <w:tc>
          <w:tcPr>
            <w:tcW w:w="4948" w:type="dxa"/>
            <w:tcBorders/>
          </w:tcPr>
          <w:p>
            <w:pPr>
              <w:pStyle w:val="Normal"/>
              <w:spacing w:lineRule="auto" w:line="276" w:before="0" w:after="0"/>
              <w:ind w:hanging="0" w:start="0"/>
              <w:contextualSpacing/>
              <w:jc w:val="start"/>
              <w:rPr>
                <w:rFonts w:eastAsia="Batang"/>
                <w:sz w:val="24"/>
                <w:szCs w:val="24"/>
              </w:rPr>
            </w:pPr>
            <w:r>
              <w:rPr>
                <w:rFonts w:eastAsia="Batang"/>
                <w:sz w:val="24"/>
                <w:szCs w:val="24"/>
              </w:rPr>
              <w:t>Сокращенное наименование:</w:t>
            </w:r>
          </w:p>
        </w:tc>
      </w:tr>
      <w:tr>
        <w:trPr/>
        <w:tc>
          <w:tcPr>
            <w:tcW w:w="4832" w:type="dxa"/>
            <w:tcBorders/>
          </w:tcPr>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t>Почтовый адрес:</w:t>
            </w:r>
          </w:p>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t>Место нахождения, адрес:</w:t>
            </w:r>
          </w:p>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t>ИНН</w:t>
            </w:r>
          </w:p>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t>КПП</w:t>
            </w:r>
          </w:p>
          <w:p>
            <w:pPr>
              <w:pStyle w:val="Normal"/>
              <w:spacing w:lineRule="auto" w:line="276" w:before="0" w:after="0"/>
              <w:ind w:hanging="0" w:start="0"/>
              <w:contextualSpacing/>
              <w:rPr>
                <w:rFonts w:eastAsia="Batang"/>
                <w:sz w:val="24"/>
                <w:szCs w:val="24"/>
              </w:rPr>
            </w:pPr>
            <w:r>
              <w:rPr>
                <w:rFonts w:eastAsia="Batang"/>
                <w:sz w:val="24"/>
                <w:szCs w:val="24"/>
              </w:rPr>
              <w:t>ОГРН</w:t>
            </w:r>
          </w:p>
        </w:tc>
        <w:tc>
          <w:tcPr>
            <w:tcW w:w="4948" w:type="dxa"/>
            <w:tcBorders/>
          </w:tcPr>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t>Почтовый адрес:</w:t>
            </w:r>
          </w:p>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t>Место нахождения, адрес:</w:t>
            </w:r>
          </w:p>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t>ИНН</w:t>
            </w:r>
          </w:p>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t>КПП</w:t>
            </w:r>
          </w:p>
          <w:p>
            <w:pPr>
              <w:pStyle w:val="Normal"/>
              <w:spacing w:lineRule="auto" w:line="276" w:before="0" w:after="0"/>
              <w:ind w:hanging="0" w:start="0"/>
              <w:contextualSpacing/>
              <w:rPr>
                <w:rFonts w:eastAsia="Batang"/>
                <w:sz w:val="24"/>
                <w:szCs w:val="24"/>
              </w:rPr>
            </w:pPr>
            <w:r>
              <w:rPr>
                <w:rFonts w:eastAsia="Batang"/>
                <w:sz w:val="24"/>
                <w:szCs w:val="24"/>
              </w:rPr>
            </w:r>
          </w:p>
        </w:tc>
      </w:tr>
      <w:tr>
        <w:trPr/>
        <w:tc>
          <w:tcPr>
            <w:tcW w:w="4832" w:type="dxa"/>
            <w:tcBorders/>
          </w:tcPr>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t>телефон (факс):</w:t>
            </w:r>
          </w:p>
          <w:p>
            <w:pPr>
              <w:pStyle w:val="Normal"/>
              <w:spacing w:lineRule="auto" w:line="276" w:before="0" w:after="0"/>
              <w:ind w:hanging="0" w:start="0"/>
              <w:contextualSpacing/>
              <w:jc w:val="start"/>
              <w:rPr>
                <w:rFonts w:eastAsia="Batang"/>
                <w:sz w:val="24"/>
                <w:szCs w:val="24"/>
              </w:rPr>
            </w:pPr>
            <w:r>
              <w:rPr>
                <w:rFonts w:eastAsia="Batang"/>
                <w:sz w:val="24"/>
                <w:szCs w:val="24"/>
              </w:rPr>
              <w:t>адрес электронной почты:</w:t>
            </w:r>
          </w:p>
          <w:p>
            <w:pPr>
              <w:pStyle w:val="Normal"/>
              <w:spacing w:lineRule="auto" w:line="276" w:before="0" w:after="0"/>
              <w:ind w:firstLine="709" w:start="0"/>
              <w:contextualSpacing/>
              <w:rPr>
                <w:rFonts w:eastAsia="Batang"/>
                <w:sz w:val="24"/>
                <w:szCs w:val="24"/>
              </w:rPr>
            </w:pPr>
            <w:r>
              <w:rPr>
                <w:rFonts w:eastAsia="Batang"/>
                <w:sz w:val="24"/>
                <w:szCs w:val="24"/>
              </w:rPr>
            </w:r>
          </w:p>
          <w:p>
            <w:pPr>
              <w:pStyle w:val="Normal"/>
              <w:spacing w:lineRule="auto" w:line="276" w:before="0" w:after="0"/>
              <w:ind w:firstLine="709" w:start="0"/>
              <w:contextualSpacing/>
              <w:rPr>
                <w:rFonts w:eastAsia="Batang"/>
                <w:sz w:val="24"/>
                <w:szCs w:val="24"/>
              </w:rPr>
            </w:pPr>
            <w:r>
              <w:rPr>
                <w:rFonts w:eastAsia="Batang"/>
                <w:sz w:val="24"/>
                <w:szCs w:val="24"/>
              </w:rPr>
              <w:t>______________/_________________/</w:t>
            </w:r>
          </w:p>
        </w:tc>
        <w:tc>
          <w:tcPr>
            <w:tcW w:w="4948" w:type="dxa"/>
            <w:tcBorders/>
          </w:tcPr>
          <w:p>
            <w:pPr>
              <w:pStyle w:val="Normal"/>
              <w:spacing w:lineRule="auto" w:line="276" w:before="0" w:after="0"/>
              <w:ind w:hanging="0" w:start="0"/>
              <w:contextualSpacing/>
              <w:jc w:val="start"/>
              <w:rPr>
                <w:rFonts w:eastAsia="Batang"/>
                <w:sz w:val="24"/>
                <w:szCs w:val="24"/>
                <w:lang w:eastAsia="ar-SA"/>
              </w:rPr>
            </w:pPr>
            <w:r>
              <w:rPr>
                <w:rFonts w:eastAsia="Batang"/>
                <w:sz w:val="24"/>
                <w:szCs w:val="24"/>
                <w:lang w:eastAsia="ar-SA"/>
              </w:rPr>
              <w:t>телефон (факс):</w:t>
            </w:r>
          </w:p>
          <w:p>
            <w:pPr>
              <w:pStyle w:val="Normal"/>
              <w:spacing w:lineRule="auto" w:line="276" w:before="0" w:after="0"/>
              <w:ind w:hanging="0" w:start="0"/>
              <w:contextualSpacing/>
              <w:jc w:val="start"/>
              <w:rPr>
                <w:rFonts w:eastAsia="Batang"/>
                <w:sz w:val="24"/>
                <w:szCs w:val="24"/>
              </w:rPr>
            </w:pPr>
            <w:r>
              <w:rPr>
                <w:rFonts w:eastAsia="Batang"/>
                <w:sz w:val="24"/>
                <w:szCs w:val="24"/>
              </w:rPr>
              <w:t>адрес электронной почты:</w:t>
            </w:r>
          </w:p>
          <w:p>
            <w:pPr>
              <w:pStyle w:val="Normal"/>
              <w:spacing w:lineRule="auto" w:line="276" w:before="0" w:after="0"/>
              <w:ind w:firstLine="709" w:start="0"/>
              <w:contextualSpacing/>
              <w:rPr>
                <w:rFonts w:eastAsia="Batang"/>
                <w:sz w:val="24"/>
                <w:szCs w:val="24"/>
              </w:rPr>
            </w:pPr>
            <w:r>
              <w:rPr>
                <w:rFonts w:eastAsia="Batang"/>
                <w:sz w:val="24"/>
                <w:szCs w:val="24"/>
              </w:rPr>
            </w:r>
          </w:p>
          <w:p>
            <w:pPr>
              <w:pStyle w:val="Normal"/>
              <w:spacing w:lineRule="auto" w:line="276" w:before="0" w:after="0"/>
              <w:ind w:firstLine="709" w:start="0"/>
              <w:contextualSpacing/>
              <w:jc w:val="center"/>
              <w:rPr>
                <w:rFonts w:eastAsia="Batang"/>
                <w:sz w:val="24"/>
                <w:szCs w:val="24"/>
              </w:rPr>
            </w:pPr>
            <w:r>
              <w:rPr>
                <w:rFonts w:eastAsia="Batang"/>
                <w:sz w:val="24"/>
                <w:szCs w:val="24"/>
              </w:rPr>
              <w:t>______________/_________________/</w:t>
            </w:r>
          </w:p>
        </w:tc>
      </w:tr>
    </w:tbl>
    <w:p>
      <w:pPr>
        <w:pStyle w:val="Normal"/>
        <w:spacing w:lineRule="auto" w:line="276" w:before="0" w:after="0"/>
        <w:ind w:hanging="0" w:start="0"/>
        <w:contextualSpacing/>
        <w:jc w:val="start"/>
        <w:rPr>
          <w:sz w:val="24"/>
          <w:szCs w:val="24"/>
          <w:lang w:eastAsia="ru-RU"/>
        </w:rPr>
      </w:pPr>
      <w:r>
        <w:rPr>
          <w:sz w:val="24"/>
          <w:szCs w:val="24"/>
          <w:lang w:eastAsia="ru-RU"/>
        </w:rPr>
      </w:r>
      <w:bookmarkStart w:id="328" w:name="_Hlk177654543_Копия_1"/>
      <w:bookmarkStart w:id="329" w:name="_Hlk177654543_Копия_1"/>
      <w:bookmarkEnd w:id="329"/>
    </w:p>
    <w:p>
      <w:pPr>
        <w:pStyle w:val="Normal"/>
        <w:spacing w:lineRule="auto" w:line="240" w:before="0" w:after="0"/>
        <w:ind w:hanging="0" w:start="0"/>
        <w:jc w:val="start"/>
        <w:rPr>
          <w:sz w:val="24"/>
          <w:szCs w:val="24"/>
          <w:lang w:eastAsia="ru-RU"/>
        </w:rPr>
      </w:pPr>
      <w:r>
        <w:rPr>
          <w:sz w:val="24"/>
          <w:szCs w:val="24"/>
          <w:lang w:eastAsia="ru-RU"/>
        </w:rPr>
      </w:r>
    </w:p>
    <w:sectPr>
      <w:headerReference w:type="even" r:id="rId67"/>
      <w:headerReference w:type="default" r:id="rId68"/>
      <w:headerReference w:type="first" r:id="rId69"/>
      <w:footerReference w:type="even" r:id="rId70"/>
      <w:footerReference w:type="default" r:id="rId71"/>
      <w:footerReference w:type="first" r:id="rId72"/>
      <w:footnotePr>
        <w:numFmt w:val="decimal"/>
      </w:footnotePr>
      <w:type w:val="nextPage"/>
      <w:pgSz w:w="11906" w:h="16838"/>
      <w:pgMar w:left="1134" w:right="851" w:gutter="0" w:header="709" w:top="1134" w:footer="709" w:bottom="1134"/>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Segoe UI">
    <w:charset w:val="01" w:characterSet="utf-8"/>
    <w:family w:val="swiss"/>
    <w:pitch w:val="variable"/>
  </w:font>
  <w:font w:name="Times New Roman Полужирный">
    <w:charset w:val="01" w:characterSet="utf-8"/>
    <w:family w:val="roman"/>
    <w:pitch w:val="variable"/>
  </w:font>
  <w:font w:name="Liberation Sans">
    <w:altName w:val="Arial"/>
    <w:charset w:val="01" w:characterSet="utf-8"/>
    <w:family w:val="swiss"/>
    <w:pitch w:val="variable"/>
  </w:font>
  <w:font w:name="Calibri Light">
    <w:charset w:val="01" w:characterSet="utf-8"/>
    <w:family w:val="swiss"/>
    <w:pitch w:val="variable"/>
  </w:font>
  <w:font w:name="Calibri">
    <w:charset w:val="01" w:characterSet="utf-8"/>
    <w:family w:val="swiss"/>
    <w:pitch w:val="variable"/>
  </w:font>
  <w:font w:name="Times New Roman ??????????">
    <w:charset w:val="01" w:characterSet="utf-8"/>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74053091"/>
    </w:sdtPr>
    <w:sdtContent>
      <w:p>
        <w:pPr>
          <w:pStyle w:val="Footer"/>
          <w:spacing w:before="120" w:after="0"/>
          <w:jc w:val="center"/>
          <w:rPr/>
        </w:pPr>
        <w:r>
          <w:rPr/>
          <w:fldChar w:fldCharType="begin"/>
        </w:r>
        <w:r>
          <w:rPr/>
          <w:instrText xml:space="preserve"> PAGE </w:instrText>
        </w:r>
        <w:r>
          <w:rPr/>
          <w:fldChar w:fldCharType="separate"/>
        </w:r>
        <w:r>
          <w:rPr/>
          <w:t>32</w:t>
        </w:r>
        <w:r>
          <w:rPr/>
          <w:fldChar w:fldCharType="end"/>
        </w:r>
      </w:p>
    </w:sdtContent>
  </w:sdt>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74053091"/>
    </w:sdtPr>
    <w:sdtContent>
      <w:p>
        <w:pPr>
          <w:pStyle w:val="Footer"/>
          <w:spacing w:before="120" w:after="0"/>
          <w:jc w:val="center"/>
          <w:rPr/>
        </w:pPr>
        <w:r>
          <w:rPr/>
          <w:fldChar w:fldCharType="begin"/>
        </w:r>
        <w:r>
          <w:rPr/>
          <w:instrText xml:space="preserve"> PAGE </w:instrText>
        </w:r>
        <w:r>
          <w:rPr/>
          <w:fldChar w:fldCharType="separate"/>
        </w:r>
        <w:r>
          <w:rPr/>
          <w:t>32</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96320830"/>
    </w:sdtPr>
    <w:sdtContent>
      <w:p>
        <w:pPr>
          <w:pStyle w:val="Footer"/>
          <w:spacing w:before="120" w:after="0"/>
          <w:jc w:val="center"/>
          <w:rPr/>
        </w:pPr>
        <w:r>
          <w:rPr/>
          <w:fldChar w:fldCharType="begin"/>
        </w:r>
        <w:r>
          <w:rPr/>
          <w:instrText xml:space="preserve"> PAGE </w:instrText>
        </w:r>
        <w:r>
          <w:rPr/>
          <w:fldChar w:fldCharType="separate"/>
        </w:r>
        <w:r>
          <w:rPr/>
          <w:t>38</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96320830"/>
    </w:sdtPr>
    <w:sdtContent>
      <w:p>
        <w:pPr>
          <w:pStyle w:val="Footer"/>
          <w:spacing w:before="120" w:after="0"/>
          <w:jc w:val="center"/>
          <w:rPr/>
        </w:pPr>
        <w:r>
          <w:rPr/>
          <w:fldChar w:fldCharType="begin"/>
        </w:r>
        <w:r>
          <w:rPr/>
          <w:instrText xml:space="preserve"> PAGE </w:instrText>
        </w:r>
        <w:r>
          <w:rPr/>
          <w:fldChar w:fldCharType="separate"/>
        </w:r>
        <w:r>
          <w:rPr/>
          <w:t>38</w:t>
        </w:r>
        <w:r>
          <w:rPr/>
          <w:fldChar w:fldCharType="end"/>
        </w:r>
      </w:p>
    </w:sdtContent>
  </w:sdt>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17074919"/>
    </w:sdtPr>
    <w:sdtContent>
      <w:p>
        <w:pPr>
          <w:pStyle w:val="Footer"/>
          <w:spacing w:before="120" w:after="0"/>
          <w:jc w:val="center"/>
          <w:rPr/>
        </w:pPr>
        <w:r>
          <w:rPr/>
          <w:fldChar w:fldCharType="begin"/>
        </w:r>
        <w:r>
          <w:rPr/>
          <w:instrText xml:space="preserve"> PAGE </w:instrText>
        </w:r>
        <w:r>
          <w:rPr/>
          <w:fldChar w:fldCharType="separate"/>
        </w:r>
        <w:r>
          <w:rPr/>
          <w:t>41</w:t>
        </w:r>
        <w:r>
          <w:rPr/>
          <w:fldChar w:fldCharType="end"/>
        </w:r>
      </w:p>
    </w:sdtContent>
  </w:sdt>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17074919"/>
    </w:sdtPr>
    <w:sdtContent>
      <w:p>
        <w:pPr>
          <w:pStyle w:val="Footer"/>
          <w:spacing w:before="120" w:after="0"/>
          <w:jc w:val="center"/>
          <w:rPr/>
        </w:pPr>
        <w:r>
          <w:rPr/>
          <w:fldChar w:fldCharType="begin"/>
        </w:r>
        <w:r>
          <w:rPr/>
          <w:instrText xml:space="preserve"> PAGE </w:instrText>
        </w:r>
        <w:r>
          <w:rPr/>
          <w:fldChar w:fldCharType="separate"/>
        </w:r>
        <w:r>
          <w:rPr/>
          <w:t>41</w:t>
        </w:r>
        <w:r>
          <w:rPr/>
          <w:fldChar w:fldCharType="end"/>
        </w:r>
      </w:p>
    </w:sdtContent>
  </w:sdt>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60436779"/>
    </w:sdtPr>
    <w:sdtContent>
      <w:p>
        <w:pPr>
          <w:pStyle w:val="Footer"/>
          <w:spacing w:before="120" w:after="0"/>
          <w:jc w:val="center"/>
          <w:rPr/>
        </w:pPr>
        <w:r>
          <w:rPr/>
          <w:fldChar w:fldCharType="begin"/>
        </w:r>
        <w:r>
          <w:rPr/>
          <w:instrText xml:space="preserve"> PAGE </w:instrText>
        </w:r>
        <w:r>
          <w:rPr/>
          <w:fldChar w:fldCharType="separate"/>
        </w:r>
        <w:r>
          <w:rPr/>
          <w:t>0</w:t>
        </w:r>
        <w:r>
          <w:rPr/>
          <w:fldChar w:fldCharType="end"/>
        </w:r>
      </w:p>
    </w:sdtContent>
  </w:sdt>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3459363"/>
    </w:sdtPr>
    <w:sdtContent>
      <w:p>
        <w:pPr>
          <w:pStyle w:val="Footer"/>
          <w:spacing w:before="120" w:after="0"/>
          <w:jc w:val="center"/>
          <w:rPr/>
        </w:pPr>
        <w:r>
          <w:rPr/>
          <w:fldChar w:fldCharType="begin"/>
        </w:r>
        <w:r>
          <w:rPr/>
          <w:instrText xml:space="preserve"> PAGE </w:instrText>
        </w:r>
        <w:r>
          <w:rPr/>
          <w:fldChar w:fldCharType="separate"/>
        </w:r>
        <w:r>
          <w:rPr/>
          <w:t>42</w:t>
        </w:r>
        <w:r>
          <w:rPr/>
          <w:fldChar w:fldCharType="end"/>
        </w:r>
      </w:p>
    </w:sdtContent>
  </w:sdt>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3459363"/>
    </w:sdtPr>
    <w:sdtContent>
      <w:p>
        <w:pPr>
          <w:pStyle w:val="Footer"/>
          <w:spacing w:before="120" w:after="0"/>
          <w:jc w:val="center"/>
          <w:rPr/>
        </w:pPr>
        <w:r>
          <w:rPr/>
          <w:fldChar w:fldCharType="begin"/>
        </w:r>
        <w:r>
          <w:rPr/>
          <w:instrText xml:space="preserve"> PAGE </w:instrText>
        </w:r>
        <w:r>
          <w:rPr/>
          <w:fldChar w:fldCharType="separate"/>
        </w:r>
        <w:r>
          <w:rPr/>
          <w:t>42</w:t>
        </w:r>
        <w:r>
          <w:rPr/>
          <w:fldChar w:fldCharType="end"/>
        </w:r>
      </w:p>
    </w:sdtContent>
  </w:sdt>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26468504"/>
    </w:sdtPr>
    <w:sdtContent>
      <w:p>
        <w:pPr>
          <w:pStyle w:val="Footer"/>
          <w:spacing w:before="120" w:after="0"/>
          <w:jc w:val="center"/>
          <w:rPr/>
        </w:pPr>
        <w:r>
          <w:rPr/>
          <w:fldChar w:fldCharType="begin"/>
        </w:r>
        <w:r>
          <w:rPr/>
          <w:instrText xml:space="preserve"> PAGE </w:instrText>
        </w:r>
        <w:r>
          <w:rPr/>
          <w:fldChar w:fldCharType="separate"/>
        </w:r>
        <w:r>
          <w:rPr/>
          <w:t>51</w:t>
        </w:r>
        <w:r>
          <w:rPr/>
          <w:fldChar w:fldCharType="end"/>
        </w:r>
      </w:p>
    </w:sdtContent>
  </w:sdt>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26468504"/>
    </w:sdtPr>
    <w:sdtContent>
      <w:p>
        <w:pPr>
          <w:pStyle w:val="Footer"/>
          <w:spacing w:before="120" w:after="0"/>
          <w:jc w:val="center"/>
          <w:rPr/>
        </w:pPr>
        <w:r>
          <w:rPr/>
          <w:fldChar w:fldCharType="begin"/>
        </w:r>
        <w:r>
          <w:rPr/>
          <w:instrText xml:space="preserve"> PAGE </w:instrText>
        </w:r>
        <w:r>
          <w:rPr/>
          <w:fldChar w:fldCharType="separate"/>
        </w:r>
        <w:r>
          <w:rPr/>
          <w:t>51</w:t>
        </w:r>
        <w:r>
          <w:rPr/>
          <w:fldChar w:fldCharType="end"/>
        </w:r>
      </w:p>
    </w:sdtContent>
  </w:sdt>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44411713"/>
    </w:sdtPr>
    <w:sdtContent>
      <w:p>
        <w:pPr>
          <w:pStyle w:val="Footer"/>
          <w:spacing w:before="120" w:after="0"/>
          <w:jc w:val="center"/>
          <w:rPr/>
        </w:pPr>
        <w:r>
          <w:rPr/>
          <w:fldChar w:fldCharType="begin"/>
        </w:r>
        <w:r>
          <w:rPr/>
          <w:instrText xml:space="preserve"> PAGE </w:instrText>
        </w:r>
        <w:r>
          <w:rPr/>
          <w:fldChar w:fldCharType="separate"/>
        </w:r>
        <w:r>
          <w:rPr/>
          <w:t>58</w:t>
        </w:r>
        <w:r>
          <w:rPr/>
          <w:fldChar w:fldCharType="end"/>
        </w:r>
      </w:p>
    </w:sdtContent>
  </w:sdt>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44411713"/>
    </w:sdtPr>
    <w:sdtContent>
      <w:p>
        <w:pPr>
          <w:pStyle w:val="Footer"/>
          <w:spacing w:before="120" w:after="0"/>
          <w:jc w:val="center"/>
          <w:rPr/>
        </w:pPr>
        <w:r>
          <w:rPr/>
          <w:fldChar w:fldCharType="begin"/>
        </w:r>
        <w:r>
          <w:rPr/>
          <w:instrText xml:space="preserve"> PAGE </w:instrText>
        </w:r>
        <w:r>
          <w:rPr/>
          <w:fldChar w:fldCharType="separate"/>
        </w:r>
        <w:r>
          <w:rPr/>
          <w:t>58</w:t>
        </w:r>
        <w:r>
          <w:rPr/>
          <w:fldChar w:fldCharType="end"/>
        </w:r>
      </w:p>
    </w:sdtContent>
  </w:sdt>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81027180"/>
    </w:sdtPr>
    <w:sdtContent>
      <w:p>
        <w:pPr>
          <w:pStyle w:val="Footer"/>
          <w:spacing w:before="120" w:after="0"/>
          <w:jc w:val="center"/>
          <w:rPr/>
        </w:pPr>
        <w:r>
          <w:rPr/>
          <w:fldChar w:fldCharType="begin"/>
        </w:r>
        <w:r>
          <w:rPr/>
          <w:instrText xml:space="preserve"> PAGE </w:instrText>
        </w:r>
        <w:r>
          <w:rPr/>
          <w:fldChar w:fldCharType="separate"/>
        </w:r>
        <w:r>
          <w:rPr/>
          <w:t>74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81027180"/>
    </w:sdtPr>
    <w:sdtContent>
      <w:p>
        <w:pPr>
          <w:pStyle w:val="Footer"/>
          <w:spacing w:before="120" w:after="0"/>
          <w:jc w:val="center"/>
          <w:rPr/>
        </w:pPr>
        <w:r>
          <w:rPr/>
          <w:fldChar w:fldCharType="begin"/>
        </w:r>
        <w:r>
          <w:rPr/>
          <w:instrText xml:space="preserve"> PAGE </w:instrText>
        </w:r>
        <w:r>
          <w:rPr/>
          <w:fldChar w:fldCharType="separate"/>
        </w:r>
        <w:r>
          <w:rPr/>
          <w:t>74</w:t>
        </w:r>
        <w:r>
          <w:rPr/>
          <w:fldChar w:fldCharType="end"/>
        </w:r>
      </w:p>
    </w:sdtContent>
  </w:sdt>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73219472"/>
    </w:sdtPr>
    <w:sdtContent>
      <w:p>
        <w:pPr>
          <w:pStyle w:val="Footer"/>
          <w:spacing w:before="120" w:after="0"/>
          <w:jc w:val="center"/>
          <w:rPr/>
        </w:pPr>
        <w:r>
          <w:rPr/>
          <w:fldChar w:fldCharType="begin"/>
        </w:r>
        <w:r>
          <w:rPr/>
          <w:instrText xml:space="preserve"> PAGE </w:instrText>
        </w:r>
        <w:r>
          <w:rPr/>
          <w:fldChar w:fldCharType="separate"/>
        </w:r>
        <w:r>
          <w:rPr/>
          <w:t>79</w:t>
        </w:r>
        <w:r>
          <w:rPr/>
          <w:fldChar w:fldCharType="end"/>
        </w:r>
      </w:p>
    </w:sdtContent>
  </w:sdt>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73219472"/>
    </w:sdtPr>
    <w:sdtContent>
      <w:p>
        <w:pPr>
          <w:pStyle w:val="Footer"/>
          <w:spacing w:before="120" w:after="0"/>
          <w:jc w:val="center"/>
          <w:rPr/>
        </w:pPr>
        <w:r>
          <w:rPr/>
          <w:fldChar w:fldCharType="begin"/>
        </w:r>
        <w:r>
          <w:rPr/>
          <w:instrText xml:space="preserve"> PAGE </w:instrText>
        </w:r>
        <w:r>
          <w:rPr/>
          <w:fldChar w:fldCharType="separate"/>
        </w:r>
        <w:r>
          <w:rPr/>
          <w:t>79</w:t>
        </w:r>
        <w:r>
          <w:rPr/>
          <w:fldChar w:fldCharType="end"/>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61687730"/>
    </w:sdtPr>
    <w:sdtContent>
      <w:p>
        <w:pPr>
          <w:pStyle w:val="Footer"/>
          <w:spacing w:before="120" w:after="0"/>
          <w:jc w:val="center"/>
          <w:rPr/>
        </w:pPr>
        <w:r>
          <w:rPr/>
          <w:fldChar w:fldCharType="begin"/>
        </w:r>
        <w:r>
          <w:rPr/>
          <w:instrText xml:space="preserve"> PAGE </w:instrText>
        </w:r>
        <w:r>
          <w:rPr/>
          <w:fldChar w:fldCharType="separate"/>
        </w:r>
        <w:r>
          <w:rPr/>
          <w:t>2</w:t>
        </w:r>
        <w:r>
          <w:rPr/>
          <w:fldChar w:fldCharType="end"/>
        </w:r>
      </w:p>
    </w:sdtContent>
  </w:sdt>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61687730"/>
    </w:sdtPr>
    <w:sdtContent>
      <w:p>
        <w:pPr>
          <w:pStyle w:val="Footer"/>
          <w:spacing w:before="120" w:after="0"/>
          <w:jc w:val="center"/>
          <w:rPr/>
        </w:pPr>
        <w:r>
          <w:rPr/>
          <w:fldChar w:fldCharType="begin"/>
        </w:r>
        <w:r>
          <w:rPr/>
          <w:instrText xml:space="preserve"> PAGE </w:instrText>
        </w:r>
        <w:r>
          <w:rPr/>
          <w:fldChar w:fldCharType="separate"/>
        </w:r>
        <w:r>
          <w:rPr/>
          <w:t>2</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77539250"/>
    </w:sdtPr>
    <w:sdtContent>
      <w:p>
        <w:pPr>
          <w:pStyle w:val="Footer"/>
          <w:spacing w:before="120" w:after="0"/>
          <w:jc w:val="center"/>
          <w:rPr/>
        </w:pPr>
        <w:r>
          <w:rPr/>
          <w:fldChar w:fldCharType="begin"/>
        </w:r>
        <w:r>
          <w:rPr/>
          <w:instrText xml:space="preserve"> PAGE </w:instrText>
        </w:r>
        <w:r>
          <w:rPr/>
          <w:fldChar w:fldCharType="separate"/>
        </w:r>
        <w:r>
          <w:rPr/>
          <w:t>23</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77539250"/>
    </w:sdtPr>
    <w:sdtContent>
      <w:p>
        <w:pPr>
          <w:pStyle w:val="Footer"/>
          <w:spacing w:before="120" w:after="0"/>
          <w:jc w:val="center"/>
          <w:rPr/>
        </w:pPr>
        <w:r>
          <w:rPr/>
          <w:fldChar w:fldCharType="begin"/>
        </w:r>
        <w:r>
          <w:rPr/>
          <w:instrText xml:space="preserve"> PAGE </w:instrText>
        </w:r>
        <w:r>
          <w:rPr/>
          <w:fldChar w:fldCharType="separate"/>
        </w:r>
        <w:r>
          <w:rPr/>
          <w:t>23</w:t>
        </w:r>
        <w:r>
          <w:rPr/>
          <w:fldChar w:fldCharType="end"/>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lineRule="auto" w:line="240" w:before="120" w:after="0"/>
        <w:rPr/>
      </w:pPr>
      <w:r>
        <w:rPr>
          <w:rStyle w:val="Style33"/>
        </w:rPr>
        <w:footnoteRef/>
      </w:r>
      <w:r>
        <w:rPr/>
        <w:t xml:space="preserve"> </w:t>
      </w:r>
      <w:r>
        <w:rPr/>
        <w:t>В таблице 23 значения столбцов Т1 и Т2 представлены в минутах</w:t>
      </w:r>
    </w:p>
  </w:footnote>
  <w:footnote w:id="3">
    <w:p>
      <w:pPr>
        <w:pStyle w:val="FootnoteText"/>
        <w:spacing w:lineRule="auto" w:line="240" w:before="120" w:after="0"/>
        <w:rPr/>
      </w:pPr>
      <w:r>
        <w:rPr>
          <w:rStyle w:val="Style33"/>
        </w:rPr>
        <w:footnoteRef/>
      </w:r>
      <w:r>
        <w:rPr/>
        <w:t xml:space="preserve"> </w:t>
      </w:r>
      <w:r>
        <w:rPr/>
        <w:t>Названия параметров могут отличаться в зависимости от используемой операционной системы или системы мониторинга.</w:t>
      </w:r>
    </w:p>
  </w:footnote>
  <w:footnote w:id="4">
    <w:p>
      <w:pPr>
        <w:pStyle w:val="FootnoteText"/>
        <w:spacing w:before="120" w:after="0"/>
        <w:ind w:hanging="142" w:start="142"/>
        <w:rPr/>
      </w:pPr>
      <w:r>
        <w:rPr>
          <w:rStyle w:val="Style33"/>
        </w:rPr>
        <w:footnoteRef/>
      </w:r>
      <w:r>
        <w:rPr/>
        <w:t xml:space="preserve"> </w:t>
      </w:r>
      <w:r>
        <w:rPr/>
        <w:t>Показатель недоступности Системы по причинам в зоне ответственности Исполнителя в отчетном периоде рассчитывается как отношение времени недоступности Системы по причине в зоне ответственности Исполнителя в отчетном периоде к общему количеству рабочего времени в отчетном периоде.</w:t>
      </w:r>
    </w:p>
  </w:footnote>
  <w:footnote w:id="5">
    <w:p>
      <w:pPr>
        <w:pStyle w:val="FootnoteText"/>
        <w:spacing w:lineRule="auto" w:line="240" w:before="120" w:after="0"/>
        <w:rPr/>
      </w:pPr>
      <w:r>
        <w:rPr>
          <w:rStyle w:val="Style33"/>
        </w:rPr>
        <w:footnoteRef/>
      </w:r>
      <w:r>
        <w:rPr/>
        <w:t xml:space="preserve"> </w:t>
      </w:r>
      <w:r>
        <w:rPr/>
        <w:t>Отчет о проведении инструктажей формируется нарастающим итогом с даты заключения государственного Договора по дату окончания очередного отчетного периода.</w:t>
      </w:r>
    </w:p>
  </w:footnote>
  <w:footnote w:id="6">
    <w:p>
      <w:pPr>
        <w:pStyle w:val="FootnoteText"/>
        <w:spacing w:before="120" w:after="0"/>
        <w:ind w:hanging="0" w:start="0"/>
        <w:rPr/>
      </w:pPr>
      <w:r>
        <w:rPr>
          <w:rStyle w:val="Style33"/>
        </w:rPr>
        <w:footnoteRef/>
      </w:r>
      <w:r>
        <w:rPr/>
        <w:t xml:space="preserve"> </w:t>
      </w:r>
      <w:r>
        <w:rPr/>
        <w:t>При определении времени недоступности Системы учитывается время недоступности Системы без учета времени проведения плановых профилактических работ в период Сервисного окна, определенное в п.5.2 Технических требований.</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5"/>
      <w:numFmt w:val="decimal"/>
      <w:lvlText w:val="%1."/>
      <w:lvlJc w:val="start"/>
      <w:pPr>
        <w:tabs>
          <w:tab w:val="num" w:pos="0"/>
        </w:tabs>
        <w:ind w:start="709" w:hanging="709"/>
      </w:pPr>
      <w:rPr/>
    </w:lvl>
    <w:lvl w:ilvl="1">
      <w:start w:val="1"/>
      <w:pStyle w:val="26"/>
      <w:numFmt w:val="decimal"/>
      <w:lvlText w:val="%1.%2."/>
      <w:lvlJc w:val="start"/>
      <w:pPr>
        <w:tabs>
          <w:tab w:val="num" w:pos="0"/>
        </w:tabs>
        <w:ind w:start="709" w:hanging="709"/>
      </w:pPr>
      <w:rPr>
        <w:sz w:val="24"/>
        <w:b/>
        <w:szCs w:val="24"/>
        <w:bCs w:val="false"/>
        <w:rFonts w:ascii="Times New Roman" w:hAnsi="Times New Roman" w:cs="Times New Roman"/>
        <w:color w:val="auto"/>
      </w:rPr>
    </w:lvl>
    <w:lvl w:ilvl="2">
      <w:start w:val="1"/>
      <w:pStyle w:val="33"/>
      <w:numFmt w:val="decimal"/>
      <w:lvlText w:val="%1.%2.%3."/>
      <w:lvlJc w:val="start"/>
      <w:pPr>
        <w:tabs>
          <w:tab w:val="num" w:pos="0"/>
        </w:tabs>
        <w:ind w:start="709" w:hanging="709"/>
      </w:pPr>
      <w:rPr>
        <w:rFonts w:ascii="Times New Roman" w:hAnsi="Times New Roman" w:cs="Times New Roman"/>
      </w:rPr>
    </w:lvl>
    <w:lvl w:ilvl="3">
      <w:start w:val="1"/>
      <w:pStyle w:val="42"/>
      <w:numFmt w:val="decimal"/>
      <w:lvlText w:val="%1.%2.%3.%4."/>
      <w:lvlJc w:val="start"/>
      <w:pPr>
        <w:tabs>
          <w:tab w:val="num" w:pos="0"/>
        </w:tabs>
        <w:ind w:start="709" w:hanging="709"/>
      </w:pPr>
      <w:rPr/>
    </w:lvl>
    <w:lvl w:ilvl="4">
      <w:start w:val="1"/>
      <w:pStyle w:val="52"/>
      <w:numFmt w:val="decimal"/>
      <w:lvlText w:val="%1.%2.%3.%4.%5."/>
      <w:lvlJc w:val="start"/>
      <w:pPr>
        <w:tabs>
          <w:tab w:val="num" w:pos="0"/>
        </w:tabs>
        <w:ind w:start="709" w:hanging="709"/>
      </w:pPr>
      <w:rPr/>
    </w:lvl>
    <w:lvl w:ilvl="5">
      <w:start w:val="1"/>
      <w:numFmt w:val="decimal"/>
      <w:lvlText w:val="%1.%2.%3.%4.%5.%6."/>
      <w:lvlJc w:val="start"/>
      <w:pPr>
        <w:tabs>
          <w:tab w:val="num" w:pos="0"/>
        </w:tabs>
        <w:ind w:start="709" w:hanging="709"/>
      </w:pPr>
      <w:rPr/>
    </w:lvl>
    <w:lvl w:ilvl="6">
      <w:start w:val="1"/>
      <w:numFmt w:val="decimal"/>
      <w:lvlText w:val="%1.%2.%3.%4.%5.%6.%7."/>
      <w:lvlJc w:val="start"/>
      <w:pPr>
        <w:tabs>
          <w:tab w:val="num" w:pos="0"/>
        </w:tabs>
        <w:ind w:start="709" w:hanging="709"/>
      </w:pPr>
      <w:rPr/>
    </w:lvl>
    <w:lvl w:ilvl="7">
      <w:start w:val="1"/>
      <w:numFmt w:val="decimal"/>
      <w:lvlText w:val="%1.%2.%3.%4.%5.%6.%7.%8."/>
      <w:lvlJc w:val="start"/>
      <w:pPr>
        <w:tabs>
          <w:tab w:val="num" w:pos="0"/>
        </w:tabs>
        <w:ind w:start="709" w:hanging="709"/>
      </w:pPr>
      <w:rPr/>
    </w:lvl>
    <w:lvl w:ilvl="8">
      <w:start w:val="1"/>
      <w:numFmt w:val="decimal"/>
      <w:lvlText w:val="%1.%2.%3.%4.%5.%6.%7.%8.%9."/>
      <w:lvlJc w:val="start"/>
      <w:pPr>
        <w:tabs>
          <w:tab w:val="num" w:pos="0"/>
        </w:tabs>
        <w:ind w:start="709" w:hanging="709"/>
      </w:pPr>
      <w:rPr/>
    </w:lvl>
  </w:abstractNum>
  <w:abstractNum w:abstractNumId="2">
    <w:lvl w:ilvl="0">
      <w:start w:val="1"/>
      <w:numFmt w:val="bullet"/>
      <w:lvlText w:val="-"/>
      <w:lvlJc w:val="start"/>
      <w:pPr>
        <w:tabs>
          <w:tab w:val="num" w:pos="0"/>
        </w:tabs>
        <w:ind w:start="1776" w:hanging="360"/>
      </w:pPr>
      <w:rPr>
        <w:rFonts w:ascii="Courier New" w:hAnsi="Courier New" w:cs="Courier New" w:hint="default"/>
      </w:rPr>
    </w:lvl>
    <w:lvl w:ilvl="1">
      <w:start w:val="1"/>
      <w:numFmt w:val="bullet"/>
      <w:lvlText w:val=""/>
      <w:lvlJc w:val="start"/>
      <w:pPr>
        <w:tabs>
          <w:tab w:val="num" w:pos="0"/>
        </w:tabs>
        <w:ind w:start="2496" w:hanging="360"/>
      </w:pPr>
      <w:rPr>
        <w:rFonts w:ascii="Wingdings" w:hAnsi="Wingdings" w:cs="Wingdings" w:hint="default"/>
      </w:rPr>
    </w:lvl>
    <w:lvl w:ilvl="2">
      <w:start w:val="1"/>
      <w:numFmt w:val="bullet"/>
      <w:lvlText w:val=""/>
      <w:lvlJc w:val="start"/>
      <w:pPr>
        <w:tabs>
          <w:tab w:val="num" w:pos="0"/>
        </w:tabs>
        <w:ind w:start="3216" w:hanging="360"/>
      </w:pPr>
      <w:rPr>
        <w:rFonts w:ascii="Wingdings" w:hAnsi="Wingdings" w:cs="Wingdings" w:hint="default"/>
      </w:rPr>
    </w:lvl>
    <w:lvl w:ilvl="3">
      <w:start w:val="1"/>
      <w:numFmt w:val="bullet"/>
      <w:lvlText w:val=""/>
      <w:lvlJc w:val="start"/>
      <w:pPr>
        <w:tabs>
          <w:tab w:val="num" w:pos="0"/>
        </w:tabs>
        <w:ind w:start="3936" w:hanging="360"/>
      </w:pPr>
      <w:rPr>
        <w:rFonts w:ascii="Symbol" w:hAnsi="Symbol" w:cs="Symbol" w:hint="default"/>
      </w:rPr>
    </w:lvl>
    <w:lvl w:ilvl="4">
      <w:start w:val="1"/>
      <w:numFmt w:val="bullet"/>
      <w:lvlText w:val="o"/>
      <w:lvlJc w:val="start"/>
      <w:pPr>
        <w:tabs>
          <w:tab w:val="num" w:pos="0"/>
        </w:tabs>
        <w:ind w:start="4656" w:hanging="360"/>
      </w:pPr>
      <w:rPr>
        <w:rFonts w:ascii="Courier New" w:hAnsi="Courier New" w:cs="Courier New" w:hint="default"/>
      </w:rPr>
    </w:lvl>
    <w:lvl w:ilvl="5">
      <w:start w:val="1"/>
      <w:numFmt w:val="bullet"/>
      <w:lvlText w:val=""/>
      <w:lvlJc w:val="start"/>
      <w:pPr>
        <w:tabs>
          <w:tab w:val="num" w:pos="0"/>
        </w:tabs>
        <w:ind w:start="5376" w:hanging="360"/>
      </w:pPr>
      <w:rPr>
        <w:rFonts w:ascii="Wingdings" w:hAnsi="Wingdings" w:cs="Wingdings" w:hint="default"/>
      </w:rPr>
    </w:lvl>
    <w:lvl w:ilvl="6">
      <w:start w:val="1"/>
      <w:numFmt w:val="bullet"/>
      <w:lvlText w:val=""/>
      <w:lvlJc w:val="start"/>
      <w:pPr>
        <w:tabs>
          <w:tab w:val="num" w:pos="0"/>
        </w:tabs>
        <w:ind w:start="6096" w:hanging="360"/>
      </w:pPr>
      <w:rPr>
        <w:rFonts w:ascii="Symbol" w:hAnsi="Symbol" w:cs="Symbol" w:hint="default"/>
      </w:rPr>
    </w:lvl>
    <w:lvl w:ilvl="7">
      <w:start w:val="1"/>
      <w:numFmt w:val="bullet"/>
      <w:lvlText w:val="o"/>
      <w:lvlJc w:val="start"/>
      <w:pPr>
        <w:tabs>
          <w:tab w:val="num" w:pos="0"/>
        </w:tabs>
        <w:ind w:start="6816" w:hanging="360"/>
      </w:pPr>
      <w:rPr>
        <w:rFonts w:ascii="Courier New" w:hAnsi="Courier New" w:cs="Courier New" w:hint="default"/>
      </w:rPr>
    </w:lvl>
    <w:lvl w:ilvl="8">
      <w:start w:val="1"/>
      <w:numFmt w:val="bullet"/>
      <w:lvlText w:val=""/>
      <w:lvlJc w:val="start"/>
      <w:pPr>
        <w:tabs>
          <w:tab w:val="num" w:pos="0"/>
        </w:tabs>
        <w:ind w:start="7536" w:hanging="360"/>
      </w:pPr>
      <w:rPr>
        <w:rFonts w:ascii="Wingdings" w:hAnsi="Wingdings" w:cs="Wingdings" w:hint="default"/>
      </w:rPr>
    </w:lvl>
  </w:abstractNum>
  <w:abstractNum w:abstractNumId="3">
    <w:lvl w:ilvl="0">
      <w:start w:val="1"/>
      <w:numFmt w:val="decimal"/>
      <w:lvlText w:val="%1)"/>
      <w:lvlJc w:val="start"/>
      <w:pPr>
        <w:tabs>
          <w:tab w:val="num" w:pos="0"/>
        </w:tabs>
        <w:ind w:start="1571" w:hanging="360"/>
      </w:pPr>
      <w:rPr/>
    </w:lvl>
    <w:lvl w:ilvl="1">
      <w:start w:val="1"/>
      <w:numFmt w:val="lowerLetter"/>
      <w:lvlText w:val="%2."/>
      <w:lvlJc w:val="start"/>
      <w:pPr>
        <w:tabs>
          <w:tab w:val="num" w:pos="0"/>
        </w:tabs>
        <w:ind w:start="2291" w:hanging="360"/>
      </w:pPr>
      <w:rPr>
        <w:lang w:val="ru-RU"/>
      </w:rPr>
    </w:lvl>
    <w:lvl w:ilvl="2">
      <w:start w:val="1"/>
      <w:numFmt w:val="lowerRoman"/>
      <w:lvlText w:val="%3."/>
      <w:lvlJc w:val="end"/>
      <w:pPr>
        <w:tabs>
          <w:tab w:val="num" w:pos="0"/>
        </w:tabs>
        <w:ind w:start="3011" w:hanging="180"/>
      </w:pPr>
      <w:rPr/>
    </w:lvl>
    <w:lvl w:ilvl="3">
      <w:start w:val="1"/>
      <w:numFmt w:val="decimal"/>
      <w:lvlText w:val="%4."/>
      <w:lvlJc w:val="start"/>
      <w:pPr>
        <w:tabs>
          <w:tab w:val="num" w:pos="0"/>
        </w:tabs>
        <w:ind w:start="3731" w:hanging="360"/>
      </w:pPr>
      <w:rPr/>
    </w:lvl>
    <w:lvl w:ilvl="4">
      <w:start w:val="1"/>
      <w:numFmt w:val="lowerLetter"/>
      <w:lvlText w:val="%5."/>
      <w:lvlJc w:val="start"/>
      <w:pPr>
        <w:tabs>
          <w:tab w:val="num" w:pos="0"/>
        </w:tabs>
        <w:ind w:start="4451" w:hanging="360"/>
      </w:pPr>
      <w:rPr/>
    </w:lvl>
    <w:lvl w:ilvl="5">
      <w:start w:val="1"/>
      <w:numFmt w:val="lowerRoman"/>
      <w:lvlText w:val="%6."/>
      <w:lvlJc w:val="end"/>
      <w:pPr>
        <w:tabs>
          <w:tab w:val="num" w:pos="0"/>
        </w:tabs>
        <w:ind w:start="5171" w:hanging="180"/>
      </w:pPr>
      <w:rPr/>
    </w:lvl>
    <w:lvl w:ilvl="6">
      <w:start w:val="1"/>
      <w:numFmt w:val="decimal"/>
      <w:lvlText w:val="%7."/>
      <w:lvlJc w:val="start"/>
      <w:pPr>
        <w:tabs>
          <w:tab w:val="num" w:pos="0"/>
        </w:tabs>
        <w:ind w:start="5891" w:hanging="360"/>
      </w:pPr>
      <w:rPr/>
    </w:lvl>
    <w:lvl w:ilvl="7">
      <w:start w:val="1"/>
      <w:numFmt w:val="lowerLetter"/>
      <w:lvlText w:val="%8."/>
      <w:lvlJc w:val="start"/>
      <w:pPr>
        <w:tabs>
          <w:tab w:val="num" w:pos="0"/>
        </w:tabs>
        <w:ind w:start="6611" w:hanging="360"/>
      </w:pPr>
      <w:rPr/>
    </w:lvl>
    <w:lvl w:ilvl="8">
      <w:start w:val="1"/>
      <w:numFmt w:val="lowerRoman"/>
      <w:lvlText w:val="%9."/>
      <w:lvlJc w:val="end"/>
      <w:pPr>
        <w:tabs>
          <w:tab w:val="num" w:pos="0"/>
        </w:tabs>
        <w:ind w:start="7331" w:hanging="180"/>
      </w:pPr>
      <w:rPr/>
    </w:lvl>
  </w:abstractNum>
  <w:abstractNum w:abstractNumId="4">
    <w:lvl w:ilvl="0">
      <w:start w:val="1"/>
      <w:numFmt w:val="russianUpper"/>
      <w:lvlText w:val="Приложение %1."/>
      <w:lvlJc w:val="start"/>
      <w:pPr>
        <w:tabs>
          <w:tab w:val="num" w:pos="0"/>
        </w:tabs>
        <w:ind w:start="15103" w:hanging="360"/>
      </w:pPr>
      <w:rPr/>
    </w:lvl>
    <w:lvl w:ilvl="1">
      <w:start w:val="1"/>
      <w:numFmt w:val="lowerLetter"/>
      <w:lvlText w:val="%2."/>
      <w:lvlJc w:val="start"/>
      <w:pPr>
        <w:tabs>
          <w:tab w:val="num" w:pos="0"/>
        </w:tabs>
        <w:ind w:start="10578" w:hanging="360"/>
      </w:pPr>
      <w:rPr/>
    </w:lvl>
    <w:lvl w:ilvl="2">
      <w:start w:val="1"/>
      <w:numFmt w:val="lowerRoman"/>
      <w:lvlText w:val="%3."/>
      <w:lvlJc w:val="end"/>
      <w:pPr>
        <w:tabs>
          <w:tab w:val="num" w:pos="0"/>
        </w:tabs>
        <w:ind w:start="11298" w:hanging="180"/>
      </w:pPr>
      <w:rPr/>
    </w:lvl>
    <w:lvl w:ilvl="3">
      <w:start w:val="1"/>
      <w:numFmt w:val="decimal"/>
      <w:lvlText w:val="%4."/>
      <w:lvlJc w:val="start"/>
      <w:pPr>
        <w:tabs>
          <w:tab w:val="num" w:pos="0"/>
        </w:tabs>
        <w:ind w:start="12018" w:hanging="360"/>
      </w:pPr>
      <w:rPr/>
    </w:lvl>
    <w:lvl w:ilvl="4">
      <w:start w:val="1"/>
      <w:numFmt w:val="lowerLetter"/>
      <w:lvlText w:val="%5."/>
      <w:lvlJc w:val="start"/>
      <w:pPr>
        <w:tabs>
          <w:tab w:val="num" w:pos="0"/>
        </w:tabs>
        <w:ind w:start="12738" w:hanging="360"/>
      </w:pPr>
      <w:rPr/>
    </w:lvl>
    <w:lvl w:ilvl="5">
      <w:start w:val="1"/>
      <w:numFmt w:val="lowerRoman"/>
      <w:lvlText w:val="%6."/>
      <w:lvlJc w:val="end"/>
      <w:pPr>
        <w:tabs>
          <w:tab w:val="num" w:pos="0"/>
        </w:tabs>
        <w:ind w:start="13458" w:hanging="180"/>
      </w:pPr>
      <w:rPr/>
    </w:lvl>
    <w:lvl w:ilvl="6">
      <w:start w:val="1"/>
      <w:numFmt w:val="decimal"/>
      <w:lvlText w:val="%7."/>
      <w:lvlJc w:val="start"/>
      <w:pPr>
        <w:tabs>
          <w:tab w:val="num" w:pos="0"/>
        </w:tabs>
        <w:ind w:start="14178" w:hanging="360"/>
      </w:pPr>
      <w:rPr/>
    </w:lvl>
    <w:lvl w:ilvl="7">
      <w:start w:val="1"/>
      <w:numFmt w:val="lowerLetter"/>
      <w:lvlText w:val="%8."/>
      <w:lvlJc w:val="start"/>
      <w:pPr>
        <w:tabs>
          <w:tab w:val="num" w:pos="0"/>
        </w:tabs>
        <w:ind w:start="14898" w:hanging="360"/>
      </w:pPr>
      <w:rPr/>
    </w:lvl>
    <w:lvl w:ilvl="8">
      <w:start w:val="1"/>
      <w:numFmt w:val="lowerRoman"/>
      <w:lvlText w:val="%9."/>
      <w:lvlJc w:val="end"/>
      <w:pPr>
        <w:tabs>
          <w:tab w:val="num" w:pos="0"/>
        </w:tabs>
        <w:ind w:start="15618" w:hanging="180"/>
      </w:pPr>
      <w:rPr/>
    </w:lvl>
  </w:abstractNum>
  <w:abstractNum w:abstractNumId="5">
    <w:lvl w:ilvl="0">
      <w:start w:val="1"/>
      <w:numFmt w:val="bullet"/>
      <w:lvlText w:val="-"/>
      <w:lvlJc w:val="start"/>
      <w:pPr>
        <w:tabs>
          <w:tab w:val="num" w:pos="0"/>
        </w:tabs>
        <w:ind w:start="1933" w:hanging="360"/>
      </w:pPr>
      <w:rPr>
        <w:rFonts w:ascii="Courier New" w:hAnsi="Courier New" w:cs="Courier New" w:hint="default"/>
      </w:rPr>
    </w:lvl>
    <w:lvl w:ilvl="1">
      <w:start w:val="1"/>
      <w:numFmt w:val="bullet"/>
      <w:lvlText w:val="o"/>
      <w:lvlJc w:val="start"/>
      <w:pPr>
        <w:tabs>
          <w:tab w:val="num" w:pos="0"/>
        </w:tabs>
        <w:ind w:start="2653" w:hanging="360"/>
      </w:pPr>
      <w:rPr>
        <w:rFonts w:ascii="Courier New" w:hAnsi="Courier New" w:cs="Courier New" w:hint="default"/>
      </w:rPr>
    </w:lvl>
    <w:lvl w:ilvl="2">
      <w:start w:val="1"/>
      <w:numFmt w:val="bullet"/>
      <w:lvlText w:val=""/>
      <w:lvlJc w:val="start"/>
      <w:pPr>
        <w:tabs>
          <w:tab w:val="num" w:pos="0"/>
        </w:tabs>
        <w:ind w:start="3373" w:hanging="360"/>
      </w:pPr>
      <w:rPr>
        <w:rFonts w:ascii="Wingdings" w:hAnsi="Wingdings" w:cs="Wingdings" w:hint="default"/>
      </w:rPr>
    </w:lvl>
    <w:lvl w:ilvl="3">
      <w:start w:val="1"/>
      <w:numFmt w:val="bullet"/>
      <w:lvlText w:val=""/>
      <w:lvlJc w:val="start"/>
      <w:pPr>
        <w:tabs>
          <w:tab w:val="num" w:pos="0"/>
        </w:tabs>
        <w:ind w:start="4093" w:hanging="360"/>
      </w:pPr>
      <w:rPr>
        <w:rFonts w:ascii="Symbol" w:hAnsi="Symbol" w:cs="Symbol" w:hint="default"/>
      </w:rPr>
    </w:lvl>
    <w:lvl w:ilvl="4">
      <w:start w:val="1"/>
      <w:numFmt w:val="bullet"/>
      <w:lvlText w:val="o"/>
      <w:lvlJc w:val="start"/>
      <w:pPr>
        <w:tabs>
          <w:tab w:val="num" w:pos="0"/>
        </w:tabs>
        <w:ind w:start="4813" w:hanging="360"/>
      </w:pPr>
      <w:rPr>
        <w:rFonts w:ascii="Courier New" w:hAnsi="Courier New" w:cs="Courier New" w:hint="default"/>
      </w:rPr>
    </w:lvl>
    <w:lvl w:ilvl="5">
      <w:start w:val="1"/>
      <w:numFmt w:val="bullet"/>
      <w:lvlText w:val=""/>
      <w:lvlJc w:val="start"/>
      <w:pPr>
        <w:tabs>
          <w:tab w:val="num" w:pos="0"/>
        </w:tabs>
        <w:ind w:start="5533" w:hanging="360"/>
      </w:pPr>
      <w:rPr>
        <w:rFonts w:ascii="Wingdings" w:hAnsi="Wingdings" w:cs="Wingdings" w:hint="default"/>
      </w:rPr>
    </w:lvl>
    <w:lvl w:ilvl="6">
      <w:start w:val="1"/>
      <w:numFmt w:val="bullet"/>
      <w:lvlText w:val=""/>
      <w:lvlJc w:val="start"/>
      <w:pPr>
        <w:tabs>
          <w:tab w:val="num" w:pos="0"/>
        </w:tabs>
        <w:ind w:start="6253" w:hanging="360"/>
      </w:pPr>
      <w:rPr>
        <w:rFonts w:ascii="Symbol" w:hAnsi="Symbol" w:cs="Symbol" w:hint="default"/>
      </w:rPr>
    </w:lvl>
    <w:lvl w:ilvl="7">
      <w:start w:val="1"/>
      <w:numFmt w:val="bullet"/>
      <w:lvlText w:val="o"/>
      <w:lvlJc w:val="start"/>
      <w:pPr>
        <w:tabs>
          <w:tab w:val="num" w:pos="0"/>
        </w:tabs>
        <w:ind w:start="6973" w:hanging="360"/>
      </w:pPr>
      <w:rPr>
        <w:rFonts w:ascii="Courier New" w:hAnsi="Courier New" w:cs="Courier New" w:hint="default"/>
      </w:rPr>
    </w:lvl>
    <w:lvl w:ilvl="8">
      <w:start w:val="1"/>
      <w:numFmt w:val="bullet"/>
      <w:lvlText w:val=""/>
      <w:lvlJc w:val="start"/>
      <w:pPr>
        <w:tabs>
          <w:tab w:val="num" w:pos="0"/>
        </w:tabs>
        <w:ind w:start="7693"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Courier New" w:hAnsi="Courier New" w:cs="Courier New"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1571" w:hanging="360"/>
      </w:pPr>
      <w:rPr>
        <w:rFonts w:ascii="Courier New" w:hAnsi="Courier New" w:cs="Courier New" w:hint="default"/>
      </w:rPr>
    </w:lvl>
    <w:lvl w:ilvl="1">
      <w:start w:val="0"/>
      <w:numFmt w:val="bullet"/>
      <w:lvlText w:val="•"/>
      <w:lvlJc w:val="start"/>
      <w:pPr>
        <w:tabs>
          <w:tab w:val="num" w:pos="0"/>
        </w:tabs>
        <w:ind w:start="2291" w:hanging="360"/>
      </w:pPr>
      <w:rPr>
        <w:rFonts w:ascii="Times New Roman" w:hAnsi="Times New Roman" w:cs="Times New Roman" w:hint="default"/>
      </w:rPr>
    </w:lvl>
    <w:lvl w:ilvl="2">
      <w:start w:val="1"/>
      <w:numFmt w:val="bullet"/>
      <w:lvlText w:val=""/>
      <w:lvlJc w:val="start"/>
      <w:pPr>
        <w:tabs>
          <w:tab w:val="num" w:pos="0"/>
        </w:tabs>
        <w:ind w:start="3011" w:hanging="360"/>
      </w:pPr>
      <w:rPr>
        <w:rFonts w:ascii="Wingdings" w:hAnsi="Wingdings" w:cs="Wingdings"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8">
    <w:lvl w:ilvl="0">
      <w:start w:val="1"/>
      <w:numFmt w:val="bullet"/>
      <w:lvlText w:val="-"/>
      <w:lvlJc w:val="start"/>
      <w:pPr>
        <w:tabs>
          <w:tab w:val="num" w:pos="0"/>
        </w:tabs>
        <w:ind w:start="3490" w:hanging="360"/>
      </w:pPr>
      <w:rPr>
        <w:rFonts w:ascii="Courier New" w:hAnsi="Courier New" w:cs="Courier New" w:hint="default"/>
      </w:rPr>
    </w:lvl>
    <w:lvl w:ilvl="1">
      <w:start w:val="1"/>
      <w:numFmt w:val="bullet"/>
      <w:lvlText w:val="o"/>
      <w:lvlJc w:val="start"/>
      <w:pPr>
        <w:tabs>
          <w:tab w:val="num" w:pos="0"/>
        </w:tabs>
        <w:ind w:start="4210" w:hanging="360"/>
      </w:pPr>
      <w:rPr>
        <w:rFonts w:ascii="Courier New" w:hAnsi="Courier New" w:cs="Courier New" w:hint="default"/>
      </w:rPr>
    </w:lvl>
    <w:lvl w:ilvl="2">
      <w:start w:val="1"/>
      <w:numFmt w:val="bullet"/>
      <w:lvlText w:val=""/>
      <w:lvlJc w:val="start"/>
      <w:pPr>
        <w:tabs>
          <w:tab w:val="num" w:pos="0"/>
        </w:tabs>
        <w:ind w:start="4930" w:hanging="360"/>
      </w:pPr>
      <w:rPr>
        <w:rFonts w:ascii="Wingdings" w:hAnsi="Wingdings" w:cs="Wingdings" w:hint="default"/>
      </w:rPr>
    </w:lvl>
    <w:lvl w:ilvl="3">
      <w:start w:val="1"/>
      <w:numFmt w:val="bullet"/>
      <w:lvlText w:val=""/>
      <w:lvlJc w:val="start"/>
      <w:pPr>
        <w:tabs>
          <w:tab w:val="num" w:pos="0"/>
        </w:tabs>
        <w:ind w:start="5650" w:hanging="360"/>
      </w:pPr>
      <w:rPr>
        <w:rFonts w:ascii="Symbol" w:hAnsi="Symbol" w:cs="Symbol" w:hint="default"/>
      </w:rPr>
    </w:lvl>
    <w:lvl w:ilvl="4">
      <w:start w:val="1"/>
      <w:numFmt w:val="bullet"/>
      <w:lvlText w:val="o"/>
      <w:lvlJc w:val="start"/>
      <w:pPr>
        <w:tabs>
          <w:tab w:val="num" w:pos="0"/>
        </w:tabs>
        <w:ind w:start="6370" w:hanging="360"/>
      </w:pPr>
      <w:rPr>
        <w:rFonts w:ascii="Courier New" w:hAnsi="Courier New" w:cs="Courier New" w:hint="default"/>
      </w:rPr>
    </w:lvl>
    <w:lvl w:ilvl="5">
      <w:start w:val="1"/>
      <w:numFmt w:val="bullet"/>
      <w:lvlText w:val=""/>
      <w:lvlJc w:val="start"/>
      <w:pPr>
        <w:tabs>
          <w:tab w:val="num" w:pos="0"/>
        </w:tabs>
        <w:ind w:start="7090" w:hanging="360"/>
      </w:pPr>
      <w:rPr>
        <w:rFonts w:ascii="Wingdings" w:hAnsi="Wingdings" w:cs="Wingdings" w:hint="default"/>
      </w:rPr>
    </w:lvl>
    <w:lvl w:ilvl="6">
      <w:start w:val="1"/>
      <w:numFmt w:val="bullet"/>
      <w:lvlText w:val=""/>
      <w:lvlJc w:val="start"/>
      <w:pPr>
        <w:tabs>
          <w:tab w:val="num" w:pos="0"/>
        </w:tabs>
        <w:ind w:start="7810" w:hanging="360"/>
      </w:pPr>
      <w:rPr>
        <w:rFonts w:ascii="Symbol" w:hAnsi="Symbol" w:cs="Symbol" w:hint="default"/>
      </w:rPr>
    </w:lvl>
    <w:lvl w:ilvl="7">
      <w:start w:val="1"/>
      <w:numFmt w:val="bullet"/>
      <w:lvlText w:val="o"/>
      <w:lvlJc w:val="start"/>
      <w:pPr>
        <w:tabs>
          <w:tab w:val="num" w:pos="0"/>
        </w:tabs>
        <w:ind w:start="8530" w:hanging="360"/>
      </w:pPr>
      <w:rPr>
        <w:rFonts w:ascii="Courier New" w:hAnsi="Courier New" w:cs="Courier New" w:hint="default"/>
      </w:rPr>
    </w:lvl>
    <w:lvl w:ilvl="8">
      <w:start w:val="1"/>
      <w:numFmt w:val="bullet"/>
      <w:lvlText w:val=""/>
      <w:lvlJc w:val="start"/>
      <w:pPr>
        <w:tabs>
          <w:tab w:val="num" w:pos="0"/>
        </w:tabs>
        <w:ind w:start="9250" w:hanging="360"/>
      </w:pPr>
      <w:rPr>
        <w:rFonts w:ascii="Wingdings" w:hAnsi="Wingdings" w:cs="Wingdings" w:hint="default"/>
      </w:rPr>
    </w:lvl>
  </w:abstractNum>
  <w:abstractNum w:abstractNumId="9">
    <w:lvl w:ilvl="0">
      <w:start w:val="1"/>
      <w:numFmt w:val="bullet"/>
      <w:lvlText w:val="-"/>
      <w:lvlJc w:val="start"/>
      <w:pPr>
        <w:tabs>
          <w:tab w:val="num" w:pos="0"/>
        </w:tabs>
        <w:ind w:start="1778" w:hanging="360"/>
      </w:pPr>
      <w:rPr>
        <w:rFonts w:ascii="Courier New" w:hAnsi="Courier New" w:cs="Courier New" w:hint="default"/>
      </w:rPr>
    </w:lvl>
    <w:lvl w:ilvl="1">
      <w:start w:val="0"/>
      <w:numFmt w:val="none"/>
      <w:suff w:val="nothing"/>
      <w:lvlText w:val="Ҕș૰ș翿䋘ȑ翿쵰翿"/>
      <w:lvlJc w:val="start"/>
      <w:pPr>
        <w:tabs>
          <w:tab w:val="num" w:pos="0"/>
        </w:tabs>
        <w:ind w:start="0" w:hanging="0"/>
      </w:pPr>
      <w:rPr/>
    </w:lvl>
    <w:lvl w:ilvl="2">
      <w:start w:val="1"/>
      <w:numFmt w:val="bullet"/>
      <w:lvlText w:val=""/>
      <w:lvlJc w:val="start"/>
      <w:pPr>
        <w:tabs>
          <w:tab w:val="num" w:pos="0"/>
        </w:tabs>
        <w:ind w:start="2498" w:hanging="360"/>
      </w:pPr>
      <w:rPr>
        <w:rFonts w:ascii="Wingdings" w:hAnsi="Wingdings" w:cs="Wingdings" w:hint="default"/>
      </w:rPr>
    </w:lvl>
    <w:lvl w:ilvl="3">
      <w:start w:val="1"/>
      <w:numFmt w:val="bullet"/>
      <w:lvlText w:val=""/>
      <w:lvlJc w:val="start"/>
      <w:pPr>
        <w:tabs>
          <w:tab w:val="num" w:pos="0"/>
        </w:tabs>
        <w:ind w:start="2858" w:hanging="360"/>
      </w:pPr>
      <w:rPr>
        <w:rFonts w:ascii="Symbol" w:hAnsi="Symbol" w:cs="Symbol" w:hint="default"/>
      </w:rPr>
    </w:lvl>
    <w:lvl w:ilvl="4">
      <w:start w:val="1"/>
      <w:numFmt w:val="bullet"/>
      <w:lvlText w:val=""/>
      <w:lvlJc w:val="start"/>
      <w:pPr>
        <w:tabs>
          <w:tab w:val="num" w:pos="0"/>
        </w:tabs>
        <w:ind w:start="3218" w:hanging="360"/>
      </w:pPr>
      <w:rPr>
        <w:rFonts w:ascii="Symbol" w:hAnsi="Symbol" w:cs="Symbol" w:hint="default"/>
      </w:rPr>
    </w:lvl>
    <w:lvl w:ilvl="5">
      <w:start w:val="1"/>
      <w:numFmt w:val="bullet"/>
      <w:lvlText w:val=""/>
      <w:lvlJc w:val="start"/>
      <w:pPr>
        <w:tabs>
          <w:tab w:val="num" w:pos="0"/>
        </w:tabs>
        <w:ind w:start="3578" w:hanging="360"/>
      </w:pPr>
      <w:rPr>
        <w:rFonts w:ascii="Wingdings" w:hAnsi="Wingdings" w:cs="Wingdings" w:hint="default"/>
      </w:rPr>
    </w:lvl>
    <w:lvl w:ilvl="6">
      <w:start w:val="1"/>
      <w:numFmt w:val="bullet"/>
      <w:lvlText w:val=""/>
      <w:lvlJc w:val="start"/>
      <w:pPr>
        <w:tabs>
          <w:tab w:val="num" w:pos="0"/>
        </w:tabs>
        <w:ind w:start="3938" w:hanging="360"/>
      </w:pPr>
      <w:rPr>
        <w:rFonts w:ascii="Wingdings" w:hAnsi="Wingdings" w:cs="Wingdings" w:hint="default"/>
      </w:rPr>
    </w:lvl>
    <w:lvl w:ilvl="7">
      <w:start w:val="1"/>
      <w:numFmt w:val="bullet"/>
      <w:lvlText w:val=""/>
      <w:lvlJc w:val="start"/>
      <w:pPr>
        <w:tabs>
          <w:tab w:val="num" w:pos="0"/>
        </w:tabs>
        <w:ind w:start="4298" w:hanging="360"/>
      </w:pPr>
      <w:rPr>
        <w:rFonts w:ascii="Symbol" w:hAnsi="Symbol" w:cs="Symbol" w:hint="default"/>
      </w:rPr>
    </w:lvl>
    <w:lvl w:ilvl="8">
      <w:start w:val="0"/>
      <w:numFmt w:val="none"/>
      <w:suff w:val="nothing"/>
      <w:lvlText w:val="Ҕș૰ș翿䋘ȑ翿쵰翿"/>
      <w:lvlJc w:val="start"/>
      <w:pPr>
        <w:tabs>
          <w:tab w:val="num" w:pos="0"/>
        </w:tabs>
        <w:ind w:start="0" w:hanging="0"/>
      </w:pPr>
      <w:rPr/>
    </w:lvl>
  </w:abstractNum>
  <w:abstractNum w:abstractNumId="10">
    <w:lvl w:ilvl="0">
      <w:start w:val="1"/>
      <w:numFmt w:val="bullet"/>
      <w:lvlText w:val=""/>
      <w:lvlJc w:val="start"/>
      <w:pPr>
        <w:tabs>
          <w:tab w:val="num" w:pos="0"/>
        </w:tabs>
        <w:ind w:start="0" w:hanging="0"/>
      </w:pPr>
      <w:rPr>
        <w:rFonts w:ascii="Symbol" w:hAnsi="Symbol" w:cs="Symbol" w:hint="default"/>
      </w:rPr>
    </w:lvl>
    <w:lvl w:ilvl="1">
      <w:start w:val="1"/>
      <w:numFmt w:val="bullet"/>
      <w:lvlText w:val="o"/>
      <w:lvlJc w:val="start"/>
      <w:pPr>
        <w:tabs>
          <w:tab w:val="num" w:pos="0"/>
        </w:tabs>
        <w:ind w:start="3011" w:hanging="360"/>
      </w:pPr>
      <w:rPr>
        <w:rFonts w:ascii="Courier New" w:hAnsi="Courier New" w:cs="Courier New" w:hint="default"/>
      </w:rPr>
    </w:lvl>
    <w:lvl w:ilvl="2">
      <w:start w:val="1"/>
      <w:numFmt w:val="bullet"/>
      <w:lvlText w:val=""/>
      <w:lvlJc w:val="start"/>
      <w:pPr>
        <w:tabs>
          <w:tab w:val="num" w:pos="0"/>
        </w:tabs>
        <w:ind w:start="3731" w:hanging="360"/>
      </w:pPr>
      <w:rPr>
        <w:rFonts w:ascii="Wingdings" w:hAnsi="Wingdings" w:cs="Wingdings" w:hint="default"/>
      </w:rPr>
    </w:lvl>
    <w:lvl w:ilvl="3">
      <w:start w:val="1"/>
      <w:numFmt w:val="bullet"/>
      <w:lvlText w:val=""/>
      <w:lvlJc w:val="start"/>
      <w:pPr>
        <w:tabs>
          <w:tab w:val="num" w:pos="0"/>
        </w:tabs>
        <w:ind w:start="4451" w:hanging="360"/>
      </w:pPr>
      <w:rPr>
        <w:rFonts w:ascii="Symbol" w:hAnsi="Symbol" w:cs="Symbol" w:hint="default"/>
      </w:rPr>
    </w:lvl>
    <w:lvl w:ilvl="4">
      <w:start w:val="1"/>
      <w:numFmt w:val="bullet"/>
      <w:lvlText w:val="o"/>
      <w:lvlJc w:val="start"/>
      <w:pPr>
        <w:tabs>
          <w:tab w:val="num" w:pos="0"/>
        </w:tabs>
        <w:ind w:start="5171" w:hanging="360"/>
      </w:pPr>
      <w:rPr>
        <w:rFonts w:ascii="Courier New" w:hAnsi="Courier New" w:cs="Courier New" w:hint="default"/>
      </w:rPr>
    </w:lvl>
    <w:lvl w:ilvl="5">
      <w:start w:val="1"/>
      <w:numFmt w:val="bullet"/>
      <w:lvlText w:val=""/>
      <w:lvlJc w:val="start"/>
      <w:pPr>
        <w:tabs>
          <w:tab w:val="num" w:pos="0"/>
        </w:tabs>
        <w:ind w:start="5891" w:hanging="360"/>
      </w:pPr>
      <w:rPr>
        <w:rFonts w:ascii="Wingdings" w:hAnsi="Wingdings" w:cs="Wingdings" w:hint="default"/>
      </w:rPr>
    </w:lvl>
    <w:lvl w:ilvl="6">
      <w:start w:val="1"/>
      <w:numFmt w:val="bullet"/>
      <w:lvlText w:val=""/>
      <w:lvlJc w:val="start"/>
      <w:pPr>
        <w:tabs>
          <w:tab w:val="num" w:pos="0"/>
        </w:tabs>
        <w:ind w:start="6611" w:hanging="360"/>
      </w:pPr>
      <w:rPr>
        <w:rFonts w:ascii="Symbol" w:hAnsi="Symbol" w:cs="Symbol" w:hint="default"/>
      </w:rPr>
    </w:lvl>
    <w:lvl w:ilvl="7">
      <w:start w:val="1"/>
      <w:numFmt w:val="bullet"/>
      <w:lvlText w:val="o"/>
      <w:lvlJc w:val="start"/>
      <w:pPr>
        <w:tabs>
          <w:tab w:val="num" w:pos="0"/>
        </w:tabs>
        <w:ind w:start="7331" w:hanging="360"/>
      </w:pPr>
      <w:rPr>
        <w:rFonts w:ascii="Courier New" w:hAnsi="Courier New" w:cs="Courier New" w:hint="default"/>
      </w:rPr>
    </w:lvl>
    <w:lvl w:ilvl="8">
      <w:start w:val="1"/>
      <w:numFmt w:val="bullet"/>
      <w:lvlText w:val=""/>
      <w:lvlJc w:val="start"/>
      <w:pPr>
        <w:tabs>
          <w:tab w:val="num" w:pos="0"/>
        </w:tabs>
        <w:ind w:start="8051" w:hanging="360"/>
      </w:pPr>
      <w:rPr>
        <w:rFonts w:ascii="Wingdings" w:hAnsi="Wingdings" w:cs="Wingdings" w:hint="default"/>
      </w:rPr>
    </w:lvl>
  </w:abstractNum>
  <w:abstractNum w:abstractNumId="11">
    <w:lvl w:ilvl="0">
      <w:start w:val="1"/>
      <w:numFmt w:val="decimal"/>
      <w:suff w:val="space"/>
      <w:lvlText w:val="%1."/>
      <w:lvlJc w:val="center"/>
      <w:pPr>
        <w:tabs>
          <w:tab w:val="num" w:pos="0"/>
        </w:tabs>
        <w:ind w:start="680" w:hanging="680"/>
      </w:pPr>
      <w:rPr>
        <w:sz w:val="28"/>
        <w:i w:val="false"/>
        <w:b/>
        <w:szCs w:val="28"/>
        <w:rFonts w:ascii="Times New Roman" w:hAnsi="Times New Roman"/>
      </w:rPr>
    </w:lvl>
    <w:lvl w:ilvl="1">
      <w:start w:val="1"/>
      <w:numFmt w:val="decimal"/>
      <w:suff w:val="space"/>
      <w:lvlText w:val="%1.%2."/>
      <w:lvlJc w:val="start"/>
      <w:pPr>
        <w:tabs>
          <w:tab w:val="num" w:pos="0"/>
        </w:tabs>
        <w:ind w:start="-5529" w:firstLine="851"/>
      </w:pPr>
      <w:rPr>
        <w:sz w:val="28"/>
        <w:i w:val="false"/>
        <w:u w:val="none"/>
        <w:b/>
        <w:szCs w:val="28"/>
        <w:rFonts w:ascii="Times New Roman" w:hAnsi="Times New Roman"/>
        <w:color w:val="auto"/>
        <w:lang w:val="ru-RU"/>
      </w:rPr>
    </w:lvl>
    <w:lvl w:ilvl="2">
      <w:start w:val="1"/>
      <w:numFmt w:val="decimal"/>
      <w:suff w:val="space"/>
      <w:lvlText w:val="%1.%2.%3."/>
      <w:lvlJc w:val="start"/>
      <w:pPr>
        <w:tabs>
          <w:tab w:val="num" w:pos="0"/>
        </w:tabs>
        <w:ind w:start="0" w:hanging="0"/>
      </w:pPr>
      <w:rPr>
        <w:smallCaps w:val="false"/>
        <w:caps w:val="false"/>
        <w:dstrike w:val="false"/>
        <w:strike w:val="false"/>
        <w:vertAlign w:val="baseline"/>
        <w:position w:val="0"/>
        <w:sz w:val="28"/>
        <w:sz w:val="28"/>
        <w:spacing w:val="0"/>
        <w:i w:val="false"/>
        <w:u w:val="none"/>
        <w:b/>
        <w:szCs w:val="28"/>
        <w:iCs w:val="false"/>
        <w:bCs w:val="false"/>
        <w:vanish w:val="false"/>
        <w:rFonts w:cs="Times New Roman"/>
        <w:color w:val="000000"/>
      </w:rPr>
    </w:lvl>
    <w:lvl w:ilvl="3">
      <w:start w:val="1"/>
      <w:numFmt w:val="decimal"/>
      <w:suff w:val="space"/>
      <w:lvlText w:val="%1.%2.%3.%4."/>
      <w:lvlJc w:val="start"/>
      <w:pPr>
        <w:tabs>
          <w:tab w:val="num" w:pos="0"/>
        </w:tabs>
        <w:ind w:start="-5529" w:firstLine="851"/>
      </w:pPr>
      <w:rPr>
        <w:b/>
      </w:rPr>
    </w:lvl>
    <w:lvl w:ilvl="4">
      <w:start w:val="1"/>
      <w:numFmt w:val="decimal"/>
      <w:suff w:val="space"/>
      <w:lvlText w:val="%1.%2.%3.%4.%5."/>
      <w:lvlJc w:val="start"/>
      <w:pPr>
        <w:tabs>
          <w:tab w:val="num" w:pos="0"/>
        </w:tabs>
        <w:ind w:start="-5463" w:hanging="0"/>
      </w:pPr>
      <w:rPr/>
    </w:lvl>
    <w:lvl w:ilvl="5">
      <w:start w:val="1"/>
      <w:numFmt w:val="decimal"/>
      <w:suff w:val="space"/>
      <w:lvlText w:val="%1.%2.%3.%4.%5.%6."/>
      <w:lvlJc w:val="start"/>
      <w:pPr>
        <w:tabs>
          <w:tab w:val="num" w:pos="0"/>
        </w:tabs>
        <w:ind w:start="-5463" w:hanging="0"/>
      </w:pPr>
      <w:rPr/>
    </w:lvl>
    <w:lvl w:ilvl="6">
      <w:start w:val="1"/>
      <w:numFmt w:val="decimal"/>
      <w:lvlText w:val="%1.%2.%3.%4..%5.%6.%7"/>
      <w:lvlJc w:val="start"/>
      <w:pPr>
        <w:tabs>
          <w:tab w:val="num" w:pos="0"/>
        </w:tabs>
        <w:ind w:start="-5463" w:hanging="0"/>
      </w:pPr>
      <w:rPr/>
    </w:lvl>
    <w:lvl w:ilvl="7">
      <w:start w:val="1"/>
      <w:numFmt w:val="decimal"/>
      <w:lvlText w:val="%1.%2.%3.%4..%5.%6.%7.%8"/>
      <w:lvlJc w:val="start"/>
      <w:pPr>
        <w:tabs>
          <w:tab w:val="num" w:pos="0"/>
        </w:tabs>
        <w:ind w:start="-5463" w:hanging="0"/>
      </w:pPr>
      <w:rPr/>
    </w:lvl>
    <w:lvl w:ilvl="8">
      <w:start w:val="1"/>
      <w:numFmt w:val="decimal"/>
      <w:lvlText w:val="%1.%2.%3.%4..%5.%6.%7.%8.%9"/>
      <w:lvlJc w:val="start"/>
      <w:pPr>
        <w:tabs>
          <w:tab w:val="num" w:pos="0"/>
        </w:tabs>
        <w:ind w:start="-5463" w:hanging="0"/>
      </w:pPr>
      <w:rPr/>
    </w:lvl>
  </w:abstractNum>
  <w:abstractNum w:abstractNumId="12">
    <w:lvl w:ilvl="0">
      <w:start w:val="1"/>
      <w:numFmt w:val="decimal"/>
      <w:lvlText w:val="%1."/>
      <w:lvlJc w:val="start"/>
      <w:pPr>
        <w:tabs>
          <w:tab w:val="num" w:pos="360"/>
        </w:tabs>
        <w:ind w:start="360" w:hanging="360"/>
      </w:pPr>
      <w:rPr/>
    </w:lvl>
    <w:lvl w:ilvl="1">
      <w:start w:val="0"/>
      <w:numFmt w:val="bullet"/>
      <w:lvlText w:val="Ḹ"/>
      <w:lvlJc w:val="start"/>
      <w:pPr>
        <w:tabs>
          <w:tab w:val="num" w:pos="0"/>
        </w:tabs>
        <w:ind w:start="0" w:hanging="0"/>
      </w:pPr>
      <w:rPr>
        <w:rFonts w:ascii="OpenSymbol" w:hAnsi="OpenSymbol" w:cs="OpenSymbol" w:hint="default"/>
      </w:rPr>
    </w:lvl>
    <w:lvl w:ilvl="2">
      <w:start w:val="0"/>
      <w:numFmt w:val="bullet"/>
      <w:lvlText w:val="쵰"/>
      <w:lvlJc w:val="start"/>
      <w:pPr>
        <w:tabs>
          <w:tab w:val="num" w:pos="0"/>
        </w:tabs>
        <w:ind w:start="0" w:hanging="0"/>
      </w:pPr>
      <w:rPr>
        <w:rFonts w:ascii="OpenSymbol" w:hAnsi="OpenSymbol" w:cs="OpenSymbol" w:hint="default"/>
      </w:rPr>
    </w:lvl>
    <w:lvl w:ilvl="3">
      <w:start w:val="0"/>
      <w:numFmt w:val="bullet"/>
      <w:lvlText w:val="쵰"/>
      <w:lvlJc w:val="start"/>
      <w:pPr>
        <w:tabs>
          <w:tab w:val="num" w:pos="0"/>
        </w:tabs>
        <w:ind w:start="0" w:hanging="0"/>
      </w:pPr>
      <w:rPr>
        <w:rFonts w:ascii="OpenSymbol" w:hAnsi="OpenSymbol" w:cs="OpenSymbol" w:hint="default"/>
      </w:rPr>
    </w:lvl>
    <w:lvl w:ilvl="4">
      <w:start w:val="0"/>
      <w:numFmt w:val="bullet"/>
      <w:lvlText w:val="쵰"/>
      <w:lvlJc w:val="start"/>
      <w:pPr>
        <w:tabs>
          <w:tab w:val="num" w:pos="0"/>
        </w:tabs>
        <w:ind w:start="0" w:hanging="0"/>
      </w:pPr>
      <w:rPr>
        <w:rFonts w:ascii="OpenSymbol" w:hAnsi="OpenSymbol" w:cs="OpenSymbol" w:hint="default"/>
      </w:rPr>
    </w:lvl>
    <w:lvl w:ilvl="5">
      <w:start w:val="0"/>
      <w:numFmt w:val="bullet"/>
      <w:lvlText w:val="쵰"/>
      <w:lvlJc w:val="start"/>
      <w:pPr>
        <w:tabs>
          <w:tab w:val="num" w:pos="0"/>
        </w:tabs>
        <w:ind w:start="0" w:hanging="0"/>
      </w:pPr>
      <w:rPr>
        <w:rFonts w:ascii="OpenSymbol" w:hAnsi="OpenSymbol" w:cs="OpenSymbol" w:hint="default"/>
      </w:rPr>
    </w:lvl>
    <w:lvl w:ilvl="6">
      <w:start w:val="0"/>
      <w:numFmt w:val="bullet"/>
      <w:lvlText w:val="쵰"/>
      <w:lvlJc w:val="start"/>
      <w:pPr>
        <w:tabs>
          <w:tab w:val="num" w:pos="0"/>
        </w:tabs>
        <w:ind w:start="0" w:hanging="0"/>
      </w:pPr>
      <w:rPr>
        <w:rFonts w:ascii="OpenSymbol" w:hAnsi="OpenSymbol" w:cs="OpenSymbol" w:hint="default"/>
      </w:rPr>
    </w:lvl>
    <w:lvl w:ilvl="7">
      <w:start w:val="0"/>
      <w:numFmt w:val="bullet"/>
      <w:lvlText w:val="쵰"/>
      <w:lvlJc w:val="start"/>
      <w:pPr>
        <w:tabs>
          <w:tab w:val="num" w:pos="0"/>
        </w:tabs>
        <w:ind w:start="0" w:hanging="0"/>
      </w:pPr>
      <w:rPr>
        <w:rFonts w:ascii="OpenSymbol" w:hAnsi="OpenSymbol" w:cs="OpenSymbol" w:hint="default"/>
      </w:rPr>
    </w:lvl>
    <w:lvl w:ilvl="8">
      <w:start w:val="0"/>
      <w:numFmt w:val="bullet"/>
      <w:lvlText w:val="쵰"/>
      <w:lvlJc w:val="start"/>
      <w:pPr>
        <w:tabs>
          <w:tab w:val="num" w:pos="0"/>
        </w:tabs>
        <w:ind w:start="0" w:hanging="0"/>
      </w:pPr>
      <w:rPr>
        <w:rFonts w:ascii="OpenSymbol" w:hAnsi="OpenSymbol" w:cs="OpenSymbol" w:hint="default"/>
      </w:rPr>
    </w:lvl>
  </w:abstractNum>
  <w:abstractNum w:abstractNumId="13">
    <w:lvl w:ilvl="0">
      <w:start w:val="1"/>
      <w:numFmt w:val="bullet"/>
      <w:lvlText w:val="–"/>
      <w:lvlJc w:val="start"/>
      <w:pPr>
        <w:tabs>
          <w:tab w:val="num" w:pos="992"/>
        </w:tabs>
        <w:ind w:start="992" w:hanging="283"/>
      </w:pPr>
      <w:rPr>
        <w:rFonts w:ascii="Times New Roman" w:hAnsi="Times New Roman" w:cs="Times New Roman" w:hint="default"/>
        <w:smallCaps w:val="false"/>
        <w:caps w:val="false"/>
        <w:dstrike w:val="false"/>
        <w:strike w:val="false"/>
        <w:vertAlign w:val="baseline"/>
        <w:position w:val="0"/>
        <w:sz w:val="22"/>
        <w:sz w:val="22"/>
        <w:spacing w:val="0"/>
        <w:i w:val="false"/>
        <w:u w:val="none"/>
        <w:b w:val="false"/>
        <w:vanish w:val="false"/>
        <w:color w:val="000000"/>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4">
    <w:lvl w:ilvl="0">
      <w:start w:val="1"/>
      <w:numFmt w:val="decimal"/>
      <w:suff w:val="nothing"/>
      <w:lvlText w:val="%1."/>
      <w:lvlJc w:val="start"/>
      <w:pPr>
        <w:tabs>
          <w:tab w:val="num" w:pos="0"/>
        </w:tabs>
        <w:ind w:start="360" w:hanging="360"/>
      </w:pPr>
      <w:rPr>
        <w:smallCaps w:val="false"/>
        <w:caps w:val="false"/>
        <w:dstrike w:val="false"/>
        <w:strike w:val="false"/>
        <w:vertAlign w:val="baseline"/>
        <w:position w:val="0"/>
        <w:sz w:val="20"/>
        <w:sz w:val="20"/>
        <w:spacing w:val="0"/>
        <w:i w:val="false"/>
        <w:u w:val="none"/>
        <w:b w:val="false"/>
        <w:iCs w:val="false"/>
        <w:bCs w:val="false"/>
        <w:vanish w:val="false"/>
        <w:color w:val="000000"/>
      </w:rPr>
    </w:lvl>
    <w:lvl w:ilvl="1">
      <w:start w:val="1"/>
      <w:numFmt w:val="decimal"/>
      <w:lvlText w:val="%1.%2."/>
      <w:lvlJc w:val="start"/>
      <w:pPr>
        <w:tabs>
          <w:tab w:val="num" w:pos="567"/>
        </w:tabs>
        <w:ind w:start="567" w:hanging="567"/>
      </w:pPr>
      <w:rPr/>
    </w:lvl>
    <w:lvl w:ilvl="2">
      <w:start w:val="1"/>
      <w:numFmt w:val="decimal"/>
      <w:lvlText w:val="%1.%2.%3."/>
      <w:lvlJc w:val="start"/>
      <w:pPr>
        <w:tabs>
          <w:tab w:val="num" w:pos="680"/>
        </w:tabs>
        <w:ind w:start="680" w:hanging="680"/>
      </w:pPr>
      <w:rPr>
        <w:smallCaps w:val="false"/>
        <w:caps w:val="false"/>
        <w:dstrike w:val="false"/>
        <w:strike w:val="false"/>
        <w:vertAlign w:val="baseline"/>
        <w:position w:val="0"/>
        <w:sz w:val="20"/>
        <w:sz w:val="20"/>
        <w:spacing w:val="0"/>
        <w:i w:val="false"/>
        <w:u w:val="none"/>
        <w:b w:val="false"/>
        <w:iCs w:val="false"/>
        <w:bCs w:val="false"/>
        <w:vanish w:val="false"/>
        <w:color w:val="000000"/>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15">
    <w:lvl w:ilvl="0">
      <w:start w:val="1"/>
      <w:numFmt w:val="bullet"/>
      <w:lvlText w:val=""/>
      <w:lvlJc w:val="start"/>
      <w:pPr>
        <w:tabs>
          <w:tab w:val="num" w:pos="0"/>
        </w:tabs>
        <w:ind w:start="2120" w:hanging="360"/>
      </w:pPr>
      <w:rPr>
        <w:rFonts w:ascii="Symbol" w:hAnsi="Symbol" w:cs="Symbol" w:hint="default"/>
      </w:rPr>
    </w:lvl>
    <w:lvl w:ilvl="1">
      <w:start w:val="1"/>
      <w:numFmt w:val="bullet"/>
      <w:lvlText w:val="o"/>
      <w:lvlJc w:val="start"/>
      <w:pPr>
        <w:tabs>
          <w:tab w:val="num" w:pos="0"/>
        </w:tabs>
        <w:ind w:start="2840" w:hanging="360"/>
      </w:pPr>
      <w:rPr>
        <w:rFonts w:ascii="Courier New" w:hAnsi="Courier New" w:cs="Courier New" w:hint="default"/>
      </w:rPr>
    </w:lvl>
    <w:lvl w:ilvl="2">
      <w:start w:val="1"/>
      <w:numFmt w:val="bullet"/>
      <w:lvlText w:val=""/>
      <w:lvlJc w:val="start"/>
      <w:pPr>
        <w:tabs>
          <w:tab w:val="num" w:pos="0"/>
        </w:tabs>
        <w:ind w:start="3560" w:hanging="360"/>
      </w:pPr>
      <w:rPr>
        <w:rFonts w:ascii="Wingdings" w:hAnsi="Wingdings" w:cs="Wingdings" w:hint="default"/>
      </w:rPr>
    </w:lvl>
    <w:lvl w:ilvl="3">
      <w:start w:val="1"/>
      <w:numFmt w:val="bullet"/>
      <w:lvlText w:val=""/>
      <w:lvlJc w:val="start"/>
      <w:pPr>
        <w:tabs>
          <w:tab w:val="num" w:pos="0"/>
        </w:tabs>
        <w:ind w:start="4280" w:hanging="360"/>
      </w:pPr>
      <w:rPr>
        <w:rFonts w:ascii="Symbol" w:hAnsi="Symbol" w:cs="Symbol" w:hint="default"/>
      </w:rPr>
    </w:lvl>
    <w:lvl w:ilvl="4">
      <w:start w:val="1"/>
      <w:numFmt w:val="bullet"/>
      <w:lvlText w:val="o"/>
      <w:lvlJc w:val="start"/>
      <w:pPr>
        <w:tabs>
          <w:tab w:val="num" w:pos="0"/>
        </w:tabs>
        <w:ind w:start="5000" w:hanging="360"/>
      </w:pPr>
      <w:rPr>
        <w:rFonts w:ascii="Courier New" w:hAnsi="Courier New" w:cs="Courier New" w:hint="default"/>
      </w:rPr>
    </w:lvl>
    <w:lvl w:ilvl="5">
      <w:start w:val="1"/>
      <w:numFmt w:val="bullet"/>
      <w:lvlText w:val=""/>
      <w:lvlJc w:val="start"/>
      <w:pPr>
        <w:tabs>
          <w:tab w:val="num" w:pos="0"/>
        </w:tabs>
        <w:ind w:start="5720" w:hanging="360"/>
      </w:pPr>
      <w:rPr>
        <w:rFonts w:ascii="Wingdings" w:hAnsi="Wingdings" w:cs="Wingdings" w:hint="default"/>
      </w:rPr>
    </w:lvl>
    <w:lvl w:ilvl="6">
      <w:start w:val="1"/>
      <w:numFmt w:val="bullet"/>
      <w:lvlText w:val=""/>
      <w:lvlJc w:val="start"/>
      <w:pPr>
        <w:tabs>
          <w:tab w:val="num" w:pos="0"/>
        </w:tabs>
        <w:ind w:start="6440" w:hanging="360"/>
      </w:pPr>
      <w:rPr>
        <w:rFonts w:ascii="Symbol" w:hAnsi="Symbol" w:cs="Symbol" w:hint="default"/>
      </w:rPr>
    </w:lvl>
    <w:lvl w:ilvl="7">
      <w:start w:val="1"/>
      <w:numFmt w:val="bullet"/>
      <w:lvlText w:val="o"/>
      <w:lvlJc w:val="start"/>
      <w:pPr>
        <w:tabs>
          <w:tab w:val="num" w:pos="0"/>
        </w:tabs>
        <w:ind w:start="7160" w:hanging="360"/>
      </w:pPr>
      <w:rPr>
        <w:rFonts w:ascii="Courier New" w:hAnsi="Courier New" w:cs="Courier New" w:hint="default"/>
      </w:rPr>
    </w:lvl>
    <w:lvl w:ilvl="8">
      <w:start w:val="1"/>
      <w:numFmt w:val="bullet"/>
      <w:lvlText w:val=""/>
      <w:lvlJc w:val="start"/>
      <w:pPr>
        <w:tabs>
          <w:tab w:val="num" w:pos="0"/>
        </w:tabs>
        <w:ind w:start="7880" w:hanging="360"/>
      </w:pPr>
      <w:rPr>
        <w:rFonts w:ascii="Wingdings" w:hAnsi="Wingdings" w:cs="Wingdings" w:hint="default"/>
      </w:rPr>
    </w:lvl>
  </w:abstractNum>
  <w:abstractNum w:abstractNumId="16">
    <w:lvl w:ilvl="0">
      <w:start w:val="1"/>
      <w:numFmt w:val="bullet"/>
      <w:lvlText w:val="–"/>
      <w:lvlJc w:val="start"/>
      <w:pPr>
        <w:tabs>
          <w:tab w:val="num" w:pos="0"/>
        </w:tabs>
        <w:ind w:start="720" w:hanging="360"/>
      </w:pPr>
      <w:rPr>
        <w:rFonts w:ascii="Times New Roman" w:hAnsi="Times New Roman" w:cs="Times New Roman" w:hint="default"/>
        <w:smallCaps w:val="false"/>
        <w:caps w:val="false"/>
        <w:dstrike w:val="false"/>
        <w:strike w:val="false"/>
        <w:vertAlign w:val="baseline"/>
        <w:position w:val="0"/>
        <w:sz w:val="28"/>
        <w:sz w:val="28"/>
        <w:spacing w:val="0"/>
        <w:i w:val="false"/>
        <w:u w:val="none"/>
        <w:b w:val="false"/>
        <w:vanish w:val="false"/>
        <w:color w:val="000000"/>
      </w:rPr>
    </w:lvl>
    <w:lvl w:ilvl="1">
      <w:start w:val="1"/>
      <w:numFmt w:val="bullet"/>
      <w:lvlText w:val=""/>
      <w:lvlJc w:val="start"/>
      <w:pPr>
        <w:tabs>
          <w:tab w:val="num" w:pos="1418"/>
        </w:tabs>
        <w:ind w:start="1418" w:hanging="284"/>
      </w:pPr>
      <w:rPr>
        <w:rFonts w:ascii="Symbol" w:hAnsi="Symbol" w:cs="Symbol" w:hint="default"/>
        <w:smallCaps w:val="false"/>
        <w:caps w:val="false"/>
        <w:dstrike w:val="false"/>
        <w:strike w:val="false"/>
        <w:vertAlign w:val="baseline"/>
        <w:position w:val="0"/>
        <w:sz w:val="20"/>
        <w:sz w:val="20"/>
        <w:spacing w:val="0"/>
        <w:i w:val="false"/>
        <w:u w:val="none"/>
        <w:b w:val="false"/>
        <w:iCs w:val="false"/>
        <w:bCs w:val="false"/>
        <w:vanish w:val="false"/>
        <w:color w:val="000000"/>
      </w:rPr>
    </w:lvl>
    <w:lvl w:ilvl="2">
      <w:start w:val="1"/>
      <w:numFmt w:val="bullet"/>
      <w:lvlText w:val="–"/>
      <w:lvlJc w:val="start"/>
      <w:pPr>
        <w:tabs>
          <w:tab w:val="num" w:pos="1985"/>
        </w:tabs>
        <w:ind w:start="1985" w:hanging="284"/>
      </w:pPr>
      <w:rPr>
        <w:rFonts w:ascii="Times New Roman" w:hAnsi="Times New Roman" w:cs="Times New Roman"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7">
    <w:lvl w:ilvl="0">
      <w:start w:val="1"/>
      <w:numFmt w:val="bullet"/>
      <w:lvlText w:val="–"/>
      <w:lvlJc w:val="start"/>
      <w:pPr>
        <w:tabs>
          <w:tab w:val="num" w:pos="0"/>
        </w:tabs>
        <w:ind w:start="3262" w:hanging="426"/>
      </w:pPr>
      <w:rPr>
        <w:rFonts w:ascii="Times New Roman" w:hAnsi="Times New Roman" w:cs="Times New Roman" w:hint="default"/>
      </w:rPr>
    </w:lvl>
    <w:lvl w:ilvl="1">
      <w:start w:val="1"/>
      <w:numFmt w:val="bullet"/>
      <w:lvlText w:val="–"/>
      <w:lvlJc w:val="start"/>
      <w:pPr>
        <w:tabs>
          <w:tab w:val="num" w:pos="0"/>
        </w:tabs>
        <w:ind w:start="1418" w:hanging="426"/>
      </w:pPr>
      <w:rPr>
        <w:rFonts w:ascii="Times New Roman" w:hAnsi="Times New Roman" w:cs="Times New Roman" w:hint="default"/>
      </w:rPr>
    </w:lvl>
    <w:lvl w:ilvl="2">
      <w:start w:val="1"/>
      <w:numFmt w:val="bullet"/>
      <w:lvlText w:val="–"/>
      <w:lvlJc w:val="start"/>
      <w:pPr>
        <w:tabs>
          <w:tab w:val="num" w:pos="1985"/>
        </w:tabs>
        <w:ind w:start="1985" w:hanging="426"/>
      </w:pPr>
      <w:rPr>
        <w:rFonts w:ascii="Times New Roman" w:hAnsi="Times New Roman" w:cs="Times New Roman" w:hint="default"/>
      </w:rPr>
    </w:lvl>
    <w:lvl w:ilvl="3">
      <w:start w:val="1"/>
      <w:numFmt w:val="bullet"/>
      <w:lvlText w:val="–"/>
      <w:lvlJc w:val="start"/>
      <w:pPr>
        <w:tabs>
          <w:tab w:val="num" w:pos="0"/>
        </w:tabs>
        <w:ind w:start="2552" w:hanging="426"/>
      </w:pPr>
      <w:rPr>
        <w:rFonts w:ascii="Times New Roman" w:hAnsi="Times New Roman" w:cs="Times New Roman" w:hint="default"/>
      </w:rPr>
    </w:lvl>
    <w:lvl w:ilvl="4">
      <w:start w:val="1"/>
      <w:numFmt w:val="bullet"/>
      <w:lvlText w:val="–"/>
      <w:lvlJc w:val="start"/>
      <w:pPr>
        <w:tabs>
          <w:tab w:val="num" w:pos="0"/>
        </w:tabs>
        <w:ind w:start="3119" w:hanging="426"/>
      </w:pPr>
      <w:rPr>
        <w:rFonts w:ascii="Times New Roman" w:hAnsi="Times New Roman" w:cs="Times New Roman" w:hint="default"/>
      </w:rPr>
    </w:lvl>
    <w:lvl w:ilvl="5">
      <w:start w:val="1"/>
      <w:numFmt w:val="lowerRoman"/>
      <w:lvlText w:val="(%6)"/>
      <w:lvlJc w:val="start"/>
      <w:pPr>
        <w:tabs>
          <w:tab w:val="num" w:pos="0"/>
        </w:tabs>
        <w:ind w:start="3686" w:hanging="426"/>
      </w:pPr>
      <w:rPr/>
    </w:lvl>
    <w:lvl w:ilvl="6">
      <w:start w:val="1"/>
      <w:numFmt w:val="decimal"/>
      <w:lvlText w:val="%7."/>
      <w:lvlJc w:val="start"/>
      <w:pPr>
        <w:tabs>
          <w:tab w:val="num" w:pos="0"/>
        </w:tabs>
        <w:ind w:start="4253" w:hanging="426"/>
      </w:pPr>
      <w:rPr/>
    </w:lvl>
    <w:lvl w:ilvl="7">
      <w:start w:val="1"/>
      <w:numFmt w:val="lowerLetter"/>
      <w:lvlText w:val="%8."/>
      <w:lvlJc w:val="start"/>
      <w:pPr>
        <w:tabs>
          <w:tab w:val="num" w:pos="0"/>
        </w:tabs>
        <w:ind w:start="4820" w:hanging="426"/>
      </w:pPr>
      <w:rPr/>
    </w:lvl>
    <w:lvl w:ilvl="8">
      <w:start w:val="1"/>
      <w:numFmt w:val="lowerRoman"/>
      <w:lvlText w:val="%9."/>
      <w:lvlJc w:val="start"/>
      <w:pPr>
        <w:tabs>
          <w:tab w:val="num" w:pos="0"/>
        </w:tabs>
        <w:ind w:start="5387" w:hanging="426"/>
      </w:pPr>
      <w:rPr/>
    </w:lvl>
  </w:abstractNum>
  <w:abstractNum w:abstractNumId="18">
    <w:lvl w:ilvl="0">
      <w:start w:val="1"/>
      <w:numFmt w:val="decimal"/>
      <w:lvlText w:val="%1"/>
      <w:lvlJc w:val="start"/>
      <w:pPr>
        <w:tabs>
          <w:tab w:val="num" w:pos="0"/>
        </w:tabs>
        <w:ind w:start="1419" w:hanging="283"/>
      </w:pPr>
      <w:rPr/>
    </w:lvl>
    <w:lvl w:ilvl="1">
      <w:start w:val="1"/>
      <w:numFmt w:val="decimal"/>
      <w:lvlText w:val="%1.%2"/>
      <w:lvlJc w:val="start"/>
      <w:pPr>
        <w:tabs>
          <w:tab w:val="num" w:pos="0"/>
        </w:tabs>
        <w:ind w:start="1419" w:hanging="283"/>
      </w:pPr>
      <w:rPr/>
    </w:lvl>
    <w:lvl w:ilvl="2">
      <w:start w:val="1"/>
      <w:numFmt w:val="decimal"/>
      <w:lvlText w:val="%1.%2.%3"/>
      <w:lvlJc w:val="start"/>
      <w:pPr>
        <w:tabs>
          <w:tab w:val="num" w:pos="0"/>
        </w:tabs>
        <w:ind w:start="3685" w:hanging="283"/>
      </w:pPr>
      <w:rPr/>
    </w:lvl>
    <w:lvl w:ilvl="3">
      <w:start w:val="1"/>
      <w:numFmt w:val="decimal"/>
      <w:lvlText w:val="%1.%2.%3.%4"/>
      <w:lvlJc w:val="start"/>
      <w:pPr>
        <w:tabs>
          <w:tab w:val="num" w:pos="0"/>
        </w:tabs>
        <w:ind w:start="1135" w:hanging="283"/>
      </w:pPr>
      <w:rPr/>
    </w:lvl>
    <w:lvl w:ilvl="4">
      <w:start w:val="1"/>
      <w:numFmt w:val="decimal"/>
      <w:lvlText w:val="%1.%2.%3.%4.%5"/>
      <w:lvlJc w:val="start"/>
      <w:pPr>
        <w:tabs>
          <w:tab w:val="num" w:pos="0"/>
        </w:tabs>
        <w:ind w:start="1419" w:hanging="283"/>
      </w:pPr>
      <w:rPr/>
    </w:lvl>
    <w:lvl w:ilvl="5">
      <w:start w:val="1"/>
      <w:numFmt w:val="lowerRoman"/>
      <w:lvlText w:val="%6."/>
      <w:lvlJc w:val="end"/>
      <w:pPr>
        <w:tabs>
          <w:tab w:val="num" w:pos="0"/>
        </w:tabs>
        <w:ind w:start="1419" w:hanging="283"/>
      </w:pPr>
      <w:rPr/>
    </w:lvl>
    <w:lvl w:ilvl="6">
      <w:start w:val="1"/>
      <w:numFmt w:val="decimal"/>
      <w:lvlText w:val="%7."/>
      <w:lvlJc w:val="start"/>
      <w:pPr>
        <w:tabs>
          <w:tab w:val="num" w:pos="0"/>
        </w:tabs>
        <w:ind w:start="1419" w:hanging="283"/>
      </w:pPr>
      <w:rPr>
        <w:b/>
      </w:rPr>
    </w:lvl>
    <w:lvl w:ilvl="7">
      <w:start w:val="1"/>
      <w:numFmt w:val="lowerLetter"/>
      <w:lvlText w:val="%8."/>
      <w:lvlJc w:val="start"/>
      <w:pPr>
        <w:tabs>
          <w:tab w:val="num" w:pos="0"/>
        </w:tabs>
        <w:ind w:start="1419" w:hanging="283"/>
      </w:pPr>
      <w:rPr/>
    </w:lvl>
    <w:lvl w:ilvl="8">
      <w:start w:val="1"/>
      <w:numFmt w:val="lowerRoman"/>
      <w:lvlText w:val="%9."/>
      <w:lvlJc w:val="end"/>
      <w:pPr>
        <w:tabs>
          <w:tab w:val="num" w:pos="0"/>
        </w:tabs>
        <w:ind w:start="1419" w:hanging="283"/>
      </w:pPr>
      <w:rPr/>
    </w:lvl>
  </w:abstractNum>
  <w:abstractNum w:abstractNumId="19">
    <w:lvl w:ilvl="0">
      <w:numFmt w:val="bullet"/>
      <w:lvlText w:val="-"/>
      <w:lvlJc w:val="start"/>
      <w:pPr>
        <w:tabs>
          <w:tab w:val="num" w:pos="0"/>
        </w:tabs>
        <w:ind w:start="284" w:hanging="284"/>
      </w:pPr>
      <w:rPr>
        <w:rFonts w:ascii="Times New Roman" w:hAnsi="Times New Roman" w:cs="Times New Roman" w:hint="default"/>
      </w:rPr>
    </w:lvl>
    <w:lvl w:ilvl="1">
      <w:start w:val="0"/>
      <w:numFmt w:val="bullet"/>
      <w:lvlText w:val="-"/>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1210" w:hanging="360"/>
      </w:pPr>
      <w:rPr>
        <w:rFonts w:ascii="Wingdings" w:hAnsi="Wingdings" w:cs="Wingdings" w:hint="default"/>
        <w:color w:val="auto"/>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0">
    <w:lvl w:ilvl="0">
      <w:start w:val="1"/>
      <w:numFmt w:val="decimal"/>
      <w:suff w:val="space"/>
      <w:lvlText w:val="%1."/>
      <w:lvlJc w:val="start"/>
      <w:pPr>
        <w:tabs>
          <w:tab w:val="num" w:pos="0"/>
        </w:tabs>
        <w:ind w:start="0" w:firstLine="709"/>
      </w:pPr>
      <w:rPr/>
    </w:lvl>
    <w:lvl w:ilvl="1">
      <w:start w:val="1"/>
      <w:numFmt w:val="decimal"/>
      <w:suff w:val="space"/>
      <w:lvlText w:val="%1.%2."/>
      <w:lvlJc w:val="start"/>
      <w:pPr>
        <w:tabs>
          <w:tab w:val="num" w:pos="0"/>
        </w:tabs>
        <w:ind w:start="7513" w:firstLine="709"/>
      </w:pPr>
      <w:rPr>
        <w:rFonts w:cs="Times New Roman"/>
      </w:rPr>
    </w:lvl>
    <w:lvl w:ilvl="2">
      <w:start w:val="1"/>
      <w:numFmt w:val="decimal"/>
      <w:suff w:val="space"/>
      <w:lvlText w:val="%1.%2.%3."/>
      <w:lvlJc w:val="start"/>
      <w:pPr>
        <w:tabs>
          <w:tab w:val="num" w:pos="0"/>
        </w:tabs>
        <w:ind w:start="0" w:firstLine="709"/>
      </w:pPr>
      <w:rPr>
        <w:rFonts w:cs="Times New Roman"/>
      </w:rPr>
    </w:lvl>
    <w:lvl w:ilvl="3">
      <w:start w:val="1"/>
      <w:numFmt w:val="decimal"/>
      <w:suff w:val="space"/>
      <w:lvlText w:val="%1.%2.%3.%4."/>
      <w:lvlJc w:val="start"/>
      <w:pPr>
        <w:tabs>
          <w:tab w:val="num" w:pos="0"/>
        </w:tabs>
        <w:ind w:start="0" w:firstLine="709"/>
      </w:pPr>
      <w:rPr>
        <w:rFonts w:cs="Times New Roman"/>
      </w:rPr>
    </w:lvl>
    <w:lvl w:ilvl="4">
      <w:start w:val="1"/>
      <w:numFmt w:val="decimal"/>
      <w:lvlText w:val="%1.%2.%3.%4.%5"/>
      <w:lvlJc w:val="start"/>
      <w:pPr>
        <w:tabs>
          <w:tab w:val="num" w:pos="0"/>
        </w:tabs>
        <w:ind w:start="0" w:firstLine="709"/>
      </w:pPr>
      <w:rPr>
        <w:rFonts w:cs="Times New Roman"/>
      </w:rPr>
    </w:lvl>
    <w:lvl w:ilvl="5">
      <w:start w:val="1"/>
      <w:numFmt w:val="decimal"/>
      <w:lvlText w:val="%1.%2.%3.%4.%5.%6"/>
      <w:lvlJc w:val="start"/>
      <w:pPr>
        <w:tabs>
          <w:tab w:val="num" w:pos="0"/>
        </w:tabs>
        <w:ind w:start="0" w:firstLine="709"/>
      </w:pPr>
      <w:rPr>
        <w:rFonts w:cs="Times New Roman"/>
      </w:rPr>
    </w:lvl>
    <w:lvl w:ilvl="6">
      <w:start w:val="1"/>
      <w:numFmt w:val="decimal"/>
      <w:lvlText w:val="%1.%2.%3.%4.%5.%6.%7"/>
      <w:lvlJc w:val="start"/>
      <w:pPr>
        <w:tabs>
          <w:tab w:val="num" w:pos="0"/>
        </w:tabs>
        <w:ind w:start="0" w:firstLine="709"/>
      </w:pPr>
      <w:rPr>
        <w:rFonts w:cs="Times New Roman"/>
      </w:rPr>
    </w:lvl>
    <w:lvl w:ilvl="7">
      <w:start w:val="1"/>
      <w:numFmt w:val="decimal"/>
      <w:lvlText w:val="%1.%2.%3.%4.%5.%6.%7.%8"/>
      <w:lvlJc w:val="start"/>
      <w:pPr>
        <w:tabs>
          <w:tab w:val="num" w:pos="0"/>
        </w:tabs>
        <w:ind w:start="0" w:firstLine="709"/>
      </w:pPr>
      <w:rPr>
        <w:rFonts w:cs="Times New Roman"/>
      </w:rPr>
    </w:lvl>
    <w:lvl w:ilvl="8">
      <w:start w:val="1"/>
      <w:numFmt w:val="decimal"/>
      <w:lvlText w:val="%1.%2.%3.%4.%5.%6.%7.%8.%9"/>
      <w:lvlJc w:val="start"/>
      <w:pPr>
        <w:tabs>
          <w:tab w:val="num" w:pos="0"/>
        </w:tabs>
        <w:ind w:start="0" w:firstLine="709"/>
      </w:pPr>
      <w:rPr>
        <w:rFonts w:cs="Times New Roman"/>
      </w:rPr>
    </w:lvl>
  </w:abstractNum>
  <w:abstractNum w:abstractNumId="21">
    <w:lvl w:ilvl="0">
      <w:start w:val="1"/>
      <w:numFmt w:val="bullet"/>
      <w:lvlText w:val=""/>
      <w:lvlJc w:val="start"/>
      <w:pPr>
        <w:tabs>
          <w:tab w:val="num" w:pos="0"/>
        </w:tabs>
        <w:ind w:start="1430" w:hanging="360"/>
      </w:pPr>
      <w:rPr>
        <w:rFonts w:ascii="Symbol" w:hAnsi="Symbol" w:cs="Symbol" w:hint="default"/>
      </w:rPr>
    </w:lvl>
    <w:lvl w:ilvl="1">
      <w:start w:val="1"/>
      <w:numFmt w:val="bullet"/>
      <w:lvlText w:val="o"/>
      <w:lvlJc w:val="start"/>
      <w:pPr>
        <w:tabs>
          <w:tab w:val="num" w:pos="0"/>
        </w:tabs>
        <w:ind w:start="2150" w:hanging="360"/>
      </w:pPr>
      <w:rPr>
        <w:rFonts w:ascii="Courier New" w:hAnsi="Courier New" w:cs="Courier New" w:hint="default"/>
      </w:rPr>
    </w:lvl>
    <w:lvl w:ilvl="2">
      <w:start w:val="1"/>
      <w:numFmt w:val="bullet"/>
      <w:lvlText w:val=""/>
      <w:lvlJc w:val="start"/>
      <w:pPr>
        <w:tabs>
          <w:tab w:val="num" w:pos="0"/>
        </w:tabs>
        <w:ind w:start="2870" w:hanging="360"/>
      </w:pPr>
      <w:rPr>
        <w:rFonts w:ascii="Wingdings" w:hAnsi="Wingdings" w:cs="Wingdings" w:hint="default"/>
      </w:rPr>
    </w:lvl>
    <w:lvl w:ilvl="3">
      <w:start w:val="1"/>
      <w:numFmt w:val="bullet"/>
      <w:lvlText w:val=""/>
      <w:lvlJc w:val="start"/>
      <w:pPr>
        <w:tabs>
          <w:tab w:val="num" w:pos="0"/>
        </w:tabs>
        <w:ind w:start="3590" w:hanging="360"/>
      </w:pPr>
      <w:rPr>
        <w:rFonts w:ascii="Symbol" w:hAnsi="Symbol" w:cs="Symbol" w:hint="default"/>
      </w:rPr>
    </w:lvl>
    <w:lvl w:ilvl="4">
      <w:start w:val="1"/>
      <w:numFmt w:val="bullet"/>
      <w:lvlText w:val="o"/>
      <w:lvlJc w:val="start"/>
      <w:pPr>
        <w:tabs>
          <w:tab w:val="num" w:pos="0"/>
        </w:tabs>
        <w:ind w:start="4310" w:hanging="360"/>
      </w:pPr>
      <w:rPr>
        <w:rFonts w:ascii="Courier New" w:hAnsi="Courier New" w:cs="Courier New" w:hint="default"/>
      </w:rPr>
    </w:lvl>
    <w:lvl w:ilvl="5">
      <w:start w:val="1"/>
      <w:numFmt w:val="bullet"/>
      <w:lvlText w:val=""/>
      <w:lvlJc w:val="start"/>
      <w:pPr>
        <w:tabs>
          <w:tab w:val="num" w:pos="0"/>
        </w:tabs>
        <w:ind w:start="5030" w:hanging="360"/>
      </w:pPr>
      <w:rPr>
        <w:rFonts w:ascii="Wingdings" w:hAnsi="Wingdings" w:cs="Wingdings" w:hint="default"/>
      </w:rPr>
    </w:lvl>
    <w:lvl w:ilvl="6">
      <w:start w:val="1"/>
      <w:numFmt w:val="bullet"/>
      <w:lvlText w:val=""/>
      <w:lvlJc w:val="start"/>
      <w:pPr>
        <w:tabs>
          <w:tab w:val="num" w:pos="0"/>
        </w:tabs>
        <w:ind w:start="5750" w:hanging="360"/>
      </w:pPr>
      <w:rPr>
        <w:rFonts w:ascii="Symbol" w:hAnsi="Symbol" w:cs="Symbol" w:hint="default"/>
      </w:rPr>
    </w:lvl>
    <w:lvl w:ilvl="7">
      <w:start w:val="1"/>
      <w:numFmt w:val="bullet"/>
      <w:lvlText w:val="o"/>
      <w:lvlJc w:val="start"/>
      <w:pPr>
        <w:tabs>
          <w:tab w:val="num" w:pos="0"/>
        </w:tabs>
        <w:ind w:start="6470" w:hanging="360"/>
      </w:pPr>
      <w:rPr>
        <w:rFonts w:ascii="Courier New" w:hAnsi="Courier New" w:cs="Courier New" w:hint="default"/>
      </w:rPr>
    </w:lvl>
    <w:lvl w:ilvl="8">
      <w:start w:val="1"/>
      <w:numFmt w:val="bullet"/>
      <w:lvlText w:val=""/>
      <w:lvlJc w:val="start"/>
      <w:pPr>
        <w:tabs>
          <w:tab w:val="num" w:pos="0"/>
        </w:tabs>
        <w:ind w:start="7190" w:hanging="360"/>
      </w:pPr>
      <w:rPr>
        <w:rFonts w:ascii="Wingdings" w:hAnsi="Wingdings" w:cs="Wingdings" w:hint="default"/>
      </w:rPr>
    </w:lvl>
  </w:abstractNum>
  <w:abstractNum w:abstractNumId="22">
    <w:lvl w:ilvl="0">
      <w:start w:val="1"/>
      <w:numFmt w:val="decimal"/>
      <w:suff w:val="nothing"/>
      <w:lvlText w:val="%1."/>
      <w:lvlJc w:val="start"/>
      <w:pPr>
        <w:tabs>
          <w:tab w:val="num" w:pos="0"/>
        </w:tabs>
        <w:ind w:start="0" w:hanging="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5">
    <w:lvl w:ilvl="0">
      <w:start w:val="1"/>
      <w:numFmt w:val="decimal"/>
      <w:lvlText w:val="%1."/>
      <w:lvlJc w:val="start"/>
      <w:pPr>
        <w:tabs>
          <w:tab w:val="num" w:pos="2204"/>
        </w:tabs>
        <w:ind w:start="2204" w:hanging="360"/>
      </w:pPr>
      <w:rPr/>
    </w:lvl>
    <w:lvl w:ilvl="1">
      <w:start w:val="1"/>
      <w:numFmt w:val="decimal"/>
      <w:lvlText w:val="%1.%2."/>
      <w:lvlJc w:val="start"/>
      <w:pPr>
        <w:tabs>
          <w:tab w:val="num" w:pos="253"/>
        </w:tabs>
        <w:ind w:start="253" w:hanging="432"/>
      </w:pPr>
      <w:rPr/>
    </w:lvl>
    <w:lvl w:ilvl="2">
      <w:start w:val="1"/>
      <w:numFmt w:val="decimal"/>
      <w:lvlText w:val="%3."/>
      <w:lvlJc w:val="start"/>
      <w:pPr>
        <w:tabs>
          <w:tab w:val="num" w:pos="901"/>
        </w:tabs>
        <w:ind w:start="685" w:hanging="504"/>
      </w:pPr>
      <w:rPr/>
    </w:lvl>
    <w:lvl w:ilvl="3">
      <w:start w:val="1"/>
      <w:numFmt w:val="decimal"/>
      <w:lvlText w:val="%4.%2.%1.%3."/>
      <w:lvlJc w:val="start"/>
      <w:pPr>
        <w:tabs>
          <w:tab w:val="num" w:pos="1261"/>
        </w:tabs>
        <w:ind w:start="1189" w:hanging="648"/>
      </w:pPr>
      <w:rPr/>
    </w:lvl>
    <w:lvl w:ilvl="4">
      <w:start w:val="1"/>
      <w:numFmt w:val="decimal"/>
      <w:lvlText w:val="%1.%2.%3.%4.%5."/>
      <w:lvlJc w:val="start"/>
      <w:pPr>
        <w:tabs>
          <w:tab w:val="num" w:pos="1981"/>
        </w:tabs>
        <w:ind w:start="1693" w:hanging="792"/>
      </w:pPr>
      <w:rPr/>
    </w:lvl>
    <w:lvl w:ilvl="5">
      <w:start w:val="1"/>
      <w:numFmt w:val="decimal"/>
      <w:lvlText w:val="%1.%2.%3.%4.%5.%6."/>
      <w:lvlJc w:val="start"/>
      <w:pPr>
        <w:tabs>
          <w:tab w:val="num" w:pos="2341"/>
        </w:tabs>
        <w:ind w:start="2197" w:hanging="936"/>
      </w:pPr>
      <w:rPr/>
    </w:lvl>
    <w:lvl w:ilvl="6">
      <w:start w:val="1"/>
      <w:numFmt w:val="decimal"/>
      <w:lvlText w:val="%1.%2.%3.%4.%5.%6.%7."/>
      <w:lvlJc w:val="start"/>
      <w:pPr>
        <w:tabs>
          <w:tab w:val="num" w:pos="3061"/>
        </w:tabs>
        <w:ind w:start="2701" w:hanging="1080"/>
      </w:pPr>
      <w:rPr/>
    </w:lvl>
    <w:lvl w:ilvl="7">
      <w:start w:val="1"/>
      <w:numFmt w:val="decimal"/>
      <w:lvlText w:val="%1.%2.%3.%4.%5.%6.%7.%8."/>
      <w:lvlJc w:val="start"/>
      <w:pPr>
        <w:tabs>
          <w:tab w:val="num" w:pos="3421"/>
        </w:tabs>
        <w:ind w:start="3205" w:hanging="1224"/>
      </w:pPr>
      <w:rPr/>
    </w:lvl>
    <w:lvl w:ilvl="8">
      <w:start w:val="1"/>
      <w:numFmt w:val="decimal"/>
      <w:lvlText w:val="%1.%2.%3.%4.%5.%6.%7.%8.%9."/>
      <w:lvlJc w:val="start"/>
      <w:pPr>
        <w:tabs>
          <w:tab w:val="num" w:pos="4141"/>
        </w:tabs>
        <w:ind w:start="3781" w:hanging="1440"/>
      </w:pPr>
      <w:rPr/>
    </w:lvl>
  </w:abstractNum>
  <w:abstractNum w:abstractNumId="26">
    <w:lvl w:ilvl="0">
      <w:start w:val="1"/>
      <w:numFmt w:val="decimal"/>
      <w:lvlText w:val="%1."/>
      <w:lvlJc w:val="start"/>
      <w:pPr>
        <w:tabs>
          <w:tab w:val="num" w:pos="0"/>
        </w:tabs>
        <w:ind w:start="644" w:hanging="360"/>
      </w:pPr>
      <w:rPr>
        <w:rFonts w:cs="Times New Roman"/>
      </w:rPr>
    </w:lvl>
    <w:lvl w:ilvl="1">
      <w:start w:val="1"/>
      <w:numFmt w:val="lowerLetter"/>
      <w:lvlText w:val="%2."/>
      <w:lvlJc w:val="start"/>
      <w:pPr>
        <w:tabs>
          <w:tab w:val="num" w:pos="0"/>
        </w:tabs>
        <w:ind w:start="1364" w:hanging="360"/>
      </w:pPr>
      <w:rPr>
        <w:rFonts w:cs="Times New Roman"/>
      </w:rPr>
    </w:lvl>
    <w:lvl w:ilvl="2">
      <w:start w:val="1"/>
      <w:numFmt w:val="lowerRoman"/>
      <w:lvlText w:val="%3."/>
      <w:lvlJc w:val="end"/>
      <w:pPr>
        <w:tabs>
          <w:tab w:val="num" w:pos="0"/>
        </w:tabs>
        <w:ind w:start="2084" w:hanging="180"/>
      </w:pPr>
      <w:rPr>
        <w:rFonts w:cs="Times New Roman"/>
      </w:rPr>
    </w:lvl>
    <w:lvl w:ilvl="3">
      <w:start w:val="1"/>
      <w:numFmt w:val="decimal"/>
      <w:lvlText w:val="%4."/>
      <w:lvlJc w:val="start"/>
      <w:pPr>
        <w:tabs>
          <w:tab w:val="num" w:pos="0"/>
        </w:tabs>
        <w:ind w:start="2804" w:hanging="360"/>
      </w:pPr>
      <w:rPr>
        <w:rFonts w:cs="Times New Roman"/>
      </w:rPr>
    </w:lvl>
    <w:lvl w:ilvl="4">
      <w:start w:val="1"/>
      <w:numFmt w:val="lowerLetter"/>
      <w:lvlText w:val="%5."/>
      <w:lvlJc w:val="start"/>
      <w:pPr>
        <w:tabs>
          <w:tab w:val="num" w:pos="0"/>
        </w:tabs>
        <w:ind w:start="3524" w:hanging="360"/>
      </w:pPr>
      <w:rPr>
        <w:rFonts w:cs="Times New Roman"/>
      </w:rPr>
    </w:lvl>
    <w:lvl w:ilvl="5">
      <w:start w:val="1"/>
      <w:numFmt w:val="lowerRoman"/>
      <w:lvlText w:val="%6."/>
      <w:lvlJc w:val="end"/>
      <w:pPr>
        <w:tabs>
          <w:tab w:val="num" w:pos="0"/>
        </w:tabs>
        <w:ind w:start="4244" w:hanging="180"/>
      </w:pPr>
      <w:rPr>
        <w:rFonts w:cs="Times New Roman"/>
      </w:rPr>
    </w:lvl>
    <w:lvl w:ilvl="6">
      <w:start w:val="1"/>
      <w:numFmt w:val="decimal"/>
      <w:lvlText w:val="%7."/>
      <w:lvlJc w:val="start"/>
      <w:pPr>
        <w:tabs>
          <w:tab w:val="num" w:pos="0"/>
        </w:tabs>
        <w:ind w:start="4964" w:hanging="360"/>
      </w:pPr>
      <w:rPr>
        <w:rFonts w:cs="Times New Roman"/>
      </w:rPr>
    </w:lvl>
    <w:lvl w:ilvl="7">
      <w:start w:val="1"/>
      <w:numFmt w:val="lowerLetter"/>
      <w:lvlText w:val="%8."/>
      <w:lvlJc w:val="start"/>
      <w:pPr>
        <w:tabs>
          <w:tab w:val="num" w:pos="0"/>
        </w:tabs>
        <w:ind w:start="5684" w:hanging="360"/>
      </w:pPr>
      <w:rPr>
        <w:rFonts w:cs="Times New Roman"/>
      </w:rPr>
    </w:lvl>
    <w:lvl w:ilvl="8">
      <w:start w:val="1"/>
      <w:numFmt w:val="lowerRoman"/>
      <w:lvlText w:val="%9."/>
      <w:lvlJc w:val="end"/>
      <w:pPr>
        <w:tabs>
          <w:tab w:val="num" w:pos="0"/>
        </w:tabs>
        <w:ind w:start="6404" w:hanging="180"/>
      </w:pPr>
      <w:rPr>
        <w:rFonts w:cs="Times New Roman"/>
      </w:rPr>
    </w:lvl>
  </w:abstractNum>
  <w:abstractNum w:abstractNumId="2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8">
    <w:lvl w:ilvl="0">
      <w:numFmt w:val="bullet"/>
      <w:lvlText w:val="•"/>
      <w:lvlJc w:val="start"/>
      <w:pPr>
        <w:tabs>
          <w:tab w:val="num" w:pos="0"/>
        </w:tabs>
        <w:ind w:start="720" w:hanging="360"/>
      </w:pPr>
      <w:rPr>
        <w:rFonts w:ascii="Times New Roman" w:hAnsi="Times New Roman" w:cs="Times New Roman"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9">
    <w:lvl w:ilvl="0">
      <w:start w:val="1"/>
      <w:numFmt w:val="bullet"/>
      <w:lvlText w:val=""/>
      <w:lvlJc w:val="start"/>
      <w:pPr>
        <w:tabs>
          <w:tab w:val="num" w:pos="0"/>
        </w:tabs>
        <w:ind w:start="360" w:hanging="360"/>
      </w:pPr>
      <w:rPr>
        <w:rFonts w:ascii="Symbol" w:hAnsi="Symbol" w:cs="Symbol" w:hint="default"/>
        <w:color w:val="auto"/>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30">
    <w:lvl w:ilvl="0">
      <w:start w:val="1"/>
      <w:numFmt w:val="decimal"/>
      <w:lvlText w:val="%1"/>
      <w:lvlJc w:val="start"/>
      <w:pPr>
        <w:tabs>
          <w:tab w:val="num" w:pos="0"/>
        </w:tabs>
        <w:ind w:start="1068" w:hanging="360"/>
      </w:pPr>
      <w:rPr/>
    </w:lvl>
    <w:lvl w:ilvl="1">
      <w:start w:val="1"/>
      <w:numFmt w:val="decimal"/>
      <w:lvlText w:val="%1.%2"/>
      <w:lvlJc w:val="start"/>
      <w:pPr>
        <w:tabs>
          <w:tab w:val="num" w:pos="1276"/>
        </w:tabs>
        <w:ind w:start="1276" w:hanging="567"/>
      </w:pPr>
      <w:rPr>
        <w:smallCaps w:val="false"/>
        <w:caps w:val="false"/>
        <w:dstrike w:val="false"/>
        <w:strike w:val="false"/>
        <w:vertAlign w:val="baseline"/>
        <w:position w:val="0"/>
        <w:sz w:val="20"/>
        <w:sz w:val="20"/>
        <w:spacing w:val="0"/>
        <w:i w:val="false"/>
        <w:u w:val="none"/>
        <w:b/>
        <w:kern w:val="0"/>
        <w:iCs w:val="false"/>
        <w:bCs w:val="false"/>
        <w:em w:val="none"/>
        <w:vanish w:val="false"/>
        <w:rFonts w:ascii="Times New Roman" w:hAnsi="Times New Roman" w:cs="Times New Roman"/>
        <w:color w:val="000000"/>
      </w:rPr>
    </w:lvl>
    <w:lvl w:ilvl="2">
      <w:start w:val="1"/>
      <w:numFmt w:val="decimal"/>
      <w:lvlText w:val="%1.%2.%3."/>
      <w:lvlJc w:val="start"/>
      <w:pPr>
        <w:tabs>
          <w:tab w:val="num" w:pos="1559"/>
        </w:tabs>
        <w:ind w:start="1559" w:hanging="850"/>
      </w:pPr>
      <w:rPr/>
    </w:lvl>
    <w:lvl w:ilvl="3">
      <w:start w:val="1"/>
      <w:numFmt w:val="decimal"/>
      <w:lvlText w:val="%1.%2.%3.%4"/>
      <w:lvlJc w:val="start"/>
      <w:pPr>
        <w:tabs>
          <w:tab w:val="num" w:pos="709"/>
        </w:tabs>
        <w:ind w:start="709" w:hanging="0"/>
      </w:pPr>
      <w:rPr/>
    </w:lvl>
    <w:lvl w:ilvl="4">
      <w:start w:val="1"/>
      <w:numFmt w:val="lowerLetter"/>
      <w:lvlText w:val="(%5)"/>
      <w:lvlJc w:val="start"/>
      <w:pPr>
        <w:tabs>
          <w:tab w:val="num" w:pos="709"/>
        </w:tabs>
        <w:ind w:start="709" w:hanging="0"/>
      </w:pPr>
      <w:rPr/>
    </w:lvl>
    <w:lvl w:ilvl="5">
      <w:start w:val="1"/>
      <w:numFmt w:val="lowerRoman"/>
      <w:lvlText w:val="(%6)"/>
      <w:lvlJc w:val="start"/>
      <w:pPr>
        <w:tabs>
          <w:tab w:val="num" w:pos="709"/>
        </w:tabs>
        <w:ind w:start="709" w:hanging="0"/>
      </w:pPr>
      <w:rPr/>
    </w:lvl>
    <w:lvl w:ilvl="6">
      <w:start w:val="1"/>
      <w:numFmt w:val="decimal"/>
      <w:lvlText w:val="%7."/>
      <w:lvlJc w:val="start"/>
      <w:pPr>
        <w:tabs>
          <w:tab w:val="num" w:pos="709"/>
        </w:tabs>
        <w:ind w:start="709" w:hanging="0"/>
      </w:pPr>
      <w:rPr/>
    </w:lvl>
    <w:lvl w:ilvl="7">
      <w:start w:val="1"/>
      <w:numFmt w:val="lowerLetter"/>
      <w:lvlText w:val="%8."/>
      <w:lvlJc w:val="start"/>
      <w:pPr>
        <w:tabs>
          <w:tab w:val="num" w:pos="709"/>
        </w:tabs>
        <w:ind w:start="709" w:hanging="0"/>
      </w:pPr>
      <w:rPr/>
    </w:lvl>
    <w:lvl w:ilvl="8">
      <w:start w:val="1"/>
      <w:numFmt w:val="lowerRoman"/>
      <w:lvlText w:val="%9."/>
      <w:lvlJc w:val="start"/>
      <w:pPr>
        <w:tabs>
          <w:tab w:val="num" w:pos="709"/>
        </w:tabs>
        <w:ind w:start="709" w:hanging="0"/>
      </w:pPr>
      <w:rPr/>
    </w:lvl>
  </w:abstractNum>
  <w:abstractNum w:abstractNumId="31">
    <w:lvl w:ilvl="0">
      <w:start w:val="1"/>
      <w:numFmt w:val="bullet"/>
      <w:lvlText w:val=""/>
      <w:lvlJc w:val="start"/>
      <w:pPr>
        <w:tabs>
          <w:tab w:val="num" w:pos="0"/>
        </w:tabs>
        <w:ind w:start="996" w:hanging="360"/>
      </w:pPr>
      <w:rPr>
        <w:rFonts w:ascii="Symbol" w:hAnsi="Symbol" w:cs="Symbol" w:hint="default"/>
      </w:rPr>
    </w:lvl>
    <w:lvl w:ilvl="1">
      <w:start w:val="1"/>
      <w:numFmt w:val="bullet"/>
      <w:lvlText w:val="o"/>
      <w:lvlJc w:val="start"/>
      <w:pPr>
        <w:tabs>
          <w:tab w:val="num" w:pos="0"/>
        </w:tabs>
        <w:ind w:start="1716" w:hanging="360"/>
      </w:pPr>
      <w:rPr>
        <w:rFonts w:ascii="Courier New" w:hAnsi="Courier New" w:cs="Courier New" w:hint="default"/>
      </w:rPr>
    </w:lvl>
    <w:lvl w:ilvl="2">
      <w:start w:val="1"/>
      <w:numFmt w:val="bullet"/>
      <w:lvlText w:val=""/>
      <w:lvlJc w:val="start"/>
      <w:pPr>
        <w:tabs>
          <w:tab w:val="num" w:pos="0"/>
        </w:tabs>
        <w:ind w:start="2436" w:hanging="360"/>
      </w:pPr>
      <w:rPr>
        <w:rFonts w:ascii="Wingdings" w:hAnsi="Wingdings" w:cs="Wingdings" w:hint="default"/>
      </w:rPr>
    </w:lvl>
    <w:lvl w:ilvl="3">
      <w:start w:val="1"/>
      <w:numFmt w:val="bullet"/>
      <w:lvlText w:val=""/>
      <w:lvlJc w:val="start"/>
      <w:pPr>
        <w:tabs>
          <w:tab w:val="num" w:pos="0"/>
        </w:tabs>
        <w:ind w:start="3156" w:hanging="360"/>
      </w:pPr>
      <w:rPr>
        <w:rFonts w:ascii="Symbol" w:hAnsi="Symbol" w:cs="Symbol" w:hint="default"/>
      </w:rPr>
    </w:lvl>
    <w:lvl w:ilvl="4">
      <w:start w:val="1"/>
      <w:numFmt w:val="bullet"/>
      <w:lvlText w:val="o"/>
      <w:lvlJc w:val="start"/>
      <w:pPr>
        <w:tabs>
          <w:tab w:val="num" w:pos="0"/>
        </w:tabs>
        <w:ind w:start="3876" w:hanging="360"/>
      </w:pPr>
      <w:rPr>
        <w:rFonts w:ascii="Courier New" w:hAnsi="Courier New" w:cs="Courier New" w:hint="default"/>
      </w:rPr>
    </w:lvl>
    <w:lvl w:ilvl="5">
      <w:start w:val="1"/>
      <w:numFmt w:val="bullet"/>
      <w:lvlText w:val=""/>
      <w:lvlJc w:val="start"/>
      <w:pPr>
        <w:tabs>
          <w:tab w:val="num" w:pos="0"/>
        </w:tabs>
        <w:ind w:start="4596" w:hanging="360"/>
      </w:pPr>
      <w:rPr>
        <w:rFonts w:ascii="Wingdings" w:hAnsi="Wingdings" w:cs="Wingdings" w:hint="default"/>
      </w:rPr>
    </w:lvl>
    <w:lvl w:ilvl="6">
      <w:start w:val="1"/>
      <w:numFmt w:val="bullet"/>
      <w:lvlText w:val=""/>
      <w:lvlJc w:val="start"/>
      <w:pPr>
        <w:tabs>
          <w:tab w:val="num" w:pos="0"/>
        </w:tabs>
        <w:ind w:start="5316" w:hanging="360"/>
      </w:pPr>
      <w:rPr>
        <w:rFonts w:ascii="Symbol" w:hAnsi="Symbol" w:cs="Symbol" w:hint="default"/>
      </w:rPr>
    </w:lvl>
    <w:lvl w:ilvl="7">
      <w:start w:val="1"/>
      <w:numFmt w:val="bullet"/>
      <w:lvlText w:val="o"/>
      <w:lvlJc w:val="start"/>
      <w:pPr>
        <w:tabs>
          <w:tab w:val="num" w:pos="0"/>
        </w:tabs>
        <w:ind w:start="6036" w:hanging="360"/>
      </w:pPr>
      <w:rPr>
        <w:rFonts w:ascii="Courier New" w:hAnsi="Courier New" w:cs="Courier New" w:hint="default"/>
      </w:rPr>
    </w:lvl>
    <w:lvl w:ilvl="8">
      <w:start w:val="1"/>
      <w:numFmt w:val="bullet"/>
      <w:lvlText w:val=""/>
      <w:lvlJc w:val="start"/>
      <w:pPr>
        <w:tabs>
          <w:tab w:val="num" w:pos="0"/>
        </w:tabs>
        <w:ind w:start="6756" w:hanging="360"/>
      </w:pPr>
      <w:rPr>
        <w:rFonts w:ascii="Wingdings" w:hAnsi="Wingdings" w:cs="Wingdings" w:hint="default"/>
      </w:rPr>
    </w:lvl>
  </w:abstractNum>
  <w:abstractNum w:abstractNumId="32">
    <w:lvl w:ilvl="0">
      <w:start w:val="1"/>
      <w:numFmt w:val="decimal"/>
      <w:lvlText w:val="%1."/>
      <w:lvlJc w:val="start"/>
      <w:pPr>
        <w:tabs>
          <w:tab w:val="num" w:pos="0"/>
        </w:tabs>
        <w:ind w:start="1503" w:hanging="360"/>
      </w:pPr>
      <w:rPr/>
    </w:lvl>
    <w:lvl w:ilvl="1">
      <w:start w:val="1"/>
      <w:numFmt w:val="lowerLetter"/>
      <w:lvlText w:val="%2."/>
      <w:lvlJc w:val="start"/>
      <w:pPr>
        <w:tabs>
          <w:tab w:val="num" w:pos="0"/>
        </w:tabs>
        <w:ind w:start="2223" w:hanging="360"/>
      </w:pPr>
      <w:rPr/>
    </w:lvl>
    <w:lvl w:ilvl="2">
      <w:start w:val="1"/>
      <w:numFmt w:val="lowerRoman"/>
      <w:lvlText w:val="%3."/>
      <w:lvlJc w:val="end"/>
      <w:pPr>
        <w:tabs>
          <w:tab w:val="num" w:pos="0"/>
        </w:tabs>
        <w:ind w:start="2943" w:hanging="180"/>
      </w:pPr>
      <w:rPr/>
    </w:lvl>
    <w:lvl w:ilvl="3">
      <w:start w:val="1"/>
      <w:numFmt w:val="decimal"/>
      <w:lvlText w:val="%4."/>
      <w:lvlJc w:val="start"/>
      <w:pPr>
        <w:tabs>
          <w:tab w:val="num" w:pos="0"/>
        </w:tabs>
        <w:ind w:start="3663" w:hanging="360"/>
      </w:pPr>
      <w:rPr/>
    </w:lvl>
    <w:lvl w:ilvl="4">
      <w:start w:val="1"/>
      <w:numFmt w:val="lowerLetter"/>
      <w:lvlText w:val="%5."/>
      <w:lvlJc w:val="start"/>
      <w:pPr>
        <w:tabs>
          <w:tab w:val="num" w:pos="0"/>
        </w:tabs>
        <w:ind w:start="4383" w:hanging="360"/>
      </w:pPr>
      <w:rPr/>
    </w:lvl>
    <w:lvl w:ilvl="5">
      <w:start w:val="1"/>
      <w:numFmt w:val="lowerRoman"/>
      <w:lvlText w:val="%6."/>
      <w:lvlJc w:val="end"/>
      <w:pPr>
        <w:tabs>
          <w:tab w:val="num" w:pos="0"/>
        </w:tabs>
        <w:ind w:start="5103" w:hanging="180"/>
      </w:pPr>
      <w:rPr/>
    </w:lvl>
    <w:lvl w:ilvl="6">
      <w:start w:val="1"/>
      <w:numFmt w:val="decimal"/>
      <w:lvlText w:val="%7."/>
      <w:lvlJc w:val="start"/>
      <w:pPr>
        <w:tabs>
          <w:tab w:val="num" w:pos="0"/>
        </w:tabs>
        <w:ind w:start="5823" w:hanging="360"/>
      </w:pPr>
      <w:rPr/>
    </w:lvl>
    <w:lvl w:ilvl="7">
      <w:start w:val="1"/>
      <w:numFmt w:val="lowerLetter"/>
      <w:lvlText w:val="%8."/>
      <w:lvlJc w:val="start"/>
      <w:pPr>
        <w:tabs>
          <w:tab w:val="num" w:pos="0"/>
        </w:tabs>
        <w:ind w:start="6543" w:hanging="360"/>
      </w:pPr>
      <w:rPr/>
    </w:lvl>
    <w:lvl w:ilvl="8">
      <w:start w:val="1"/>
      <w:numFmt w:val="lowerRoman"/>
      <w:lvlText w:val="%9."/>
      <w:lvlJc w:val="end"/>
      <w:pPr>
        <w:tabs>
          <w:tab w:val="num" w:pos="0"/>
        </w:tabs>
        <w:ind w:start="7263" w:hanging="180"/>
      </w:pPr>
      <w:rPr/>
    </w:lvl>
  </w:abstractNum>
  <w:abstractNum w:abstractNumId="33">
    <w:lvl w:ilvl="0">
      <w:start w:val="1"/>
      <w:numFmt w:val="decimal"/>
      <w:lvlText w:val="%1."/>
      <w:lvlJc w:val="start"/>
      <w:pPr>
        <w:tabs>
          <w:tab w:val="num" w:pos="0"/>
        </w:tabs>
        <w:ind w:start="1503" w:hanging="360"/>
      </w:pPr>
      <w:rPr/>
    </w:lvl>
    <w:lvl w:ilvl="1">
      <w:start w:val="1"/>
      <w:numFmt w:val="lowerLetter"/>
      <w:lvlText w:val="%2."/>
      <w:lvlJc w:val="start"/>
      <w:pPr>
        <w:tabs>
          <w:tab w:val="num" w:pos="0"/>
        </w:tabs>
        <w:ind w:start="2223" w:hanging="360"/>
      </w:pPr>
      <w:rPr/>
    </w:lvl>
    <w:lvl w:ilvl="2">
      <w:start w:val="1"/>
      <w:numFmt w:val="lowerRoman"/>
      <w:lvlText w:val="%3."/>
      <w:lvlJc w:val="end"/>
      <w:pPr>
        <w:tabs>
          <w:tab w:val="num" w:pos="0"/>
        </w:tabs>
        <w:ind w:start="2943" w:hanging="180"/>
      </w:pPr>
      <w:rPr/>
    </w:lvl>
    <w:lvl w:ilvl="3">
      <w:start w:val="1"/>
      <w:numFmt w:val="decimal"/>
      <w:lvlText w:val="%4."/>
      <w:lvlJc w:val="start"/>
      <w:pPr>
        <w:tabs>
          <w:tab w:val="num" w:pos="0"/>
        </w:tabs>
        <w:ind w:start="3663" w:hanging="360"/>
      </w:pPr>
      <w:rPr/>
    </w:lvl>
    <w:lvl w:ilvl="4">
      <w:start w:val="1"/>
      <w:numFmt w:val="lowerLetter"/>
      <w:lvlText w:val="%5."/>
      <w:lvlJc w:val="start"/>
      <w:pPr>
        <w:tabs>
          <w:tab w:val="num" w:pos="0"/>
        </w:tabs>
        <w:ind w:start="4383" w:hanging="360"/>
      </w:pPr>
      <w:rPr/>
    </w:lvl>
    <w:lvl w:ilvl="5">
      <w:start w:val="1"/>
      <w:numFmt w:val="lowerRoman"/>
      <w:lvlText w:val="%6."/>
      <w:lvlJc w:val="end"/>
      <w:pPr>
        <w:tabs>
          <w:tab w:val="num" w:pos="0"/>
        </w:tabs>
        <w:ind w:start="5103" w:hanging="180"/>
      </w:pPr>
      <w:rPr/>
    </w:lvl>
    <w:lvl w:ilvl="6">
      <w:start w:val="1"/>
      <w:numFmt w:val="decimal"/>
      <w:lvlText w:val="%7."/>
      <w:lvlJc w:val="start"/>
      <w:pPr>
        <w:tabs>
          <w:tab w:val="num" w:pos="0"/>
        </w:tabs>
        <w:ind w:start="5823" w:hanging="360"/>
      </w:pPr>
      <w:rPr/>
    </w:lvl>
    <w:lvl w:ilvl="7">
      <w:start w:val="1"/>
      <w:numFmt w:val="lowerLetter"/>
      <w:lvlText w:val="%8."/>
      <w:lvlJc w:val="start"/>
      <w:pPr>
        <w:tabs>
          <w:tab w:val="num" w:pos="0"/>
        </w:tabs>
        <w:ind w:start="6543" w:hanging="360"/>
      </w:pPr>
      <w:rPr/>
    </w:lvl>
    <w:lvl w:ilvl="8">
      <w:start w:val="1"/>
      <w:numFmt w:val="lowerRoman"/>
      <w:lvlText w:val="%9."/>
      <w:lvlJc w:val="end"/>
      <w:pPr>
        <w:tabs>
          <w:tab w:val="num" w:pos="0"/>
        </w:tabs>
        <w:ind w:start="7263" w:hanging="180"/>
      </w:pPr>
      <w:rPr/>
    </w:lvl>
  </w:abstractNum>
  <w:abstractNum w:abstractNumId="34">
    <w:lvl w:ilvl="0">
      <w:start w:val="1"/>
      <w:numFmt w:val="decimal"/>
      <w:lvlText w:val="%1."/>
      <w:lvlJc w:val="start"/>
      <w:pPr>
        <w:tabs>
          <w:tab w:val="num" w:pos="2204"/>
        </w:tabs>
        <w:ind w:start="2204" w:hanging="360"/>
      </w:pPr>
      <w:rPr/>
    </w:lvl>
    <w:lvl w:ilvl="1">
      <w:start w:val="1"/>
      <w:numFmt w:val="decimal"/>
      <w:lvlText w:val="%1.%2."/>
      <w:lvlJc w:val="start"/>
      <w:pPr>
        <w:tabs>
          <w:tab w:val="num" w:pos="253"/>
        </w:tabs>
        <w:ind w:start="253" w:hanging="432"/>
      </w:pPr>
      <w:rPr/>
    </w:lvl>
    <w:lvl w:ilvl="2">
      <w:start w:val="1"/>
      <w:numFmt w:val="decimal"/>
      <w:lvlText w:val="%3."/>
      <w:lvlJc w:val="start"/>
      <w:pPr>
        <w:tabs>
          <w:tab w:val="num" w:pos="901"/>
        </w:tabs>
        <w:ind w:start="685" w:hanging="504"/>
      </w:pPr>
      <w:rPr/>
    </w:lvl>
    <w:lvl w:ilvl="3">
      <w:start w:val="1"/>
      <w:numFmt w:val="decimal"/>
      <w:lvlText w:val="%4.%2.%1.%3."/>
      <w:lvlJc w:val="start"/>
      <w:pPr>
        <w:tabs>
          <w:tab w:val="num" w:pos="1261"/>
        </w:tabs>
        <w:ind w:start="1189" w:hanging="648"/>
      </w:pPr>
      <w:rPr/>
    </w:lvl>
    <w:lvl w:ilvl="4">
      <w:start w:val="1"/>
      <w:numFmt w:val="decimal"/>
      <w:lvlText w:val="%1.%2.%3.%4.%5."/>
      <w:lvlJc w:val="start"/>
      <w:pPr>
        <w:tabs>
          <w:tab w:val="num" w:pos="1981"/>
        </w:tabs>
        <w:ind w:start="1693" w:hanging="792"/>
      </w:pPr>
      <w:rPr/>
    </w:lvl>
    <w:lvl w:ilvl="5">
      <w:start w:val="1"/>
      <w:numFmt w:val="decimal"/>
      <w:lvlText w:val="%1.%2.%3.%4.%5.%6."/>
      <w:lvlJc w:val="start"/>
      <w:pPr>
        <w:tabs>
          <w:tab w:val="num" w:pos="2341"/>
        </w:tabs>
        <w:ind w:start="2197" w:hanging="936"/>
      </w:pPr>
      <w:rPr/>
    </w:lvl>
    <w:lvl w:ilvl="6">
      <w:start w:val="1"/>
      <w:numFmt w:val="decimal"/>
      <w:lvlText w:val="%1.%2.%3.%4.%5.%6.%7."/>
      <w:lvlJc w:val="start"/>
      <w:pPr>
        <w:tabs>
          <w:tab w:val="num" w:pos="3061"/>
        </w:tabs>
        <w:ind w:start="2701" w:hanging="1080"/>
      </w:pPr>
      <w:rPr/>
    </w:lvl>
    <w:lvl w:ilvl="7">
      <w:start w:val="1"/>
      <w:numFmt w:val="decimal"/>
      <w:lvlText w:val="%1.%2.%3.%4.%5.%6.%7.%8."/>
      <w:lvlJc w:val="start"/>
      <w:pPr>
        <w:tabs>
          <w:tab w:val="num" w:pos="3421"/>
        </w:tabs>
        <w:ind w:start="3205" w:hanging="1224"/>
      </w:pPr>
      <w:rPr/>
    </w:lvl>
    <w:lvl w:ilvl="8">
      <w:start w:val="1"/>
      <w:numFmt w:val="decimal"/>
      <w:lvlText w:val="%1.%2.%3.%4.%5.%6.%7.%8.%9."/>
      <w:lvlJc w:val="start"/>
      <w:pPr>
        <w:tabs>
          <w:tab w:val="num" w:pos="4141"/>
        </w:tabs>
        <w:ind w:start="3781" w:hanging="1440"/>
      </w:pPr>
      <w:rPr/>
    </w:lvl>
  </w:abstractNum>
  <w:abstractNum w:abstractNumId="35">
    <w:lvl w:ilvl="0">
      <w:start w:val="1"/>
      <w:numFmt w:val="decimal"/>
      <w:lvlText w:val="%1."/>
      <w:lvlJc w:val="start"/>
      <w:pPr>
        <w:tabs>
          <w:tab w:val="num" w:pos="2204"/>
        </w:tabs>
        <w:ind w:start="2204" w:hanging="360"/>
      </w:pPr>
      <w:rPr/>
    </w:lvl>
    <w:lvl w:ilvl="1">
      <w:start w:val="1"/>
      <w:numFmt w:val="decimal"/>
      <w:lvlText w:val="%1.%2."/>
      <w:lvlJc w:val="start"/>
      <w:pPr>
        <w:tabs>
          <w:tab w:val="num" w:pos="253"/>
        </w:tabs>
        <w:ind w:start="253" w:hanging="432"/>
      </w:pPr>
      <w:rPr/>
    </w:lvl>
    <w:lvl w:ilvl="2">
      <w:start w:val="1"/>
      <w:numFmt w:val="decimal"/>
      <w:lvlText w:val="%3."/>
      <w:lvlJc w:val="start"/>
      <w:pPr>
        <w:tabs>
          <w:tab w:val="num" w:pos="901"/>
        </w:tabs>
        <w:ind w:start="685" w:hanging="504"/>
      </w:pPr>
      <w:rPr/>
    </w:lvl>
    <w:lvl w:ilvl="3">
      <w:start w:val="1"/>
      <w:numFmt w:val="decimal"/>
      <w:lvlText w:val="%4.%2.%1.%3."/>
      <w:lvlJc w:val="start"/>
      <w:pPr>
        <w:tabs>
          <w:tab w:val="num" w:pos="1261"/>
        </w:tabs>
        <w:ind w:start="1189" w:hanging="648"/>
      </w:pPr>
      <w:rPr/>
    </w:lvl>
    <w:lvl w:ilvl="4">
      <w:start w:val="1"/>
      <w:numFmt w:val="decimal"/>
      <w:lvlText w:val="%1.%2.%3.%4.%5."/>
      <w:lvlJc w:val="start"/>
      <w:pPr>
        <w:tabs>
          <w:tab w:val="num" w:pos="1981"/>
        </w:tabs>
        <w:ind w:start="1693" w:hanging="792"/>
      </w:pPr>
      <w:rPr/>
    </w:lvl>
    <w:lvl w:ilvl="5">
      <w:start w:val="1"/>
      <w:numFmt w:val="decimal"/>
      <w:lvlText w:val="%1.%2.%3.%4.%5.%6."/>
      <w:lvlJc w:val="start"/>
      <w:pPr>
        <w:tabs>
          <w:tab w:val="num" w:pos="2341"/>
        </w:tabs>
        <w:ind w:start="2197" w:hanging="936"/>
      </w:pPr>
      <w:rPr/>
    </w:lvl>
    <w:lvl w:ilvl="6">
      <w:start w:val="1"/>
      <w:numFmt w:val="decimal"/>
      <w:lvlText w:val="%1.%2.%3.%4.%5.%6.%7."/>
      <w:lvlJc w:val="start"/>
      <w:pPr>
        <w:tabs>
          <w:tab w:val="num" w:pos="3061"/>
        </w:tabs>
        <w:ind w:start="2701" w:hanging="1080"/>
      </w:pPr>
      <w:rPr/>
    </w:lvl>
    <w:lvl w:ilvl="7">
      <w:start w:val="1"/>
      <w:numFmt w:val="decimal"/>
      <w:lvlText w:val="%1.%2.%3.%4.%5.%6.%7.%8."/>
      <w:lvlJc w:val="start"/>
      <w:pPr>
        <w:tabs>
          <w:tab w:val="num" w:pos="3421"/>
        </w:tabs>
        <w:ind w:start="3205" w:hanging="1224"/>
      </w:pPr>
      <w:rPr/>
    </w:lvl>
    <w:lvl w:ilvl="8">
      <w:start w:val="1"/>
      <w:numFmt w:val="decimal"/>
      <w:lvlText w:val="%1.%2.%3.%4.%5.%6.%7.%8.%9."/>
      <w:lvlJc w:val="start"/>
      <w:pPr>
        <w:tabs>
          <w:tab w:val="num" w:pos="4141"/>
        </w:tabs>
        <w:ind w:start="3781" w:hanging="1440"/>
      </w:pPr>
      <w:rPr/>
    </w:lvl>
  </w:abstractNum>
  <w:abstractNum w:abstractNumId="36">
    <w:lvl w:ilvl="0">
      <w:start w:val="1"/>
      <w:numFmt w:val="decimal"/>
      <w:lvlText w:val="%1."/>
      <w:lvlJc w:val="start"/>
      <w:pPr>
        <w:tabs>
          <w:tab w:val="num" w:pos="2204"/>
        </w:tabs>
        <w:ind w:start="2204" w:hanging="360"/>
      </w:pPr>
      <w:rPr/>
    </w:lvl>
    <w:lvl w:ilvl="1">
      <w:start w:val="1"/>
      <w:numFmt w:val="decimal"/>
      <w:lvlText w:val="%1.%2."/>
      <w:lvlJc w:val="start"/>
      <w:pPr>
        <w:tabs>
          <w:tab w:val="num" w:pos="253"/>
        </w:tabs>
        <w:ind w:start="253" w:hanging="432"/>
      </w:pPr>
      <w:rPr/>
    </w:lvl>
    <w:lvl w:ilvl="2">
      <w:start w:val="1"/>
      <w:numFmt w:val="decimal"/>
      <w:lvlText w:val="%3."/>
      <w:lvlJc w:val="start"/>
      <w:pPr>
        <w:tabs>
          <w:tab w:val="num" w:pos="901"/>
        </w:tabs>
        <w:ind w:start="685" w:hanging="504"/>
      </w:pPr>
      <w:rPr/>
    </w:lvl>
    <w:lvl w:ilvl="3">
      <w:start w:val="1"/>
      <w:numFmt w:val="decimal"/>
      <w:lvlText w:val="%4.%2.%1.%3."/>
      <w:lvlJc w:val="start"/>
      <w:pPr>
        <w:tabs>
          <w:tab w:val="num" w:pos="1261"/>
        </w:tabs>
        <w:ind w:start="1189" w:hanging="648"/>
      </w:pPr>
      <w:rPr/>
    </w:lvl>
    <w:lvl w:ilvl="4">
      <w:start w:val="1"/>
      <w:numFmt w:val="decimal"/>
      <w:lvlText w:val="%1.%2.%3.%4.%5."/>
      <w:lvlJc w:val="start"/>
      <w:pPr>
        <w:tabs>
          <w:tab w:val="num" w:pos="1981"/>
        </w:tabs>
        <w:ind w:start="1693" w:hanging="792"/>
      </w:pPr>
      <w:rPr/>
    </w:lvl>
    <w:lvl w:ilvl="5">
      <w:start w:val="1"/>
      <w:numFmt w:val="decimal"/>
      <w:lvlText w:val="%1.%2.%3.%4.%5.%6."/>
      <w:lvlJc w:val="start"/>
      <w:pPr>
        <w:tabs>
          <w:tab w:val="num" w:pos="2341"/>
        </w:tabs>
        <w:ind w:start="2197" w:hanging="936"/>
      </w:pPr>
      <w:rPr/>
    </w:lvl>
    <w:lvl w:ilvl="6">
      <w:start w:val="1"/>
      <w:numFmt w:val="decimal"/>
      <w:lvlText w:val="%1.%2.%3.%4.%5.%6.%7."/>
      <w:lvlJc w:val="start"/>
      <w:pPr>
        <w:tabs>
          <w:tab w:val="num" w:pos="3061"/>
        </w:tabs>
        <w:ind w:start="2701" w:hanging="1080"/>
      </w:pPr>
      <w:rPr/>
    </w:lvl>
    <w:lvl w:ilvl="7">
      <w:start w:val="1"/>
      <w:numFmt w:val="decimal"/>
      <w:lvlText w:val="%1.%2.%3.%4.%5.%6.%7.%8."/>
      <w:lvlJc w:val="start"/>
      <w:pPr>
        <w:tabs>
          <w:tab w:val="num" w:pos="3421"/>
        </w:tabs>
        <w:ind w:start="3205" w:hanging="1224"/>
      </w:pPr>
      <w:rPr/>
    </w:lvl>
    <w:lvl w:ilvl="8">
      <w:start w:val="1"/>
      <w:numFmt w:val="decimal"/>
      <w:lvlText w:val="%1.%2.%3.%4.%5.%6.%7.%8.%9."/>
      <w:lvlJc w:val="start"/>
      <w:pPr>
        <w:tabs>
          <w:tab w:val="num" w:pos="4141"/>
        </w:tabs>
        <w:ind w:start="3781" w:hanging="1440"/>
      </w:pPr>
      <w:rPr/>
    </w:lvl>
  </w:abstractNum>
  <w:abstractNum w:abstractNumId="37">
    <w:lvl w:ilvl="0">
      <w:start w:val="1"/>
      <w:numFmt w:val="decimal"/>
      <w:lvlText w:val="%1."/>
      <w:lvlJc w:val="start"/>
      <w:pPr>
        <w:tabs>
          <w:tab w:val="num" w:pos="2204"/>
        </w:tabs>
        <w:ind w:start="2204" w:hanging="360"/>
      </w:pPr>
      <w:rPr/>
    </w:lvl>
    <w:lvl w:ilvl="1">
      <w:start w:val="1"/>
      <w:numFmt w:val="decimal"/>
      <w:lvlText w:val="%1.%2."/>
      <w:lvlJc w:val="start"/>
      <w:pPr>
        <w:tabs>
          <w:tab w:val="num" w:pos="253"/>
        </w:tabs>
        <w:ind w:start="253" w:hanging="432"/>
      </w:pPr>
      <w:rPr/>
    </w:lvl>
    <w:lvl w:ilvl="2">
      <w:start w:val="1"/>
      <w:numFmt w:val="decimal"/>
      <w:lvlText w:val="%3."/>
      <w:lvlJc w:val="start"/>
      <w:pPr>
        <w:tabs>
          <w:tab w:val="num" w:pos="901"/>
        </w:tabs>
        <w:ind w:start="685" w:hanging="504"/>
      </w:pPr>
      <w:rPr/>
    </w:lvl>
    <w:lvl w:ilvl="3">
      <w:start w:val="1"/>
      <w:numFmt w:val="decimal"/>
      <w:lvlText w:val="%4.%2.%1.%3."/>
      <w:lvlJc w:val="start"/>
      <w:pPr>
        <w:tabs>
          <w:tab w:val="num" w:pos="1261"/>
        </w:tabs>
        <w:ind w:start="1189" w:hanging="648"/>
      </w:pPr>
      <w:rPr/>
    </w:lvl>
    <w:lvl w:ilvl="4">
      <w:start w:val="1"/>
      <w:numFmt w:val="decimal"/>
      <w:lvlText w:val="%1.%2.%3.%4.%5."/>
      <w:lvlJc w:val="start"/>
      <w:pPr>
        <w:tabs>
          <w:tab w:val="num" w:pos="1981"/>
        </w:tabs>
        <w:ind w:start="1693" w:hanging="792"/>
      </w:pPr>
      <w:rPr/>
    </w:lvl>
    <w:lvl w:ilvl="5">
      <w:start w:val="1"/>
      <w:numFmt w:val="decimal"/>
      <w:lvlText w:val="%1.%2.%3.%4.%5.%6."/>
      <w:lvlJc w:val="start"/>
      <w:pPr>
        <w:tabs>
          <w:tab w:val="num" w:pos="2341"/>
        </w:tabs>
        <w:ind w:start="2197" w:hanging="936"/>
      </w:pPr>
      <w:rPr/>
    </w:lvl>
    <w:lvl w:ilvl="6">
      <w:start w:val="1"/>
      <w:numFmt w:val="decimal"/>
      <w:lvlText w:val="%1.%2.%3.%4.%5.%6.%7."/>
      <w:lvlJc w:val="start"/>
      <w:pPr>
        <w:tabs>
          <w:tab w:val="num" w:pos="3061"/>
        </w:tabs>
        <w:ind w:start="2701" w:hanging="1080"/>
      </w:pPr>
      <w:rPr/>
    </w:lvl>
    <w:lvl w:ilvl="7">
      <w:start w:val="1"/>
      <w:numFmt w:val="decimal"/>
      <w:lvlText w:val="%1.%2.%3.%4.%5.%6.%7.%8."/>
      <w:lvlJc w:val="start"/>
      <w:pPr>
        <w:tabs>
          <w:tab w:val="num" w:pos="3421"/>
        </w:tabs>
        <w:ind w:start="3205" w:hanging="1224"/>
      </w:pPr>
      <w:rPr/>
    </w:lvl>
    <w:lvl w:ilvl="8">
      <w:start w:val="1"/>
      <w:numFmt w:val="decimal"/>
      <w:lvlText w:val="%1.%2.%3.%4.%5.%6.%7.%8.%9."/>
      <w:lvlJc w:val="start"/>
      <w:pPr>
        <w:tabs>
          <w:tab w:val="num" w:pos="4141"/>
        </w:tabs>
        <w:ind w:start="3781" w:hanging="1440"/>
      </w:pPr>
      <w:rPr/>
    </w:lvl>
  </w:abstractNum>
  <w:abstractNum w:abstractNumId="38">
    <w:lvl w:ilvl="0">
      <w:start w:val="1"/>
      <w:numFmt w:val="decimal"/>
      <w:lvlText w:val="%1."/>
      <w:lvlJc w:val="start"/>
      <w:pPr>
        <w:tabs>
          <w:tab w:val="num" w:pos="2204"/>
        </w:tabs>
        <w:ind w:start="2204" w:hanging="360"/>
      </w:pPr>
      <w:rPr/>
    </w:lvl>
    <w:lvl w:ilvl="1">
      <w:start w:val="1"/>
      <w:numFmt w:val="decimal"/>
      <w:lvlText w:val="%1.%2."/>
      <w:lvlJc w:val="start"/>
      <w:pPr>
        <w:tabs>
          <w:tab w:val="num" w:pos="253"/>
        </w:tabs>
        <w:ind w:start="253" w:hanging="432"/>
      </w:pPr>
      <w:rPr/>
    </w:lvl>
    <w:lvl w:ilvl="2">
      <w:start w:val="1"/>
      <w:numFmt w:val="decimal"/>
      <w:lvlText w:val="%3."/>
      <w:lvlJc w:val="start"/>
      <w:pPr>
        <w:tabs>
          <w:tab w:val="num" w:pos="901"/>
        </w:tabs>
        <w:ind w:start="685" w:hanging="504"/>
      </w:pPr>
      <w:rPr/>
    </w:lvl>
    <w:lvl w:ilvl="3">
      <w:start w:val="1"/>
      <w:numFmt w:val="decimal"/>
      <w:lvlText w:val="%4.%2.%1.%3."/>
      <w:lvlJc w:val="start"/>
      <w:pPr>
        <w:tabs>
          <w:tab w:val="num" w:pos="1261"/>
        </w:tabs>
        <w:ind w:start="1189" w:hanging="648"/>
      </w:pPr>
      <w:rPr/>
    </w:lvl>
    <w:lvl w:ilvl="4">
      <w:start w:val="1"/>
      <w:numFmt w:val="decimal"/>
      <w:lvlText w:val="%1.%2.%3.%4.%5."/>
      <w:lvlJc w:val="start"/>
      <w:pPr>
        <w:tabs>
          <w:tab w:val="num" w:pos="1981"/>
        </w:tabs>
        <w:ind w:start="1693" w:hanging="792"/>
      </w:pPr>
      <w:rPr/>
    </w:lvl>
    <w:lvl w:ilvl="5">
      <w:start w:val="1"/>
      <w:numFmt w:val="decimal"/>
      <w:lvlText w:val="%1.%2.%3.%4.%5.%6."/>
      <w:lvlJc w:val="start"/>
      <w:pPr>
        <w:tabs>
          <w:tab w:val="num" w:pos="2341"/>
        </w:tabs>
        <w:ind w:start="2197" w:hanging="936"/>
      </w:pPr>
      <w:rPr/>
    </w:lvl>
    <w:lvl w:ilvl="6">
      <w:start w:val="1"/>
      <w:numFmt w:val="decimal"/>
      <w:lvlText w:val="%1.%2.%3.%4.%5.%6.%7."/>
      <w:lvlJc w:val="start"/>
      <w:pPr>
        <w:tabs>
          <w:tab w:val="num" w:pos="3061"/>
        </w:tabs>
        <w:ind w:start="2701" w:hanging="1080"/>
      </w:pPr>
      <w:rPr/>
    </w:lvl>
    <w:lvl w:ilvl="7">
      <w:start w:val="1"/>
      <w:numFmt w:val="decimal"/>
      <w:lvlText w:val="%1.%2.%3.%4.%5.%6.%7.%8."/>
      <w:lvlJc w:val="start"/>
      <w:pPr>
        <w:tabs>
          <w:tab w:val="num" w:pos="3421"/>
        </w:tabs>
        <w:ind w:start="3205" w:hanging="1224"/>
      </w:pPr>
      <w:rPr/>
    </w:lvl>
    <w:lvl w:ilvl="8">
      <w:start w:val="1"/>
      <w:numFmt w:val="decimal"/>
      <w:lvlText w:val="%1.%2.%3.%4.%5.%6.%7.%8.%9."/>
      <w:lvlJc w:val="start"/>
      <w:pPr>
        <w:tabs>
          <w:tab w:val="num" w:pos="4141"/>
        </w:tabs>
        <w:ind w:start="3781" w:hanging="1440"/>
      </w:pPr>
      <w:rPr/>
    </w:lvl>
  </w:abstractNum>
  <w:abstractNum w:abstractNumId="39">
    <w:lvl w:ilvl="0">
      <w:start w:val="1"/>
      <w:numFmt w:val="decimal"/>
      <w:lvlText w:val="%1."/>
      <w:lvlJc w:val="start"/>
      <w:pPr>
        <w:tabs>
          <w:tab w:val="num" w:pos="2204"/>
        </w:tabs>
        <w:ind w:start="2204" w:hanging="360"/>
      </w:pPr>
      <w:rPr/>
    </w:lvl>
    <w:lvl w:ilvl="1">
      <w:start w:val="1"/>
      <w:numFmt w:val="decimal"/>
      <w:lvlText w:val="%1.%2."/>
      <w:lvlJc w:val="start"/>
      <w:pPr>
        <w:tabs>
          <w:tab w:val="num" w:pos="253"/>
        </w:tabs>
        <w:ind w:start="253" w:hanging="432"/>
      </w:pPr>
      <w:rPr/>
    </w:lvl>
    <w:lvl w:ilvl="2">
      <w:start w:val="1"/>
      <w:numFmt w:val="decimal"/>
      <w:lvlText w:val="%3."/>
      <w:lvlJc w:val="start"/>
      <w:pPr>
        <w:tabs>
          <w:tab w:val="num" w:pos="901"/>
        </w:tabs>
        <w:ind w:start="685" w:hanging="504"/>
      </w:pPr>
      <w:rPr/>
    </w:lvl>
    <w:lvl w:ilvl="3">
      <w:start w:val="1"/>
      <w:numFmt w:val="decimal"/>
      <w:lvlText w:val="%4.%2.%1.%3."/>
      <w:lvlJc w:val="start"/>
      <w:pPr>
        <w:tabs>
          <w:tab w:val="num" w:pos="1261"/>
        </w:tabs>
        <w:ind w:start="1189" w:hanging="648"/>
      </w:pPr>
      <w:rPr/>
    </w:lvl>
    <w:lvl w:ilvl="4">
      <w:start w:val="1"/>
      <w:numFmt w:val="decimal"/>
      <w:lvlText w:val="%1.%2.%3.%4.%5."/>
      <w:lvlJc w:val="start"/>
      <w:pPr>
        <w:tabs>
          <w:tab w:val="num" w:pos="1981"/>
        </w:tabs>
        <w:ind w:start="1693" w:hanging="792"/>
      </w:pPr>
      <w:rPr/>
    </w:lvl>
    <w:lvl w:ilvl="5">
      <w:start w:val="1"/>
      <w:numFmt w:val="decimal"/>
      <w:lvlText w:val="%1.%2.%3.%4.%5.%6."/>
      <w:lvlJc w:val="start"/>
      <w:pPr>
        <w:tabs>
          <w:tab w:val="num" w:pos="2341"/>
        </w:tabs>
        <w:ind w:start="2197" w:hanging="936"/>
      </w:pPr>
      <w:rPr/>
    </w:lvl>
    <w:lvl w:ilvl="6">
      <w:start w:val="1"/>
      <w:numFmt w:val="decimal"/>
      <w:lvlText w:val="%1.%2.%3.%4.%5.%6.%7."/>
      <w:lvlJc w:val="start"/>
      <w:pPr>
        <w:tabs>
          <w:tab w:val="num" w:pos="3061"/>
        </w:tabs>
        <w:ind w:start="2701" w:hanging="1080"/>
      </w:pPr>
      <w:rPr/>
    </w:lvl>
    <w:lvl w:ilvl="7">
      <w:start w:val="1"/>
      <w:numFmt w:val="decimal"/>
      <w:lvlText w:val="%1.%2.%3.%4.%5.%6.%7.%8."/>
      <w:lvlJc w:val="start"/>
      <w:pPr>
        <w:tabs>
          <w:tab w:val="num" w:pos="3421"/>
        </w:tabs>
        <w:ind w:start="3205" w:hanging="1224"/>
      </w:pPr>
      <w:rPr/>
    </w:lvl>
    <w:lvl w:ilvl="8">
      <w:start w:val="1"/>
      <w:numFmt w:val="decimal"/>
      <w:lvlText w:val="%1.%2.%3.%4.%5.%6.%7.%8.%9."/>
      <w:lvlJc w:val="start"/>
      <w:pPr>
        <w:tabs>
          <w:tab w:val="num" w:pos="4141"/>
        </w:tabs>
        <w:ind w:start="3781" w:hanging="1440"/>
      </w:pPr>
      <w:rPr/>
    </w:lvl>
  </w:abstractNum>
  <w:abstractNum w:abstractNumId="40">
    <w:lvl w:ilvl="0">
      <w:start w:val="1"/>
      <w:numFmt w:val="decimal"/>
      <w:lvlText w:val="%1."/>
      <w:lvlJc w:val="start"/>
      <w:pPr>
        <w:tabs>
          <w:tab w:val="num" w:pos="2204"/>
        </w:tabs>
        <w:ind w:start="2204" w:hanging="360"/>
      </w:pPr>
      <w:rPr/>
    </w:lvl>
    <w:lvl w:ilvl="1">
      <w:start w:val="1"/>
      <w:numFmt w:val="decimal"/>
      <w:lvlText w:val="%1.%2."/>
      <w:lvlJc w:val="start"/>
      <w:pPr>
        <w:tabs>
          <w:tab w:val="num" w:pos="253"/>
        </w:tabs>
        <w:ind w:start="253" w:hanging="432"/>
      </w:pPr>
      <w:rPr/>
    </w:lvl>
    <w:lvl w:ilvl="2">
      <w:start w:val="1"/>
      <w:numFmt w:val="decimal"/>
      <w:lvlText w:val="%3."/>
      <w:lvlJc w:val="start"/>
      <w:pPr>
        <w:tabs>
          <w:tab w:val="num" w:pos="901"/>
        </w:tabs>
        <w:ind w:start="685" w:hanging="504"/>
      </w:pPr>
      <w:rPr/>
    </w:lvl>
    <w:lvl w:ilvl="3">
      <w:start w:val="1"/>
      <w:numFmt w:val="decimal"/>
      <w:lvlText w:val="%4.%2.%1.%3."/>
      <w:lvlJc w:val="start"/>
      <w:pPr>
        <w:tabs>
          <w:tab w:val="num" w:pos="1261"/>
        </w:tabs>
        <w:ind w:start="1189" w:hanging="648"/>
      </w:pPr>
      <w:rPr/>
    </w:lvl>
    <w:lvl w:ilvl="4">
      <w:start w:val="1"/>
      <w:numFmt w:val="decimal"/>
      <w:lvlText w:val="%1.%2.%3.%4.%5."/>
      <w:lvlJc w:val="start"/>
      <w:pPr>
        <w:tabs>
          <w:tab w:val="num" w:pos="1981"/>
        </w:tabs>
        <w:ind w:start="1693" w:hanging="792"/>
      </w:pPr>
      <w:rPr/>
    </w:lvl>
    <w:lvl w:ilvl="5">
      <w:start w:val="1"/>
      <w:numFmt w:val="decimal"/>
      <w:lvlText w:val="%1.%2.%3.%4.%5.%6."/>
      <w:lvlJc w:val="start"/>
      <w:pPr>
        <w:tabs>
          <w:tab w:val="num" w:pos="2341"/>
        </w:tabs>
        <w:ind w:start="2197" w:hanging="936"/>
      </w:pPr>
      <w:rPr/>
    </w:lvl>
    <w:lvl w:ilvl="6">
      <w:start w:val="1"/>
      <w:numFmt w:val="decimal"/>
      <w:lvlText w:val="%1.%2.%3.%4.%5.%6.%7."/>
      <w:lvlJc w:val="start"/>
      <w:pPr>
        <w:tabs>
          <w:tab w:val="num" w:pos="3061"/>
        </w:tabs>
        <w:ind w:start="2701" w:hanging="1080"/>
      </w:pPr>
      <w:rPr/>
    </w:lvl>
    <w:lvl w:ilvl="7">
      <w:start w:val="1"/>
      <w:numFmt w:val="decimal"/>
      <w:lvlText w:val="%1.%2.%3.%4.%5.%6.%7.%8."/>
      <w:lvlJc w:val="start"/>
      <w:pPr>
        <w:tabs>
          <w:tab w:val="num" w:pos="3421"/>
        </w:tabs>
        <w:ind w:start="3205" w:hanging="1224"/>
      </w:pPr>
      <w:rPr/>
    </w:lvl>
    <w:lvl w:ilvl="8">
      <w:start w:val="1"/>
      <w:numFmt w:val="decimal"/>
      <w:lvlText w:val="%1.%2.%3.%4.%5.%6.%7.%8.%9."/>
      <w:lvlJc w:val="start"/>
      <w:pPr>
        <w:tabs>
          <w:tab w:val="num" w:pos="4141"/>
        </w:tabs>
        <w:ind w:start="3781" w:hanging="1440"/>
      </w:pPr>
      <w:rPr/>
    </w:lvl>
  </w:abstractNum>
  <w:abstractNum w:abstractNumId="41">
    <w:lvl w:ilvl="0">
      <w:start w:val="1"/>
      <w:numFmt w:val="decimal"/>
      <w:lvlText w:val="%1."/>
      <w:lvlJc w:val="start"/>
      <w:pPr>
        <w:tabs>
          <w:tab w:val="num" w:pos="2204"/>
        </w:tabs>
        <w:ind w:start="2204" w:hanging="360"/>
      </w:pPr>
      <w:rPr/>
    </w:lvl>
    <w:lvl w:ilvl="1">
      <w:start w:val="1"/>
      <w:numFmt w:val="decimal"/>
      <w:lvlText w:val="%1.%2."/>
      <w:lvlJc w:val="start"/>
      <w:pPr>
        <w:tabs>
          <w:tab w:val="num" w:pos="253"/>
        </w:tabs>
        <w:ind w:start="253" w:hanging="432"/>
      </w:pPr>
      <w:rPr/>
    </w:lvl>
    <w:lvl w:ilvl="2">
      <w:start w:val="1"/>
      <w:numFmt w:val="decimal"/>
      <w:lvlText w:val="%3."/>
      <w:lvlJc w:val="start"/>
      <w:pPr>
        <w:tabs>
          <w:tab w:val="num" w:pos="901"/>
        </w:tabs>
        <w:ind w:start="685" w:hanging="504"/>
      </w:pPr>
      <w:rPr/>
    </w:lvl>
    <w:lvl w:ilvl="3">
      <w:start w:val="1"/>
      <w:numFmt w:val="decimal"/>
      <w:lvlText w:val="%4.%2.%1.%3."/>
      <w:lvlJc w:val="start"/>
      <w:pPr>
        <w:tabs>
          <w:tab w:val="num" w:pos="1261"/>
        </w:tabs>
        <w:ind w:start="1189" w:hanging="648"/>
      </w:pPr>
      <w:rPr/>
    </w:lvl>
    <w:lvl w:ilvl="4">
      <w:start w:val="1"/>
      <w:numFmt w:val="decimal"/>
      <w:lvlText w:val="%1.%2.%3.%4.%5."/>
      <w:lvlJc w:val="start"/>
      <w:pPr>
        <w:tabs>
          <w:tab w:val="num" w:pos="1981"/>
        </w:tabs>
        <w:ind w:start="1693" w:hanging="792"/>
      </w:pPr>
      <w:rPr/>
    </w:lvl>
    <w:lvl w:ilvl="5">
      <w:start w:val="1"/>
      <w:numFmt w:val="decimal"/>
      <w:lvlText w:val="%1.%2.%3.%4.%5.%6."/>
      <w:lvlJc w:val="start"/>
      <w:pPr>
        <w:tabs>
          <w:tab w:val="num" w:pos="2341"/>
        </w:tabs>
        <w:ind w:start="2197" w:hanging="936"/>
      </w:pPr>
      <w:rPr/>
    </w:lvl>
    <w:lvl w:ilvl="6">
      <w:start w:val="1"/>
      <w:numFmt w:val="decimal"/>
      <w:lvlText w:val="%1.%2.%3.%4.%5.%6.%7."/>
      <w:lvlJc w:val="start"/>
      <w:pPr>
        <w:tabs>
          <w:tab w:val="num" w:pos="3061"/>
        </w:tabs>
        <w:ind w:start="2701" w:hanging="1080"/>
      </w:pPr>
      <w:rPr/>
    </w:lvl>
    <w:lvl w:ilvl="7">
      <w:start w:val="1"/>
      <w:numFmt w:val="decimal"/>
      <w:lvlText w:val="%1.%2.%3.%4.%5.%6.%7.%8."/>
      <w:lvlJc w:val="start"/>
      <w:pPr>
        <w:tabs>
          <w:tab w:val="num" w:pos="3421"/>
        </w:tabs>
        <w:ind w:start="3205" w:hanging="1224"/>
      </w:pPr>
      <w:rPr/>
    </w:lvl>
    <w:lvl w:ilvl="8">
      <w:start w:val="1"/>
      <w:numFmt w:val="decimal"/>
      <w:lvlText w:val="%1.%2.%3.%4.%5.%6.%7.%8.%9."/>
      <w:lvlJc w:val="start"/>
      <w:pPr>
        <w:tabs>
          <w:tab w:val="num" w:pos="4141"/>
        </w:tabs>
        <w:ind w:start="3781" w:hanging="1440"/>
      </w:pPr>
      <w:rPr/>
    </w:lvl>
  </w:abstractNum>
  <w:abstractNum w:abstractNumId="42">
    <w:lvl w:ilvl="0">
      <w:start w:val="1"/>
      <w:numFmt w:val="decimal"/>
      <w:lvlText w:val="%1."/>
      <w:lvlJc w:val="start"/>
      <w:pPr>
        <w:tabs>
          <w:tab w:val="num" w:pos="2204"/>
        </w:tabs>
        <w:ind w:start="2204" w:hanging="360"/>
      </w:pPr>
      <w:rPr/>
    </w:lvl>
    <w:lvl w:ilvl="1">
      <w:start w:val="1"/>
      <w:numFmt w:val="decimal"/>
      <w:lvlText w:val="%1.%2."/>
      <w:lvlJc w:val="start"/>
      <w:pPr>
        <w:tabs>
          <w:tab w:val="num" w:pos="253"/>
        </w:tabs>
        <w:ind w:start="253" w:hanging="432"/>
      </w:pPr>
      <w:rPr/>
    </w:lvl>
    <w:lvl w:ilvl="2">
      <w:start w:val="1"/>
      <w:numFmt w:val="decimal"/>
      <w:lvlText w:val="%3."/>
      <w:lvlJc w:val="start"/>
      <w:pPr>
        <w:tabs>
          <w:tab w:val="num" w:pos="901"/>
        </w:tabs>
        <w:ind w:start="685" w:hanging="504"/>
      </w:pPr>
      <w:rPr/>
    </w:lvl>
    <w:lvl w:ilvl="3">
      <w:start w:val="1"/>
      <w:numFmt w:val="decimal"/>
      <w:lvlText w:val="%4.%2.%1.%3."/>
      <w:lvlJc w:val="start"/>
      <w:pPr>
        <w:tabs>
          <w:tab w:val="num" w:pos="1261"/>
        </w:tabs>
        <w:ind w:start="1189" w:hanging="648"/>
      </w:pPr>
      <w:rPr/>
    </w:lvl>
    <w:lvl w:ilvl="4">
      <w:start w:val="1"/>
      <w:numFmt w:val="decimal"/>
      <w:lvlText w:val="%1.%2.%3.%4.%5."/>
      <w:lvlJc w:val="start"/>
      <w:pPr>
        <w:tabs>
          <w:tab w:val="num" w:pos="1981"/>
        </w:tabs>
        <w:ind w:start="1693" w:hanging="792"/>
      </w:pPr>
      <w:rPr/>
    </w:lvl>
    <w:lvl w:ilvl="5">
      <w:start w:val="1"/>
      <w:numFmt w:val="decimal"/>
      <w:lvlText w:val="%1.%2.%3.%4.%5.%6."/>
      <w:lvlJc w:val="start"/>
      <w:pPr>
        <w:tabs>
          <w:tab w:val="num" w:pos="2341"/>
        </w:tabs>
        <w:ind w:start="2197" w:hanging="936"/>
      </w:pPr>
      <w:rPr/>
    </w:lvl>
    <w:lvl w:ilvl="6">
      <w:start w:val="1"/>
      <w:numFmt w:val="decimal"/>
      <w:lvlText w:val="%1.%2.%3.%4.%5.%6.%7."/>
      <w:lvlJc w:val="start"/>
      <w:pPr>
        <w:tabs>
          <w:tab w:val="num" w:pos="3061"/>
        </w:tabs>
        <w:ind w:start="2701" w:hanging="1080"/>
      </w:pPr>
      <w:rPr/>
    </w:lvl>
    <w:lvl w:ilvl="7">
      <w:start w:val="1"/>
      <w:numFmt w:val="decimal"/>
      <w:lvlText w:val="%1.%2.%3.%4.%5.%6.%7.%8."/>
      <w:lvlJc w:val="start"/>
      <w:pPr>
        <w:tabs>
          <w:tab w:val="num" w:pos="3421"/>
        </w:tabs>
        <w:ind w:start="3205" w:hanging="1224"/>
      </w:pPr>
      <w:rPr/>
    </w:lvl>
    <w:lvl w:ilvl="8">
      <w:start w:val="1"/>
      <w:numFmt w:val="decimal"/>
      <w:lvlText w:val="%1.%2.%3.%4.%5.%6.%7.%8.%9."/>
      <w:lvlJc w:val="start"/>
      <w:pPr>
        <w:tabs>
          <w:tab w:val="num" w:pos="4141"/>
        </w:tabs>
        <w:ind w:start="3781"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34"/>
    <w:lvlOverride w:ilvl="0">
      <w:startOverride w:val="1"/>
    </w:lvlOverride>
  </w:num>
  <w:num w:numId="44">
    <w:abstractNumId w:val="34"/>
  </w:num>
  <w:num w:numId="45">
    <w:abstractNumId w:val="34"/>
  </w:num>
  <w:num w:numId="46">
    <w:abstractNumId w:val="34"/>
  </w:num>
  <w:num w:numId="47">
    <w:abstractNumId w:val="34"/>
  </w:num>
  <w:num w:numId="48">
    <w:abstractNumId w:val="34"/>
  </w:num>
  <w:num w:numId="49">
    <w:abstractNumId w:val="34"/>
  </w:num>
  <w:num w:numId="50">
    <w:abstractNumId w:val="34"/>
  </w:num>
  <w:num w:numId="51">
    <w:abstractNumId w:val="34"/>
  </w:num>
</w:numbering>
</file>

<file path=word/settings.xml><?xml version="1.0" encoding="utf-8"?>
<w:settings xmlns:w="http://schemas.openxmlformats.org/wordprocessingml/2006/main">
  <w:zoom w:percent="110"/>
  <w:defaultTabStop w:val="708"/>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3407"/>
    <w:pPr>
      <w:widowControl/>
      <w:suppressAutoHyphens w:val="true"/>
      <w:bidi w:val="0"/>
      <w:spacing w:lineRule="auto" w:line="360" w:before="120" w:after="120"/>
      <w:ind w:hanging="357" w:start="357"/>
      <w:jc w:val="both"/>
    </w:pPr>
    <w:rPr>
      <w:rFonts w:ascii="Times New Roman" w:hAnsi="Times New Roman" w:eastAsia="Times New Roman" w:cs="Times New Roman"/>
      <w:color w:val="auto"/>
      <w:kern w:val="0"/>
      <w:sz w:val="22"/>
      <w:szCs w:val="22"/>
      <w:lang w:val="ru-RU" w:eastAsia="en-US" w:bidi="ar-SA"/>
    </w:rPr>
  </w:style>
  <w:style w:type="paragraph" w:styleId="Heading1">
    <w:name w:val="heading 1"/>
    <w:next w:val="Normal"/>
    <w:link w:val="1"/>
    <w:uiPriority w:val="9"/>
    <w:qFormat/>
    <w:pPr>
      <w:keepNext w:val="true"/>
      <w:keepLines/>
      <w:pageBreakBefore/>
      <w:widowControl/>
      <w:tabs>
        <w:tab w:val="clear" w:pos="708"/>
        <w:tab w:val="left" w:pos="1" w:leader="none"/>
        <w:tab w:val="left" w:pos="284" w:leader="none"/>
        <w:tab w:val="left" w:pos="568" w:leader="none"/>
        <w:tab w:val="left" w:pos="851" w:leader="none"/>
        <w:tab w:val="left" w:pos="1418" w:leader="none"/>
        <w:tab w:val="left" w:pos="1701" w:leader="none"/>
        <w:tab w:val="left" w:pos="1985" w:leader="none"/>
      </w:tabs>
      <w:suppressAutoHyphens w:val="true"/>
      <w:bidi w:val="0"/>
      <w:spacing w:lineRule="auto" w:line="360" w:before="120" w:after="120"/>
      <w:jc w:val="center"/>
      <w:outlineLvl w:val="0"/>
    </w:pPr>
    <w:rPr>
      <w:rFonts w:ascii="Times New Roman" w:hAnsi="Times New Roman" w:eastAsia="Times New Roman" w:cs="Times New Roman"/>
      <w:b/>
      <w:color w:val="auto"/>
      <w:kern w:val="0"/>
      <w:sz w:val="24"/>
      <w:szCs w:val="44"/>
      <w:lang w:val="ru-RU" w:eastAsia="ru-RU" w:bidi="ar-SA"/>
    </w:rPr>
  </w:style>
  <w:style w:type="paragraph" w:styleId="Heading2">
    <w:name w:val="heading 2"/>
    <w:next w:val="Normal"/>
    <w:link w:val="21"/>
    <w:uiPriority w:val="9"/>
    <w:qFormat/>
    <w:pPr>
      <w:keepNext w:val="true"/>
      <w:widowControl/>
      <w:tabs>
        <w:tab w:val="clear" w:pos="708"/>
        <w:tab w:val="left" w:pos="284" w:leader="none"/>
        <w:tab w:val="left" w:pos="568" w:leader="none"/>
        <w:tab w:val="left" w:pos="1418" w:leader="none"/>
        <w:tab w:val="left" w:pos="1701" w:leader="none"/>
        <w:tab w:val="left" w:pos="1985" w:leader="none"/>
      </w:tabs>
      <w:suppressAutoHyphens w:val="true"/>
      <w:bidi w:val="0"/>
      <w:spacing w:lineRule="auto" w:line="360" w:before="120" w:after="120"/>
      <w:ind w:hanging="357" w:start="357"/>
      <w:jc w:val="both"/>
      <w:outlineLvl w:val="1"/>
    </w:pPr>
    <w:rPr>
      <w:rFonts w:ascii="Times New Roman" w:hAnsi="Times New Roman" w:eastAsia="Arial Unicode MS" w:cs="Times New Roman"/>
      <w:color w:val="auto"/>
      <w:kern w:val="0"/>
      <w:sz w:val="28"/>
      <w:szCs w:val="44"/>
      <w:lang w:val="ru-RU" w:eastAsia="en-US" w:bidi="ar-SA"/>
    </w:rPr>
  </w:style>
  <w:style w:type="paragraph" w:styleId="Heading3">
    <w:name w:val="heading 3"/>
    <w:next w:val="Normal"/>
    <w:link w:val="3"/>
    <w:uiPriority w:val="9"/>
    <w:qFormat/>
    <w:pPr>
      <w:keepNext w:val="true"/>
      <w:keepLines/>
      <w:widowControl/>
      <w:tabs>
        <w:tab w:val="clear" w:pos="708"/>
        <w:tab w:val="left" w:pos="284" w:leader="none"/>
        <w:tab w:val="left" w:pos="568" w:leader="none"/>
        <w:tab w:val="left" w:pos="851" w:leader="none"/>
        <w:tab w:val="left" w:pos="1418" w:leader="none"/>
        <w:tab w:val="left" w:pos="1701" w:leader="none"/>
        <w:tab w:val="left" w:pos="1985" w:leader="none"/>
      </w:tabs>
      <w:suppressAutoHyphens w:val="true"/>
      <w:bidi w:val="0"/>
      <w:spacing w:lineRule="auto" w:line="360" w:before="120" w:after="120"/>
      <w:ind w:hanging="357" w:start="357"/>
      <w:contextualSpacing/>
      <w:jc w:val="both"/>
      <w:outlineLvl w:val="2"/>
    </w:pPr>
    <w:rPr>
      <w:rFonts w:ascii="Times New Roman" w:hAnsi="Times New Roman" w:eastAsia="Times New Roman" w:cs="Times New Roman"/>
      <w:color w:val="auto"/>
      <w:kern w:val="0"/>
      <w:sz w:val="28"/>
      <w:szCs w:val="38"/>
      <w:lang w:val="ru-RU" w:eastAsia="ru-RU" w:bidi="ar-SA"/>
    </w:rPr>
  </w:style>
  <w:style w:type="paragraph" w:styleId="Heading4">
    <w:name w:val="heading 4"/>
    <w:next w:val="Normal"/>
    <w:link w:val="4"/>
    <w:uiPriority w:val="9"/>
    <w:qFormat/>
    <w:pPr>
      <w:keepNext w:val="true"/>
      <w:keepLines/>
      <w:widowControl/>
      <w:tabs>
        <w:tab w:val="clear" w:pos="708"/>
        <w:tab w:val="left" w:pos="284" w:leader="none"/>
        <w:tab w:val="left" w:pos="568" w:leader="none"/>
        <w:tab w:val="left" w:pos="851" w:leader="none"/>
        <w:tab w:val="left" w:pos="1418" w:leader="none"/>
        <w:tab w:val="left" w:pos="1701" w:leader="none"/>
        <w:tab w:val="left" w:pos="1985" w:leader="none"/>
      </w:tabs>
      <w:suppressAutoHyphens w:val="true"/>
      <w:bidi w:val="0"/>
      <w:spacing w:lineRule="auto" w:line="360" w:before="240" w:after="240"/>
      <w:ind w:hanging="357" w:start="357"/>
      <w:jc w:val="both"/>
      <w:outlineLvl w:val="3"/>
    </w:pPr>
    <w:rPr>
      <w:rFonts w:ascii="Times New Roman" w:hAnsi="Times New Roman" w:eastAsia="Times New Roman" w:cs="Times New Roman"/>
      <w:color w:val="auto"/>
      <w:kern w:val="0"/>
      <w:sz w:val="28"/>
      <w:szCs w:val="28"/>
      <w:lang w:val="ru-RU" w:eastAsia="ru-RU" w:bidi="ar-SA"/>
    </w:rPr>
  </w:style>
  <w:style w:type="paragraph" w:styleId="Heading5">
    <w:name w:val="heading 5"/>
    <w:next w:val="Normal"/>
    <w:link w:val="5"/>
    <w:uiPriority w:val="9"/>
    <w:qFormat/>
    <w:pPr>
      <w:keepNext w:val="true"/>
      <w:keepLines/>
      <w:widowControl/>
      <w:tabs>
        <w:tab w:val="clear" w:pos="708"/>
        <w:tab w:val="left" w:pos="1" w:leader="none"/>
        <w:tab w:val="left" w:pos="284" w:leader="none"/>
        <w:tab w:val="left" w:pos="851" w:leader="none"/>
        <w:tab w:val="left" w:pos="1418" w:leader="none"/>
        <w:tab w:val="left" w:pos="1985" w:leader="none"/>
      </w:tabs>
      <w:suppressAutoHyphens w:val="true"/>
      <w:bidi w:val="0"/>
      <w:spacing w:lineRule="auto" w:line="360" w:before="240" w:after="120"/>
      <w:ind w:hanging="357" w:start="357"/>
      <w:jc w:val="both"/>
      <w:outlineLvl w:val="4"/>
    </w:pPr>
    <w:rPr>
      <w:rFonts w:ascii="Times New Roman" w:hAnsi="Times New Roman" w:eastAsia="Times New Roman" w:cs="Times New Roman"/>
      <w:color w:val="auto"/>
      <w:kern w:val="0"/>
      <w:sz w:val="28"/>
      <w:szCs w:val="28"/>
      <w:lang w:val="ru-RU" w:eastAsia="ru-RU" w:bidi="ar-SA"/>
    </w:rPr>
  </w:style>
  <w:style w:type="paragraph" w:styleId="Heading6">
    <w:name w:val="heading 6"/>
    <w:basedOn w:val="Normal"/>
    <w:next w:val="Normal"/>
    <w:link w:val="6"/>
    <w:uiPriority w:val="9"/>
    <w:qFormat/>
    <w:pPr>
      <w:keepNext w:val="true"/>
      <w:keepLines/>
      <w:tabs>
        <w:tab w:val="clear" w:pos="708"/>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pacing w:lineRule="auto" w:line="240" w:before="120" w:after="0"/>
      <w:outlineLvl w:val="5"/>
    </w:pPr>
    <w:rPr>
      <w:sz w:val="28"/>
      <w:lang w:eastAsia="ru-RU"/>
    </w:rPr>
  </w:style>
  <w:style w:type="paragraph" w:styleId="Heading7">
    <w:name w:val="heading 7"/>
    <w:next w:val="Normal"/>
    <w:link w:val="7"/>
    <w:uiPriority w:val="9"/>
    <w:qFormat/>
    <w:pPr>
      <w:keepNext w:val="true"/>
      <w:keepLines/>
      <w:widowControl/>
      <w:tabs>
        <w:tab w:val="clear" w:pos="708"/>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bidi w:val="0"/>
      <w:spacing w:lineRule="auto" w:line="360" w:before="120" w:after="120"/>
      <w:ind w:hanging="357" w:start="357"/>
      <w:jc w:val="both"/>
      <w:outlineLvl w:val="6"/>
    </w:pPr>
    <w:rPr>
      <w:rFonts w:ascii="Times New Roman" w:hAnsi="Times New Roman" w:eastAsia="Times New Roman" w:cs="Times New Roman"/>
      <w:color w:val="auto"/>
      <w:kern w:val="0"/>
      <w:sz w:val="28"/>
      <w:szCs w:val="22"/>
      <w:lang w:val="ru-RU" w:eastAsia="ru-RU" w:bidi="ar-SA"/>
    </w:rPr>
  </w:style>
  <w:style w:type="paragraph" w:styleId="Heading8">
    <w:name w:val="heading 8"/>
    <w:next w:val="Normal"/>
    <w:link w:val="8"/>
    <w:uiPriority w:val="9"/>
    <w:qFormat/>
    <w:pPr>
      <w:keepNext w:val="true"/>
      <w:keepLines/>
      <w:widowControl/>
      <w:tabs>
        <w:tab w:val="clear" w:pos="708"/>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bidi w:val="0"/>
      <w:spacing w:lineRule="auto" w:line="360" w:before="120" w:after="120"/>
      <w:ind w:hanging="357" w:start="357"/>
      <w:jc w:val="both"/>
      <w:outlineLvl w:val="7"/>
    </w:pPr>
    <w:rPr>
      <w:rFonts w:ascii="Times New Roman" w:hAnsi="Times New Roman" w:eastAsia="Times New Roman" w:cs="Times New Roman"/>
      <w:color w:val="auto"/>
      <w:kern w:val="0"/>
      <w:sz w:val="28"/>
      <w:szCs w:val="22"/>
      <w:lang w:val="ru-RU" w:eastAsia="ru-RU" w:bidi="ar-SA"/>
    </w:rPr>
  </w:style>
  <w:style w:type="paragraph" w:styleId="Heading9">
    <w:name w:val="heading 9"/>
    <w:next w:val="Normal"/>
    <w:link w:val="9"/>
    <w:uiPriority w:val="9"/>
    <w:qFormat/>
    <w:pPr>
      <w:keepNext w:val="true"/>
      <w:keepLines/>
      <w:widowControl/>
      <w:tabs>
        <w:tab w:val="clear" w:pos="708"/>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bidi w:val="0"/>
      <w:spacing w:lineRule="auto" w:line="360" w:before="120" w:after="120"/>
      <w:ind w:hanging="357" w:start="357"/>
      <w:jc w:val="both"/>
      <w:outlineLvl w:val="8"/>
    </w:pPr>
    <w:rPr>
      <w:rFonts w:ascii="Times New Roman" w:hAnsi="Times New Roman" w:eastAsia="Times New Roman" w:cs="Times New Roman"/>
      <w:color w:val="auto"/>
      <w:kern w:val="0"/>
      <w:sz w:val="28"/>
      <w:szCs w:val="22"/>
      <w:lang w:val="ru-RU" w:eastAsia="ru-RU" w:bidi="ar-SA"/>
    </w:rPr>
  </w:style>
  <w:style w:type="character" w:styleId="DefaultParagraphFont" w:default="1">
    <w:name w:val="Default Paragraph Font"/>
    <w:uiPriority w:val="1"/>
    <w:semiHidden/>
    <w:unhideWhenUsed/>
    <w:qFormat/>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EndnoteTextChar" w:customStyle="1">
    <w:name w:val="Endnote Text Char"/>
    <w:uiPriority w:val="99"/>
    <w:qFormat/>
    <w:rPr>
      <w:sz w:val="20"/>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Style8" w:customStyle="1">
    <w:name w:val="Текст концевой сноски Знак"/>
    <w:uiPriority w:val="99"/>
    <w:qFormat/>
    <w:rPr>
      <w:sz w:val="20"/>
    </w:rPr>
  </w:style>
  <w:style w:type="character" w:styleId="Style9" w:customStyle="1">
    <w:name w:val="Символ концевой сноски"/>
    <w:uiPriority w:val="99"/>
    <w:semiHidden/>
    <w:unhideWhenUsed/>
    <w:qFormat/>
    <w:rPr>
      <w:vertAlign w:val="superscript"/>
    </w:rPr>
  </w:style>
  <w:style w:type="character" w:styleId="user" w:customStyle="1">
    <w:name w:val="Символ концевой сноски (user)"/>
    <w:qFormat/>
    <w:rPr>
      <w:vertAlign w:val="superscript"/>
    </w:rPr>
  </w:style>
  <w:style w:type="character" w:styleId="EndnoteReference">
    <w:name w:val="endnote reference"/>
    <w:rPr>
      <w:vertAlign w:val="superscript"/>
    </w:rPr>
  </w:style>
  <w:style w:type="character" w:styleId="1" w:customStyle="1">
    <w:name w:val="Заголовок 1 Знак"/>
    <w:qFormat/>
    <w:rPr>
      <w:b/>
      <w:sz w:val="24"/>
      <w:szCs w:val="44"/>
    </w:rPr>
  </w:style>
  <w:style w:type="character" w:styleId="21" w:customStyle="1">
    <w:name w:val="Заголовок 2 Знак"/>
    <w:qFormat/>
    <w:rPr>
      <w:rFonts w:ascii="Times New Roman" w:hAnsi="Times New Roman" w:eastAsia="Arial Unicode MS" w:cs="Times New Roman"/>
      <w:sz w:val="28"/>
      <w:szCs w:val="44"/>
    </w:rPr>
  </w:style>
  <w:style w:type="character" w:styleId="3" w:customStyle="1">
    <w:name w:val="Заголовок 3 Знак"/>
    <w:qFormat/>
    <w:rPr>
      <w:rFonts w:ascii="Times New Roman" w:hAnsi="Times New Roman" w:eastAsia="Times New Roman" w:cs="Times New Roman"/>
      <w:sz w:val="28"/>
      <w:szCs w:val="38"/>
      <w:lang w:eastAsia="ru-RU"/>
    </w:rPr>
  </w:style>
  <w:style w:type="character" w:styleId="4" w:customStyle="1">
    <w:name w:val="Заголовок 4 Знак"/>
    <w:uiPriority w:val="9"/>
    <w:qFormat/>
    <w:rPr>
      <w:rFonts w:ascii="Times New Roman" w:hAnsi="Times New Roman" w:eastAsia="Times New Roman" w:cs="Times New Roman"/>
      <w:sz w:val="28"/>
      <w:szCs w:val="28"/>
      <w:lang w:eastAsia="ru-RU"/>
    </w:rPr>
  </w:style>
  <w:style w:type="character" w:styleId="5" w:customStyle="1">
    <w:name w:val="Заголовок 5 Знак"/>
    <w:uiPriority w:val="9"/>
    <w:qFormat/>
    <w:rPr>
      <w:rFonts w:ascii="Times New Roman" w:hAnsi="Times New Roman" w:eastAsia="Times New Roman" w:cs="Times New Roman"/>
      <w:sz w:val="28"/>
      <w:szCs w:val="28"/>
      <w:lang w:eastAsia="ru-RU"/>
    </w:rPr>
  </w:style>
  <w:style w:type="character" w:styleId="6" w:customStyle="1">
    <w:name w:val="Заголовок 6 Знак"/>
    <w:qFormat/>
    <w:rPr>
      <w:rFonts w:ascii="Times New Roman" w:hAnsi="Times New Roman" w:eastAsia="Times New Roman" w:cs="Times New Roman"/>
      <w:sz w:val="28"/>
      <w:lang w:eastAsia="ru-RU"/>
    </w:rPr>
  </w:style>
  <w:style w:type="character" w:styleId="7" w:customStyle="1">
    <w:name w:val="Заголовок 7 Знак"/>
    <w:uiPriority w:val="9"/>
    <w:qFormat/>
    <w:rPr>
      <w:rFonts w:ascii="Times New Roman" w:hAnsi="Times New Roman" w:eastAsia="Times New Roman" w:cs="Times New Roman"/>
      <w:sz w:val="28"/>
      <w:lang w:eastAsia="ru-RU"/>
    </w:rPr>
  </w:style>
  <w:style w:type="character" w:styleId="8" w:customStyle="1">
    <w:name w:val="Заголовок 8 Знак"/>
    <w:qFormat/>
    <w:rPr>
      <w:rFonts w:ascii="Times New Roman" w:hAnsi="Times New Roman" w:eastAsia="Times New Roman" w:cs="Times New Roman"/>
      <w:sz w:val="28"/>
      <w:lang w:eastAsia="ru-RU"/>
    </w:rPr>
  </w:style>
  <w:style w:type="character" w:styleId="9" w:customStyle="1">
    <w:name w:val="Заголовок 9 Знак"/>
    <w:qFormat/>
    <w:rPr>
      <w:rFonts w:ascii="Times New Roman" w:hAnsi="Times New Roman" w:eastAsia="Times New Roman" w:cs="Times New Roman"/>
      <w:sz w:val="28"/>
      <w:lang w:eastAsia="ru-RU"/>
    </w:rPr>
  </w:style>
  <w:style w:type="character" w:styleId="Style10" w:customStyle="1">
    <w:name w:val="Название объекта Знак"/>
    <w:qFormat/>
    <w:rPr>
      <w:i/>
      <w:iCs/>
      <w:color w:val="44546A"/>
      <w:sz w:val="18"/>
      <w:szCs w:val="18"/>
    </w:rPr>
  </w:style>
  <w:style w:type="character" w:styleId="Hyperlink">
    <w:name w:val="Hyperlink"/>
    <w:uiPriority w:val="99"/>
    <w:unhideWhenUsed/>
    <w:rPr>
      <w:color w:val="0563C1"/>
      <w:u w:val="single"/>
    </w:rPr>
  </w:style>
  <w:style w:type="character" w:styleId="Style11" w:customStyle="1">
    <w:name w:val="Верхний колонтитул Знак"/>
    <w:basedOn w:val="DefaultParagraphFont"/>
    <w:uiPriority w:val="99"/>
    <w:qFormat/>
    <w:rPr/>
  </w:style>
  <w:style w:type="character" w:styleId="Style12" w:customStyle="1">
    <w:name w:val="Нижний колонтитул Знак"/>
    <w:basedOn w:val="DefaultParagraphFont"/>
    <w:uiPriority w:val="99"/>
    <w:qFormat/>
    <w:rPr/>
  </w:style>
  <w:style w:type="character" w:styleId="11" w:customStyle="1">
    <w:name w:val="Должность 1 Знак"/>
    <w:link w:val="19"/>
    <w:qFormat/>
    <w:rPr>
      <w:rFonts w:ascii="Times New Roman" w:hAnsi="Times New Roman" w:eastAsia="Times New Roman"/>
      <w:sz w:val="27"/>
      <w:szCs w:val="27"/>
      <w:lang w:eastAsia="ar-SA"/>
    </w:rPr>
  </w:style>
  <w:style w:type="character" w:styleId="Emphasis">
    <w:name w:val="Emphasis"/>
    <w:qFormat/>
    <w:rPr>
      <w:rFonts w:ascii="Times New Roman" w:hAnsi="Times New Roman" w:cs="Times New Roman"/>
      <w:i/>
      <w:iCs/>
      <w:color w:val="auto"/>
    </w:rPr>
  </w:style>
  <w:style w:type="character" w:styleId="Style13" w:customStyle="1">
    <w:name w:val="Шапка таблицы (левое выравнивание) Знак"/>
    <w:link w:val="Style48"/>
    <w:qFormat/>
    <w:rPr>
      <w:rFonts w:ascii="Times New Roman" w:hAnsi="Times New Roman" w:eastAsia="Times New Roman" w:cs="Times New Roman"/>
      <w:b/>
      <w:bCs/>
      <w:sz w:val="24"/>
      <w:szCs w:val="18"/>
      <w:lang w:eastAsia="ru-RU"/>
    </w:rPr>
  </w:style>
  <w:style w:type="character" w:styleId="CommentReference">
    <w:name w:val="annotation reference"/>
    <w:uiPriority w:val="99"/>
    <w:qFormat/>
    <w:rPr>
      <w:sz w:val="16"/>
      <w:szCs w:val="16"/>
    </w:rPr>
  </w:style>
  <w:style w:type="character" w:styleId="Style14" w:customStyle="1">
    <w:name w:val="Текст примечания Знак"/>
    <w:qFormat/>
    <w:rPr>
      <w:rFonts w:ascii="Times New Roman" w:hAnsi="Times New Roman" w:eastAsia="Times New Roman" w:cs="Times New Roman"/>
      <w:sz w:val="28"/>
      <w:szCs w:val="20"/>
      <w:lang w:eastAsia="ru-RU"/>
    </w:rPr>
  </w:style>
  <w:style w:type="character" w:styleId="Style15" w:customStyle="1">
    <w:name w:val="Абзац списка Знак"/>
    <w:link w:val="ListParagraph"/>
    <w:uiPriority w:val="34"/>
    <w:qFormat/>
    <w:rPr>
      <w:rFonts w:ascii="Times New Roman" w:hAnsi="Times New Roman" w:eastAsia="Times New Roman" w:cs="Times New Roman"/>
      <w:sz w:val="24"/>
      <w:szCs w:val="24"/>
      <w:lang w:eastAsia="ru-RU"/>
    </w:rPr>
  </w:style>
  <w:style w:type="character" w:styleId="121" w:customStyle="1">
    <w:name w:val="Таблица 12пт 1 интервал Знак"/>
    <w:link w:val="1211"/>
    <w:qFormat/>
    <w:rPr>
      <w:rFonts w:ascii="Times New Roman" w:hAnsi="Times New Roman" w:eastAsia="Times New Roman" w:cs="Times New Roman"/>
      <w:sz w:val="24"/>
      <w:szCs w:val="20"/>
      <w:lang w:eastAsia="ru-RU"/>
    </w:rPr>
  </w:style>
  <w:style w:type="character" w:styleId="Style16" w:customStyle="1">
    <w:name w:val="Текст выноски Знак"/>
    <w:link w:val="BalloonText"/>
    <w:uiPriority w:val="99"/>
    <w:semiHidden/>
    <w:qFormat/>
    <w:rPr>
      <w:rFonts w:ascii="Segoe UI" w:hAnsi="Segoe UI" w:cs="Segoe UI"/>
      <w:sz w:val="18"/>
      <w:szCs w:val="18"/>
    </w:rPr>
  </w:style>
  <w:style w:type="character" w:styleId="Style17" w:customStyle="1">
    <w:name w:val="Тема примечания Знак"/>
    <w:link w:val="annotationsubject"/>
    <w:uiPriority w:val="99"/>
    <w:qFormat/>
    <w:rPr>
      <w:rFonts w:ascii="Times New Roman" w:hAnsi="Times New Roman" w:eastAsia="Times New Roman" w:cs="Times New Roman"/>
      <w:b/>
      <w:bCs/>
      <w:sz w:val="20"/>
      <w:szCs w:val="20"/>
      <w:lang w:eastAsia="ru-RU"/>
    </w:rPr>
  </w:style>
  <w:style w:type="character" w:styleId="12" w:customStyle="1">
    <w:name w:val="Неразрешенное упоминание1"/>
    <w:uiPriority w:val="99"/>
    <w:semiHidden/>
    <w:unhideWhenUsed/>
    <w:qFormat/>
    <w:rPr>
      <w:color w:val="605E5C"/>
      <w:shd w:fill="E1DFDD" w:val="clear"/>
    </w:rPr>
  </w:style>
  <w:style w:type="character" w:styleId="Listnum" w:customStyle="1">
    <w:name w:val="List_num Знак"/>
    <w:link w:val="Listnum1"/>
    <w:uiPriority w:val="99"/>
    <w:qFormat/>
    <w:rPr>
      <w:rFonts w:ascii="Times New Roman" w:hAnsi="Times New Roman" w:eastAsia="Times New Roman" w:cs="Times New Roman"/>
      <w:sz w:val="28"/>
      <w:szCs w:val="24"/>
    </w:rPr>
  </w:style>
  <w:style w:type="character" w:styleId="Strong">
    <w:name w:val="Strong"/>
    <w:qFormat/>
    <w:rPr>
      <w:rFonts w:ascii="Times New Roman" w:hAnsi="Times New Roman" w:cs="Times New Roman"/>
      <w:b/>
      <w:bCs/>
      <w:color w:val="auto"/>
    </w:rPr>
  </w:style>
  <w:style w:type="character" w:styleId="13" w:customStyle="1">
    <w:name w:val="Подпись 1 Знак"/>
    <w:link w:val="111"/>
    <w:qFormat/>
    <w:rPr>
      <w:rFonts w:ascii="Times New Roman" w:hAnsi="Times New Roman" w:eastAsia="Times New Roman"/>
      <w:b/>
      <w:sz w:val="27"/>
      <w:szCs w:val="27"/>
    </w:rPr>
  </w:style>
  <w:style w:type="character" w:styleId="Style18" w:customStyle="1">
    <w:name w:val="Обычный (тбл) Знак"/>
    <w:link w:val="Style49"/>
    <w:qFormat/>
    <w:rPr>
      <w:bCs/>
      <w:sz w:val="18"/>
      <w:szCs w:val="18"/>
      <w:lang w:eastAsia="en-US"/>
    </w:rPr>
  </w:style>
  <w:style w:type="character" w:styleId="22" w:customStyle="1">
    <w:name w:val="Маркированный список 2 Знак"/>
    <w:qFormat/>
    <w:rPr>
      <w:sz w:val="28"/>
      <w:szCs w:val="24"/>
    </w:rPr>
  </w:style>
  <w:style w:type="character" w:styleId="23" w:customStyle="1">
    <w:name w:val="Неразрешенное упоминание2"/>
    <w:uiPriority w:val="99"/>
    <w:semiHidden/>
    <w:unhideWhenUsed/>
    <w:qFormat/>
    <w:rPr>
      <w:color w:val="605E5C"/>
      <w:shd w:fill="E1DFDD" w:val="clear"/>
    </w:rPr>
  </w:style>
  <w:style w:type="character" w:styleId="Style19" w:customStyle="1">
    <w:name w:val="Стиль текста документа Знак"/>
    <w:qFormat/>
    <w:rPr>
      <w:rFonts w:ascii="Times New Roman" w:hAnsi="Times New Roman" w:eastAsia="Times New Roman"/>
      <w:sz w:val="28"/>
      <w:lang w:val="en-US" w:eastAsia="en-US"/>
    </w:rPr>
  </w:style>
  <w:style w:type="character" w:styleId="Style20" w:customStyle="1">
    <w:name w:val="Маркированный список (тбл) Знак"/>
    <w:link w:val="Style50"/>
    <w:qFormat/>
    <w:rPr>
      <w:rFonts w:ascii="Times New Roman" w:hAnsi="Times New Roman" w:eastAsia="Times New Roman"/>
      <w:bCs/>
      <w:sz w:val="18"/>
      <w:szCs w:val="18"/>
      <w:lang w:eastAsia="ru-RU"/>
    </w:rPr>
  </w:style>
  <w:style w:type="character" w:styleId="Style21" w:customStyle="1">
    <w:name w:val="!Обычный Знак"/>
    <w:link w:val="Style52"/>
    <w:qFormat/>
    <w:rPr>
      <w:rFonts w:ascii="Times New Roman" w:hAnsi="Times New Roman" w:eastAsia="Calibri" w:cs="Times New Roman"/>
      <w:sz w:val="28"/>
      <w:shd w:fill="FFFFFF" w:val="clear"/>
    </w:rPr>
  </w:style>
  <w:style w:type="character" w:styleId="Style22" w:customStyle="1">
    <w:name w:val="Таблица текст (левое выравнивание) Знак"/>
    <w:link w:val="Style53"/>
    <w:qFormat/>
    <w:rPr>
      <w:rFonts w:ascii="Times New Roman" w:hAnsi="Times New Roman" w:cs="Times New Roman"/>
      <w:sz w:val="24"/>
      <w:szCs w:val="24"/>
      <w:lang w:eastAsia="ru-RU"/>
    </w:rPr>
  </w:style>
  <w:style w:type="character" w:styleId="Style23" w:customStyle="1">
    <w:name w:val="Абзац с отступом Знак"/>
    <w:link w:val="Style44"/>
    <w:qFormat/>
    <w:rPr>
      <w:sz w:val="24"/>
      <w:szCs w:val="22"/>
      <w:lang w:eastAsia="en-US"/>
    </w:rPr>
  </w:style>
  <w:style w:type="character" w:styleId="Style24" w:customStyle="1">
    <w:name w:val="Название системы (титул) Знак"/>
    <w:link w:val="Style54"/>
    <w:qFormat/>
    <w:rPr>
      <w:rFonts w:ascii="Times New Roman Полужирный" w:hAnsi="Times New Roman Полужирный"/>
      <w:b/>
      <w:caps/>
      <w:sz w:val="28"/>
      <w:szCs w:val="24"/>
      <w:lang w:eastAsia="ru-RU"/>
    </w:rPr>
  </w:style>
  <w:style w:type="character" w:styleId="Style25" w:customStyle="1">
    <w:name w:val="Название документа (титул) Знак"/>
    <w:link w:val="Style55"/>
    <w:qFormat/>
    <w:rPr>
      <w:rFonts w:ascii="Times New Roman Полужирный" w:hAnsi="Times New Roman Полужирный"/>
      <w:b/>
      <w:sz w:val="24"/>
      <w:szCs w:val="22"/>
    </w:rPr>
  </w:style>
  <w:style w:type="character" w:styleId="Style26" w:customStyle="1">
    <w:name w:val="Обозначение документа (титул) Знак"/>
    <w:link w:val="Style56"/>
    <w:qFormat/>
    <w:rPr>
      <w:rFonts w:ascii="Times New Roman" w:hAnsi="Times New Roman"/>
      <w:sz w:val="28"/>
      <w:szCs w:val="24"/>
      <w:lang w:eastAsia="ru-RU"/>
    </w:rPr>
  </w:style>
  <w:style w:type="character" w:styleId="Style27" w:customStyle="1">
    <w:name w:val="Подвал (титул) Знак"/>
    <w:link w:val="Style57"/>
    <w:qFormat/>
    <w:rPr>
      <w:rFonts w:ascii="Times New Roman" w:hAnsi="Times New Roman" w:cs="Times New Roman"/>
      <w:sz w:val="28"/>
      <w:lang w:eastAsia="ru-RU"/>
    </w:rPr>
  </w:style>
  <w:style w:type="character" w:styleId="Style28" w:customStyle="1">
    <w:name w:val="Скрытый Знак"/>
    <w:link w:val="Style58"/>
    <w:qFormat/>
    <w:rPr>
      <w:rFonts w:ascii="Times New Roman" w:hAnsi="Times New Roman"/>
      <w:vanish/>
      <w:sz w:val="28"/>
    </w:rPr>
  </w:style>
  <w:style w:type="character" w:styleId="Style29" w:customStyle="1">
    <w:name w:val="Шапка таблицы (центрирование) Знак"/>
    <w:link w:val="Style59"/>
    <w:qFormat/>
    <w:rPr>
      <w:rFonts w:ascii="Times New Roman" w:hAnsi="Times New Roman" w:eastAsia="Times New Roman" w:cs="Times New Roman"/>
      <w:b/>
      <w:bCs/>
      <w:sz w:val="24"/>
      <w:szCs w:val="18"/>
      <w:lang w:eastAsia="ru-RU"/>
    </w:rPr>
  </w:style>
  <w:style w:type="character" w:styleId="Style30" w:customStyle="1">
    <w:name w:val="Таблица маркированный список Знак"/>
    <w:link w:val="Style60"/>
    <w:qFormat/>
    <w:rPr>
      <w:sz w:val="24"/>
      <w:szCs w:val="24"/>
      <w:lang w:eastAsia="en-US"/>
    </w:rPr>
  </w:style>
  <w:style w:type="character" w:styleId="24" w:customStyle="1">
    <w:name w:val="Маркированный список 2 уровень Знак"/>
    <w:link w:val="29"/>
    <w:qFormat/>
    <w:rPr>
      <w:sz w:val="24"/>
      <w:szCs w:val="22"/>
      <w:lang w:eastAsia="en-US"/>
    </w:rPr>
  </w:style>
  <w:style w:type="character" w:styleId="Style31" w:customStyle="1">
    <w:name w:val="Таблица текст (центрирование) Знак"/>
    <w:link w:val="Style61"/>
    <w:qFormat/>
    <w:rPr>
      <w:rFonts w:ascii="Times New Roman" w:hAnsi="Times New Roman" w:cs="Times New Roman"/>
      <w:sz w:val="24"/>
      <w:szCs w:val="24"/>
      <w:lang w:eastAsia="ru-RU"/>
    </w:rPr>
  </w:style>
  <w:style w:type="character" w:styleId="31" w:customStyle="1">
    <w:name w:val="Маркированный список 3 уровень Знак"/>
    <w:link w:val="36"/>
    <w:qFormat/>
    <w:rPr>
      <w:sz w:val="24"/>
      <w:szCs w:val="22"/>
      <w:lang w:eastAsia="en-US"/>
    </w:rPr>
  </w:style>
  <w:style w:type="character" w:styleId="51" w:customStyle="1">
    <w:name w:val="Основной текст (5)_"/>
    <w:link w:val="53"/>
    <w:qFormat/>
    <w:rPr>
      <w:rFonts w:ascii="Times New Roman" w:hAnsi="Times New Roman" w:cs="Times New Roman"/>
      <w:sz w:val="21"/>
      <w:szCs w:val="21"/>
      <w:shd w:fill="FFFFFF" w:val="clear"/>
    </w:rPr>
  </w:style>
  <w:style w:type="character" w:styleId="Style32" w:customStyle="1">
    <w:name w:val="Текст сноски Знак"/>
    <w:qFormat/>
    <w:rPr>
      <w:sz w:val="20"/>
      <w:szCs w:val="20"/>
    </w:rPr>
  </w:style>
  <w:style w:type="character" w:styleId="Style33" w:customStyle="1">
    <w:name w:val="Символ сноски"/>
    <w:unhideWhenUsed/>
    <w:qFormat/>
    <w:rPr>
      <w:vertAlign w:val="superscript"/>
    </w:rPr>
  </w:style>
  <w:style w:type="character" w:styleId="user1" w:customStyle="1">
    <w:name w:val="Символ сноски (user)"/>
    <w:qFormat/>
    <w:rPr>
      <w:vertAlign w:val="superscript"/>
    </w:rPr>
  </w:style>
  <w:style w:type="character" w:styleId="FootnoteReference">
    <w:name w:val="footnote reference"/>
    <w:rPr>
      <w:vertAlign w:val="superscript"/>
    </w:rPr>
  </w:style>
  <w:style w:type="character" w:styleId="FollowedHyperlink">
    <w:name w:val="FollowedHyperlink"/>
    <w:uiPriority w:val="99"/>
    <w:semiHidden/>
    <w:unhideWhenUsed/>
    <w:rPr>
      <w:color w:val="954F72"/>
      <w:u w:val="single"/>
    </w:rPr>
  </w:style>
  <w:style w:type="character" w:styleId="Style34" w:customStyle="1">
    <w:name w:val="Абзац Знак"/>
    <w:link w:val="Style51"/>
    <w:qFormat/>
    <w:rPr>
      <w:rFonts w:ascii="Times New Roman" w:hAnsi="Times New Roman" w:eastAsia="Times New Roman" w:cs="Times New Roman"/>
      <w:sz w:val="24"/>
      <w:szCs w:val="24"/>
      <w:lang w:eastAsia="ru-RU"/>
    </w:rPr>
  </w:style>
  <w:style w:type="character" w:styleId="14" w:customStyle="1">
    <w:name w:val="Маркир 1 Знак"/>
    <w:link w:val="114"/>
    <w:qFormat/>
    <w:rPr>
      <w:rFonts w:eastAsia="Calibri"/>
      <w:sz w:val="24"/>
      <w:szCs w:val="28"/>
      <w:lang w:eastAsia="en-US"/>
    </w:rPr>
  </w:style>
  <w:style w:type="character" w:styleId="Style35" w:customStyle="1">
    <w:name w:val="_Согласовано Знак"/>
    <w:link w:val="Style62"/>
    <w:qFormat/>
    <w:rPr>
      <w:rFonts w:ascii="Times New Roman Полужирный" w:hAnsi="Times New Roman Полужирный"/>
      <w:b/>
      <w:bCs/>
      <w:caps/>
      <w:sz w:val="28"/>
      <w:szCs w:val="24"/>
    </w:rPr>
  </w:style>
  <w:style w:type="character" w:styleId="main" w:customStyle="1">
    <w:name w:val="@main Знак"/>
    <w:link w:val="main1"/>
    <w:qFormat/>
    <w:rPr>
      <w:rFonts w:eastAsia="SimSun"/>
      <w:sz w:val="24"/>
      <w:szCs w:val="22"/>
      <w:lang w:eastAsia="en-US"/>
    </w:rPr>
  </w:style>
  <w:style w:type="character" w:styleId="pril" w:customStyle="1">
    <w:name w:val="@pril Знак"/>
    <w:link w:val="pril1"/>
    <w:qFormat/>
    <w:rPr>
      <w:b/>
      <w:bCs/>
      <w:sz w:val="24"/>
      <w:szCs w:val="24"/>
    </w:rPr>
  </w:style>
  <w:style w:type="character" w:styleId="25" w:customStyle="1">
    <w:name w:val="Маркир 2 Знак"/>
    <w:link w:val="211"/>
    <w:qFormat/>
    <w:rPr>
      <w:rFonts w:eastAsia="Calibri"/>
      <w:sz w:val="28"/>
      <w:szCs w:val="28"/>
      <w:lang w:eastAsia="en-US"/>
    </w:rPr>
  </w:style>
  <w:style w:type="character" w:styleId="PageNumber">
    <w:name w:val="page number"/>
    <w:rPr/>
  </w:style>
  <w:style w:type="character" w:styleId="Style36" w:customStyle="1">
    <w:name w:val="_ОБР_Основной текст Знак"/>
    <w:basedOn w:val="DefaultParagraphFont"/>
    <w:link w:val="Style64"/>
    <w:uiPriority w:val="99"/>
    <w:qFormat/>
    <w:rPr>
      <w:sz w:val="24"/>
    </w:rPr>
  </w:style>
  <w:style w:type="character" w:styleId="32" w:customStyle="1">
    <w:name w:val="Неразрешенное упоминание3"/>
    <w:basedOn w:val="DefaultParagraphFont"/>
    <w:uiPriority w:val="99"/>
    <w:semiHidden/>
    <w:unhideWhenUsed/>
    <w:qFormat/>
    <w:rPr>
      <w:color w:val="605E5C"/>
      <w:shd w:fill="E1DFDD" w:val="clear"/>
    </w:rPr>
  </w:style>
  <w:style w:type="character" w:styleId="cf01" w:customStyle="1">
    <w:name w:val="cf01"/>
    <w:basedOn w:val="DefaultParagraphFont"/>
    <w:qFormat/>
    <w:rPr>
      <w:rFonts w:ascii="Segoe UI" w:hAnsi="Segoe UI" w:cs="Segoe UI"/>
      <w:sz w:val="18"/>
      <w:szCs w:val="18"/>
    </w:rPr>
  </w:style>
  <w:style w:type="character" w:styleId="MGCommon" w:customStyle="1">
    <w:name w:val="MG_Common Знак"/>
    <w:link w:val="MGCommon1"/>
    <w:qFormat/>
    <w:rPr>
      <w:rFonts w:eastAsia="MS Mincho"/>
      <w:sz w:val="28"/>
      <w:szCs w:val="22"/>
      <w:lang w:eastAsia="ko-KR"/>
    </w:rPr>
  </w:style>
  <w:style w:type="character" w:styleId="Style37" w:customStyle="1">
    <w:name w:val="@Абзац Знак"/>
    <w:basedOn w:val="DefaultParagraphFont"/>
    <w:link w:val="Style66"/>
    <w:qFormat/>
    <w:rPr>
      <w:rFonts w:eastAsia="Arial" w:eastAsiaTheme="majorEastAsia"/>
      <w:sz w:val="24"/>
      <w:szCs w:val="24"/>
      <w:lang w:eastAsia="en-US"/>
    </w:rPr>
  </w:style>
  <w:style w:type="character" w:styleId="Style38" w:customStyle="1">
    <w:name w:val="@Комментарий Знак"/>
    <w:basedOn w:val="Style37"/>
    <w:link w:val="Style67"/>
    <w:qFormat/>
    <w:rPr>
      <w:rFonts w:eastAsia="Arial" w:eastAsiaTheme="majorEastAsia"/>
      <w:i/>
      <w:sz w:val="24"/>
      <w:szCs w:val="24"/>
      <w:lang w:eastAsia="en-US"/>
    </w:rPr>
  </w:style>
  <w:style w:type="character" w:styleId="41" w:customStyle="1">
    <w:name w:val="Неразрешенное упоминание4"/>
    <w:basedOn w:val="DefaultParagraphFont"/>
    <w:uiPriority w:val="99"/>
    <w:semiHidden/>
    <w:unhideWhenUsed/>
    <w:qFormat/>
    <w:rsid w:val="00433269"/>
    <w:rPr>
      <w:color w:val="605E5C"/>
      <w:shd w:fill="E1DFDD" w:val="clear"/>
    </w:rPr>
  </w:style>
  <w:style w:type="character" w:styleId="-" w:customStyle="1">
    <w:name w:val="Н-обычный Знак"/>
    <w:link w:val="-3"/>
    <w:qFormat/>
    <w:rsid w:val="00bb201c"/>
    <w:rPr>
      <w:rFonts w:eastAsia="Arial Unicode MS"/>
      <w:sz w:val="24"/>
      <w:szCs w:val="24"/>
      <w:lang w:eastAsia="en-US"/>
    </w:rPr>
  </w:style>
  <w:style w:type="character" w:styleId="Style39" w:customStyle="1">
    <w:name w:val="Основной текст Знак"/>
    <w:basedOn w:val="DefaultParagraphFont"/>
    <w:uiPriority w:val="99"/>
    <w:semiHidden/>
    <w:qFormat/>
    <w:rsid w:val="00bb201c"/>
    <w:rPr>
      <w:sz w:val="22"/>
      <w:szCs w:val="22"/>
      <w:lang w:eastAsia="en-US"/>
    </w:rPr>
  </w:style>
  <w:style w:type="character" w:styleId="Style40" w:customStyle="1">
    <w:name w:val="Ссылка указателя"/>
    <w:qFormat/>
    <w:rPr/>
  </w:style>
  <w:style w:type="paragraph" w:styleId="Style41">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Style39"/>
    <w:uiPriority w:val="99"/>
    <w:semiHidden/>
    <w:unhideWhenUsed/>
    <w:rsid w:val="00bb201c"/>
    <w:pPr/>
    <w:rPr/>
  </w:style>
  <w:style w:type="paragraph" w:styleId="List">
    <w:name w:val="List"/>
    <w:basedOn w:val="BodyText"/>
    <w:pPr/>
    <w:rPr>
      <w:rFonts w:cs="Noto Sans"/>
    </w:rPr>
  </w:style>
  <w:style w:type="paragraph" w:styleId="Caption">
    <w:name w:val="caption"/>
    <w:basedOn w:val="Normal"/>
    <w:next w:val="Normal"/>
    <w:link w:val="Style10"/>
    <w:unhideWhenUsed/>
    <w:qFormat/>
    <w:pPr>
      <w:spacing w:lineRule="auto" w:line="240" w:before="120" w:after="200"/>
    </w:pPr>
    <w:rPr>
      <w:i/>
      <w:iCs/>
      <w:color w:val="44546A"/>
      <w:sz w:val="18"/>
      <w:szCs w:val="18"/>
    </w:rPr>
  </w:style>
  <w:style w:type="paragraph" w:styleId="Style42">
    <w:name w:val="Указатель"/>
    <w:basedOn w:val="Normal"/>
    <w:qFormat/>
    <w:pPr>
      <w:suppressLineNumbers/>
    </w:pPr>
    <w:rPr>
      <w:rFonts w:cs="Noto Sans"/>
    </w:rPr>
  </w:style>
  <w:style w:type="paragraph" w:styleId="user2" w:customStyle="1">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3" w:customStyle="1">
    <w:name w:val="Указатель (user)"/>
    <w:basedOn w:val="Normal"/>
    <w:qFormat/>
    <w:pPr>
      <w:suppressLineNumbers/>
    </w:pPr>
    <w:rPr>
      <w:rFonts w:cs="Noto Sans"/>
    </w:rPr>
  </w:style>
  <w:style w:type="paragraph" w:styleId="Title">
    <w:name w:val="Title"/>
    <w:basedOn w:val="Normal"/>
    <w:next w:val="BodyText"/>
    <w:link w:val="Style5"/>
    <w:uiPriority w:val="10"/>
    <w:qFormat/>
    <w:pPr>
      <w:spacing w:before="300" w:after="200"/>
      <w:contextualSpacing/>
    </w:pPr>
    <w:rPr>
      <w:sz w:val="48"/>
      <w:szCs w:val="48"/>
    </w:rPr>
  </w:style>
  <w:style w:type="paragraph" w:styleId="IndexHeading">
    <w:name w:val="index heading"/>
    <w:basedOn w:val="Title"/>
    <w:pPr/>
    <w:rPr/>
  </w:style>
  <w:style w:type="paragraph" w:styleId="NoSpacing">
    <w:name w:val="No Spacing"/>
    <w:uiPriority w:val="1"/>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EndnoteText">
    <w:name w:val="endnote text"/>
    <w:basedOn w:val="Normal"/>
    <w:link w:val="Style8"/>
    <w:uiPriority w:val="99"/>
    <w:semiHidden/>
    <w:unhideWhenUsed/>
    <w:pPr>
      <w:spacing w:lineRule="auto" w:line="240" w:before="120" w:after="0"/>
    </w:pPr>
    <w:rPr>
      <w:sz w:val="20"/>
    </w:rPr>
  </w:style>
  <w:style w:type="paragraph" w:styleId="TableofFigures">
    <w:name w:val="table of figures"/>
    <w:basedOn w:val="Normal"/>
    <w:next w:val="Normal"/>
    <w:uiPriority w:val="99"/>
    <w:unhideWhenUsed/>
    <w:pPr>
      <w:spacing w:before="120" w:after="0"/>
    </w:pPr>
    <w:rPr/>
  </w:style>
  <w:style w:type="paragraph" w:styleId="Style43" w:customStyle="1">
    <w:name w:val="Заголовок без номера"/>
    <w:next w:val="Normal"/>
    <w:qFormat/>
    <w:pPr>
      <w:keepNext w:val="true"/>
      <w:pageBreakBefore/>
      <w:widowControl/>
      <w:suppressAutoHyphens w:val="true"/>
      <w:bidi w:val="0"/>
      <w:spacing w:lineRule="auto" w:line="360" w:before="120" w:after="240"/>
      <w:ind w:hanging="357" w:start="357"/>
      <w:jc w:val="center"/>
    </w:pPr>
    <w:rPr>
      <w:rFonts w:ascii="Times New Roman Полужирный" w:hAnsi="Times New Roman Полужирный" w:eastAsia="Times New Roman" w:cs="Times New Roman"/>
      <w:b/>
      <w:color w:val="auto"/>
      <w:kern w:val="0"/>
      <w:sz w:val="28"/>
      <w:szCs w:val="28"/>
      <w:lang w:val="ru-RU" w:eastAsia="en-US" w:bidi="ar-SA"/>
    </w:rPr>
  </w:style>
  <w:style w:type="paragraph" w:styleId="15" w:customStyle="1">
    <w:name w:val="Заголовок 1 уровня"/>
    <w:next w:val="Style44"/>
    <w:qFormat/>
    <w:pPr>
      <w:keepNext w:val="true"/>
      <w:pageBreakBefore/>
      <w:widowControl/>
      <w:numPr>
        <w:ilvl w:val="0"/>
        <w:numId w:val="1"/>
      </w:numPr>
      <w:suppressAutoHyphens w:val="true"/>
      <w:bidi w:val="0"/>
      <w:spacing w:lineRule="auto" w:line="480" w:before="120" w:after="240"/>
      <w:jc w:val="both"/>
      <w:outlineLvl w:val="0"/>
    </w:pPr>
    <w:rPr>
      <w:rFonts w:ascii="Times New Roman Полужирный" w:hAnsi="Times New Roman Полужирный" w:eastAsia="Times New Roman" w:cs="Times New Roman"/>
      <w:b/>
      <w:color w:val="auto"/>
      <w:kern w:val="0"/>
      <w:sz w:val="24"/>
      <w:szCs w:val="22"/>
      <w:lang w:val="ru-RU" w:eastAsia="en-US" w:bidi="ar-SA"/>
    </w:rPr>
  </w:style>
  <w:style w:type="paragraph" w:styleId="Style44" w:customStyle="1">
    <w:name w:val="Абзац с отступом"/>
    <w:link w:val="Style23"/>
    <w:qFormat/>
    <w:pPr>
      <w:widowControl/>
      <w:suppressAutoHyphens w:val="true"/>
      <w:bidi w:val="0"/>
      <w:spacing w:lineRule="auto" w:line="360" w:before="0" w:after="0"/>
      <w:ind w:firstLine="709"/>
      <w:contextualSpacing/>
      <w:jc w:val="both"/>
    </w:pPr>
    <w:rPr>
      <w:rFonts w:ascii="Times New Roman" w:hAnsi="Times New Roman" w:eastAsia="Times New Roman" w:cs="Times New Roman"/>
      <w:color w:val="auto"/>
      <w:kern w:val="0"/>
      <w:sz w:val="24"/>
      <w:szCs w:val="22"/>
      <w:lang w:val="ru-RU" w:eastAsia="en-US" w:bidi="ar-SA"/>
    </w:rPr>
  </w:style>
  <w:style w:type="paragraph" w:styleId="26" w:customStyle="1">
    <w:name w:val="Заголовок 2 уровня"/>
    <w:next w:val="Style44"/>
    <w:qFormat/>
    <w:pPr>
      <w:keepNext w:val="true"/>
      <w:widowControl/>
      <w:numPr>
        <w:ilvl w:val="1"/>
        <w:numId w:val="1"/>
      </w:numPr>
      <w:suppressAutoHyphens w:val="true"/>
      <w:bidi w:val="0"/>
      <w:spacing w:lineRule="auto" w:line="360" w:before="120" w:after="120"/>
      <w:jc w:val="both"/>
      <w:outlineLvl w:val="1"/>
    </w:pPr>
    <w:rPr>
      <w:rFonts w:ascii="Times New Roman Полужирный" w:hAnsi="Times New Roman Полужирный" w:eastAsia="Times New Roman" w:cs="Times New Roman"/>
      <w:b/>
      <w:color w:val="auto"/>
      <w:kern w:val="0"/>
      <w:sz w:val="24"/>
      <w:szCs w:val="22"/>
      <w:lang w:val="ru-RU" w:eastAsia="en-US" w:bidi="ar-SA"/>
    </w:rPr>
  </w:style>
  <w:style w:type="paragraph" w:styleId="33" w:customStyle="1">
    <w:name w:val="Заголовок 3 уровня"/>
    <w:next w:val="Style44"/>
    <w:qFormat/>
    <w:pPr>
      <w:keepNext w:val="true"/>
      <w:widowControl/>
      <w:numPr>
        <w:ilvl w:val="2"/>
        <w:numId w:val="1"/>
      </w:numPr>
      <w:tabs>
        <w:tab w:val="clear" w:pos="708"/>
        <w:tab w:val="left" w:pos="1560" w:leader="none"/>
      </w:tabs>
      <w:suppressAutoHyphens w:val="true"/>
      <w:bidi w:val="0"/>
      <w:spacing w:lineRule="auto" w:line="360" w:before="240" w:after="240"/>
      <w:jc w:val="both"/>
      <w:outlineLvl w:val="2"/>
    </w:pPr>
    <w:rPr>
      <w:rFonts w:ascii="Times New Roman Полужирный" w:hAnsi="Times New Roman Полужирный" w:eastAsia="Times New Roman" w:cs="Times New Roman"/>
      <w:b/>
      <w:color w:val="auto"/>
      <w:kern w:val="0"/>
      <w:sz w:val="24"/>
      <w:szCs w:val="22"/>
      <w:lang w:val="ru-RU" w:eastAsia="en-US" w:bidi="ar-SA"/>
    </w:rPr>
  </w:style>
  <w:style w:type="paragraph" w:styleId="42" w:customStyle="1">
    <w:name w:val="Заголовок 4 уровня"/>
    <w:next w:val="Style44"/>
    <w:qFormat/>
    <w:pPr>
      <w:keepNext w:val="true"/>
      <w:widowControl/>
      <w:numPr>
        <w:ilvl w:val="3"/>
        <w:numId w:val="1"/>
      </w:numPr>
      <w:tabs>
        <w:tab w:val="clear" w:pos="708"/>
        <w:tab w:val="left" w:pos="993" w:leader="none"/>
      </w:tabs>
      <w:suppressAutoHyphens w:val="true"/>
      <w:bidi w:val="0"/>
      <w:spacing w:before="0" w:after="0"/>
      <w:jc w:val="both"/>
      <w:outlineLvl w:val="3"/>
    </w:pPr>
    <w:rPr>
      <w:rFonts w:ascii="Times New Roman" w:hAnsi="Times New Roman" w:eastAsia="Times New Roman" w:cs="Times New Roman"/>
      <w:b/>
      <w:color w:val="auto"/>
      <w:kern w:val="0"/>
      <w:sz w:val="24"/>
      <w:szCs w:val="22"/>
      <w:lang w:val="ru-RU" w:eastAsia="en-US" w:bidi="ar-SA"/>
    </w:rPr>
  </w:style>
  <w:style w:type="paragraph" w:styleId="52" w:customStyle="1">
    <w:name w:val="Заголовок 5 уровня"/>
    <w:next w:val="Style44"/>
    <w:qFormat/>
    <w:pPr>
      <w:keepNext w:val="true"/>
      <w:keepLines/>
      <w:widowControl/>
      <w:numPr>
        <w:ilvl w:val="4"/>
        <w:numId w:val="1"/>
      </w:numPr>
      <w:suppressAutoHyphens w:val="true"/>
      <w:bidi w:val="0"/>
      <w:spacing w:lineRule="auto" w:line="360" w:before="240" w:after="240"/>
      <w:jc w:val="both"/>
      <w:outlineLvl w:val="4"/>
    </w:pPr>
    <w:rPr>
      <w:rFonts w:ascii="Times New Roman" w:hAnsi="Times New Roman" w:eastAsia="Times New Roman" w:cs="Times New Roman"/>
      <w:color w:val="auto"/>
      <w:kern w:val="0"/>
      <w:sz w:val="28"/>
      <w:szCs w:val="22"/>
      <w:lang w:val="ru-RU" w:eastAsia="en-US" w:bidi="ar-SA"/>
    </w:rPr>
  </w:style>
  <w:style w:type="paragraph" w:styleId="Style45" w:customStyle="1">
    <w:name w:val="Подпись под рисунком"/>
    <w:next w:val="Style44"/>
    <w:qFormat/>
    <w:pPr>
      <w:widowControl/>
      <w:suppressAutoHyphens w:val="true"/>
      <w:bidi w:val="0"/>
      <w:spacing w:lineRule="auto" w:line="360" w:before="120" w:after="360"/>
      <w:ind w:hanging="357" w:start="357"/>
      <w:jc w:val="center"/>
    </w:pPr>
    <w:rPr>
      <w:rFonts w:ascii="Times New Roman" w:hAnsi="Times New Roman" w:eastAsia="Times New Roman" w:cs="Times New Roman"/>
      <w:iCs/>
      <w:color w:val="auto"/>
      <w:kern w:val="0"/>
      <w:sz w:val="24"/>
      <w:szCs w:val="24"/>
      <w:lang w:val="ru-RU" w:eastAsia="en-US" w:bidi="ar-SA"/>
    </w:rPr>
  </w:style>
  <w:style w:type="paragraph" w:styleId="Style46" w:customStyle="1">
    <w:name w:val="Наименование Табл."/>
    <w:next w:val="Style44"/>
    <w:qFormat/>
    <w:pPr>
      <w:keepNext w:val="true"/>
      <w:widowControl/>
      <w:suppressAutoHyphens w:val="true"/>
      <w:bidi w:val="0"/>
      <w:spacing w:lineRule="auto" w:line="360" w:before="240" w:after="120"/>
      <w:ind w:hanging="357" w:start="851" w:end="-1"/>
      <w:jc w:val="both"/>
    </w:pPr>
    <w:rPr>
      <w:rFonts w:ascii="Times New Roman" w:hAnsi="Times New Roman" w:eastAsia="Times New Roman" w:cs="Times New Roman"/>
      <w:iCs/>
      <w:color w:val="auto"/>
      <w:kern w:val="0"/>
      <w:sz w:val="24"/>
      <w:szCs w:val="24"/>
      <w:lang w:val="ru-RU" w:eastAsia="en-US" w:bidi="ar-SA"/>
    </w:rPr>
  </w:style>
  <w:style w:type="paragraph" w:styleId="16" w:customStyle="1">
    <w:name w:val="Маркированный список 1 уровня"/>
    <w:qFormat/>
    <w:pPr>
      <w:widowControl/>
      <w:suppressAutoHyphens w:val="true"/>
      <w:bidi w:val="0"/>
      <w:spacing w:lineRule="auto" w:line="360" w:before="120" w:after="120"/>
      <w:ind w:hanging="357" w:start="357"/>
      <w:jc w:val="both"/>
    </w:pPr>
    <w:rPr>
      <w:rFonts w:ascii="Times New Roman" w:hAnsi="Times New Roman" w:eastAsia="Times New Roman" w:cs="Times New Roman"/>
      <w:color w:val="auto"/>
      <w:kern w:val="0"/>
      <w:sz w:val="28"/>
      <w:szCs w:val="22"/>
      <w:lang w:val="ru-RU" w:eastAsia="en-US" w:bidi="ar-SA"/>
    </w:rPr>
  </w:style>
  <w:style w:type="paragraph" w:styleId="27" w:customStyle="1">
    <w:name w:val="Маркированный список 2 уровня"/>
    <w:qFormat/>
    <w:pPr>
      <w:widowControl/>
      <w:numPr>
        <w:ilvl w:val="0"/>
        <w:numId w:val="2"/>
      </w:numPr>
      <w:suppressAutoHyphens w:val="true"/>
      <w:bidi w:val="0"/>
      <w:spacing w:lineRule="auto" w:line="360" w:before="120" w:after="120"/>
      <w:jc w:val="both"/>
    </w:pPr>
    <w:rPr>
      <w:rFonts w:ascii="Times New Roman" w:hAnsi="Times New Roman" w:eastAsia="Times New Roman" w:cs="Times New Roman"/>
      <w:color w:val="auto"/>
      <w:kern w:val="0"/>
      <w:sz w:val="28"/>
      <w:szCs w:val="22"/>
      <w:lang w:val="ru-RU" w:eastAsia="en-US" w:bidi="ar-SA"/>
    </w:rPr>
  </w:style>
  <w:style w:type="paragraph" w:styleId="34" w:customStyle="1">
    <w:name w:val="Маркированный список 3 уровня"/>
    <w:qFormat/>
    <w:pPr>
      <w:widowControl/>
      <w:numPr>
        <w:ilvl w:val="1"/>
        <w:numId w:val="2"/>
      </w:numPr>
      <w:suppressAutoHyphens w:val="true"/>
      <w:bidi w:val="0"/>
      <w:spacing w:lineRule="auto" w:line="360" w:before="120" w:after="120"/>
      <w:jc w:val="both"/>
    </w:pPr>
    <w:rPr>
      <w:rFonts w:ascii="Times New Roman" w:hAnsi="Times New Roman" w:eastAsia="Times New Roman" w:cs="Times New Roman"/>
      <w:color w:val="auto"/>
      <w:kern w:val="0"/>
      <w:sz w:val="28"/>
      <w:szCs w:val="22"/>
      <w:lang w:val="ru-RU" w:eastAsia="en-US" w:bidi="ar-SA"/>
    </w:rPr>
  </w:style>
  <w:style w:type="paragraph" w:styleId="17" w:customStyle="1">
    <w:name w:val="Нумерованный список 1 уровня"/>
    <w:qFormat/>
    <w:pPr>
      <w:widowControl/>
      <w:numPr>
        <w:ilvl w:val="0"/>
        <w:numId w:val="3"/>
      </w:numPr>
      <w:tabs>
        <w:tab w:val="clear" w:pos="708"/>
        <w:tab w:val="left" w:pos="1701" w:leader="none"/>
      </w:tabs>
      <w:suppressAutoHyphens w:val="true"/>
      <w:bidi w:val="0"/>
      <w:spacing w:lineRule="auto" w:line="360" w:before="120" w:after="120"/>
      <w:ind w:hanging="357" w:start="1570"/>
      <w:jc w:val="both"/>
    </w:pPr>
    <w:rPr>
      <w:rFonts w:ascii="Times New Roman" w:hAnsi="Times New Roman" w:eastAsia="Times New Roman" w:cs="Times New Roman"/>
      <w:color w:val="auto"/>
      <w:kern w:val="0"/>
      <w:sz w:val="28"/>
      <w:szCs w:val="22"/>
      <w:lang w:val="ru-RU" w:eastAsia="en-US" w:bidi="ar-SA"/>
    </w:rPr>
  </w:style>
  <w:style w:type="paragraph" w:styleId="28" w:customStyle="1">
    <w:name w:val="Нумерованный список 2 уровня"/>
    <w:qFormat/>
    <w:pPr>
      <w:widowControl/>
      <w:numPr>
        <w:ilvl w:val="1"/>
        <w:numId w:val="3"/>
      </w:numPr>
      <w:suppressAutoHyphens w:val="true"/>
      <w:bidi w:val="0"/>
      <w:spacing w:lineRule="auto" w:line="360" w:before="120" w:after="120"/>
      <w:ind w:hanging="357" w:start="2290"/>
      <w:jc w:val="both"/>
    </w:pPr>
    <w:rPr>
      <w:rFonts w:ascii="Times New Roman" w:hAnsi="Times New Roman" w:eastAsia="Times New Roman" w:cs="Times New Roman"/>
      <w:color w:val="auto"/>
      <w:kern w:val="0"/>
      <w:sz w:val="28"/>
      <w:szCs w:val="22"/>
      <w:lang w:val="en-US" w:eastAsia="en-US" w:bidi="ar-SA"/>
    </w:rPr>
  </w:style>
  <w:style w:type="paragraph" w:styleId="35" w:customStyle="1">
    <w:name w:val="Нумерованный список 3 уровня"/>
    <w:qFormat/>
    <w:pPr>
      <w:widowControl/>
      <w:numPr>
        <w:ilvl w:val="2"/>
        <w:numId w:val="3"/>
      </w:numPr>
      <w:suppressAutoHyphens w:val="true"/>
      <w:bidi w:val="0"/>
      <w:spacing w:lineRule="auto" w:line="360" w:before="120" w:after="120"/>
      <w:ind w:hanging="181" w:start="3010"/>
      <w:jc w:val="both"/>
    </w:pPr>
    <w:rPr>
      <w:rFonts w:ascii="Times New Roman" w:hAnsi="Times New Roman" w:eastAsia="Times New Roman" w:cs="Times New Roman"/>
      <w:color w:val="auto"/>
      <w:kern w:val="0"/>
      <w:sz w:val="28"/>
      <w:szCs w:val="22"/>
      <w:lang w:val="ru-RU" w:eastAsia="en-US" w:bidi="ar-SA"/>
    </w:rPr>
  </w:style>
  <w:style w:type="paragraph" w:styleId="18" w:customStyle="1">
    <w:name w:val="Заголовок 1 уровня без номера"/>
    <w:next w:val="Style44"/>
    <w:qFormat/>
    <w:pPr>
      <w:keepNext w:val="true"/>
      <w:pageBreakBefore/>
      <w:widowControl/>
      <w:suppressAutoHyphens w:val="true"/>
      <w:bidi w:val="0"/>
      <w:spacing w:lineRule="auto" w:line="360" w:before="240" w:after="240"/>
      <w:ind w:hanging="357" w:start="357"/>
      <w:jc w:val="center"/>
      <w:outlineLvl w:val="0"/>
    </w:pPr>
    <w:rPr>
      <w:rFonts w:ascii="Times New Roman Полужирный" w:hAnsi="Times New Roman Полужирный" w:eastAsia="Times New Roman" w:cs="Times New Roman"/>
      <w:b/>
      <w:caps/>
      <w:color w:val="auto"/>
      <w:kern w:val="0"/>
      <w:sz w:val="28"/>
      <w:szCs w:val="22"/>
      <w:lang w:val="ru-RU" w:eastAsia="en-US" w:bidi="ar-SA"/>
    </w:rPr>
  </w:style>
  <w:style w:type="paragraph" w:styleId="TOC1">
    <w:name w:val="toc 1"/>
    <w:basedOn w:val="Normal"/>
    <w:next w:val="Normal"/>
    <w:uiPriority w:val="39"/>
    <w:unhideWhenUsed/>
    <w:pPr>
      <w:tabs>
        <w:tab w:val="clear" w:pos="708"/>
        <w:tab w:val="left" w:pos="426" w:leader="none"/>
        <w:tab w:val="right" w:pos="10053" w:leader="dot"/>
      </w:tabs>
      <w:spacing w:lineRule="auto" w:line="240" w:before="0" w:after="0"/>
      <w:ind w:hanging="0" w:start="0"/>
    </w:pPr>
    <w:rPr>
      <w:rFonts w:ascii="Times New Roman Полужирный" w:hAnsi="Times New Roman Полужирный"/>
      <w:b/>
      <w:sz w:val="24"/>
    </w:rPr>
  </w:style>
  <w:style w:type="paragraph" w:styleId="TOC2">
    <w:name w:val="toc 2"/>
    <w:basedOn w:val="Normal"/>
    <w:next w:val="Normal"/>
    <w:uiPriority w:val="39"/>
    <w:unhideWhenUsed/>
    <w:pPr>
      <w:tabs>
        <w:tab w:val="clear" w:pos="708"/>
        <w:tab w:val="left" w:pos="567" w:leader="none"/>
        <w:tab w:val="right" w:pos="10053" w:leader="dot"/>
      </w:tabs>
      <w:spacing w:lineRule="auto" w:line="240" w:before="0" w:after="0"/>
      <w:ind w:hanging="0" w:start="0"/>
      <w:jc w:val="start"/>
    </w:pPr>
    <w:rPr>
      <w:sz w:val="24"/>
    </w:rPr>
  </w:style>
  <w:style w:type="paragraph" w:styleId="TOC3">
    <w:name w:val="toc 3"/>
    <w:basedOn w:val="Normal"/>
    <w:next w:val="Normal"/>
    <w:uiPriority w:val="39"/>
    <w:unhideWhenUsed/>
    <w:pPr>
      <w:tabs>
        <w:tab w:val="clear" w:pos="708"/>
        <w:tab w:val="left" w:pos="709" w:leader="none"/>
        <w:tab w:val="left" w:pos="1560" w:leader="none"/>
        <w:tab w:val="right" w:pos="10053" w:leader="dot"/>
      </w:tabs>
      <w:spacing w:lineRule="auto" w:line="240" w:before="0" w:after="0"/>
      <w:ind w:hanging="0" w:start="0"/>
    </w:pPr>
    <w:rPr>
      <w:sz w:val="24"/>
    </w:rPr>
  </w:style>
  <w:style w:type="paragraph" w:styleId="TOC4">
    <w:name w:val="toc 4"/>
    <w:basedOn w:val="Normal"/>
    <w:next w:val="Normal"/>
    <w:uiPriority w:val="39"/>
    <w:unhideWhenUsed/>
    <w:pPr>
      <w:tabs>
        <w:tab w:val="clear" w:pos="708"/>
        <w:tab w:val="left" w:pos="993" w:leader="none"/>
        <w:tab w:val="right" w:pos="10053" w:leader="dot"/>
      </w:tabs>
      <w:spacing w:lineRule="auto" w:line="240" w:before="0" w:after="0"/>
      <w:ind w:hanging="0" w:start="0"/>
    </w:pPr>
    <w:rPr>
      <w:sz w:val="24"/>
    </w:rPr>
  </w:style>
  <w:style w:type="paragraph" w:styleId="TOC5">
    <w:name w:val="toc 5"/>
    <w:basedOn w:val="Normal"/>
    <w:next w:val="Normal"/>
    <w:uiPriority w:val="39"/>
    <w:unhideWhenUsed/>
    <w:pPr>
      <w:spacing w:before="120" w:after="100"/>
      <w:ind w:hanging="992" w:start="1871"/>
    </w:pPr>
    <w:rPr>
      <w:sz w:val="24"/>
    </w:rPr>
  </w:style>
  <w:style w:type="paragraph" w:styleId="Style47" w:customStyle="1">
    <w:name w:val="Колонтитулы"/>
    <w:basedOn w:val="Normal"/>
    <w:qFormat/>
    <w:pPr/>
    <w:rPr/>
  </w:style>
  <w:style w:type="paragraph" w:styleId="user4" w:customStyle="1">
    <w:name w:val="Колонтитулы (user)"/>
    <w:basedOn w:val="Normal"/>
    <w:qFormat/>
    <w:pPr/>
    <w:rPr/>
  </w:style>
  <w:style w:type="paragraph" w:styleId="Header">
    <w:name w:val="header"/>
    <w:basedOn w:val="Normal"/>
    <w:link w:val="Style11"/>
    <w:uiPriority w:val="99"/>
    <w:unhideWhenUsed/>
    <w:pPr>
      <w:tabs>
        <w:tab w:val="clear" w:pos="708"/>
        <w:tab w:val="center" w:pos="4677" w:leader="none"/>
        <w:tab w:val="right" w:pos="9355" w:leader="none"/>
      </w:tabs>
      <w:spacing w:lineRule="auto" w:line="240" w:before="120" w:after="0"/>
    </w:pPr>
    <w:rPr/>
  </w:style>
  <w:style w:type="paragraph" w:styleId="Footer">
    <w:name w:val="footer"/>
    <w:basedOn w:val="Normal"/>
    <w:link w:val="Style12"/>
    <w:uiPriority w:val="99"/>
    <w:unhideWhenUsed/>
    <w:pPr>
      <w:tabs>
        <w:tab w:val="clear" w:pos="708"/>
        <w:tab w:val="center" w:pos="4677" w:leader="none"/>
        <w:tab w:val="right" w:pos="9355" w:leader="none"/>
      </w:tabs>
      <w:spacing w:lineRule="auto" w:line="240" w:before="120" w:after="0"/>
    </w:pPr>
    <w:rPr/>
  </w:style>
  <w:style w:type="paragraph" w:styleId="19" w:customStyle="1">
    <w:name w:val="Должность 1"/>
    <w:basedOn w:val="Normal"/>
    <w:link w:val="11"/>
    <w:qFormat/>
    <w:pPr>
      <w:spacing w:lineRule="auto" w:line="240" w:before="60" w:after="0"/>
      <w:ind w:firstLine="851"/>
    </w:pPr>
    <w:rPr>
      <w:sz w:val="27"/>
      <w:szCs w:val="27"/>
      <w:lang w:eastAsia="ar-SA"/>
    </w:rPr>
  </w:style>
  <w:style w:type="paragraph" w:styleId="110" w:customStyle="1">
    <w:name w:val="Резолюция 1"/>
    <w:basedOn w:val="Normal"/>
    <w:qFormat/>
    <w:pPr>
      <w:spacing w:lineRule="auto" w:line="240" w:before="120" w:after="60"/>
      <w:ind w:firstLine="851"/>
    </w:pPr>
    <w:rPr>
      <w:b/>
      <w:caps/>
      <w:sz w:val="27"/>
      <w:szCs w:val="27"/>
      <w:lang w:eastAsia="ru-RU"/>
    </w:rPr>
  </w:style>
  <w:style w:type="paragraph" w:styleId="Style48" w:customStyle="1">
    <w:name w:val="Шапка таблицы (левое выравнивание)"/>
    <w:basedOn w:val="Normal"/>
    <w:link w:val="Style13"/>
    <w:qFormat/>
    <w:pPr>
      <w:keepNext w:val="true"/>
      <w:spacing w:lineRule="auto" w:line="240"/>
    </w:pPr>
    <w:rPr>
      <w:b/>
      <w:bCs/>
      <w:sz w:val="24"/>
      <w:szCs w:val="18"/>
      <w:lang w:eastAsia="ru-RU"/>
    </w:rPr>
  </w:style>
  <w:style w:type="paragraph" w:styleId="CommentText">
    <w:name w:val="annotation text"/>
    <w:basedOn w:val="Normal"/>
    <w:link w:val="Style14"/>
    <w:qFormat/>
    <w:pPr>
      <w:spacing w:before="120" w:after="0"/>
      <w:ind w:firstLine="709" w:start="851"/>
    </w:pPr>
    <w:rPr>
      <w:sz w:val="28"/>
      <w:szCs w:val="20"/>
      <w:lang w:eastAsia="ru-RU"/>
    </w:rPr>
  </w:style>
  <w:style w:type="paragraph" w:styleId="ListParagraph">
    <w:name w:val="List Paragraph"/>
    <w:basedOn w:val="Normal"/>
    <w:link w:val="Style15"/>
    <w:uiPriority w:val="34"/>
    <w:qFormat/>
    <w:pPr>
      <w:spacing w:lineRule="auto" w:line="240" w:before="120" w:after="0"/>
      <w:ind w:start="708"/>
    </w:pPr>
    <w:rPr>
      <w:sz w:val="24"/>
      <w:szCs w:val="24"/>
      <w:lang w:eastAsia="ru-RU"/>
    </w:rPr>
  </w:style>
  <w:style w:type="paragraph" w:styleId="61" w:customStyle="1">
    <w:name w:val="Заголовок 6 уровня"/>
    <w:basedOn w:val="52"/>
    <w:qFormat/>
    <w:pPr>
      <w:numPr>
        <w:ilvl w:val="4"/>
        <w:numId w:val="1"/>
      </w:numPr>
    </w:pPr>
    <w:rPr/>
  </w:style>
  <w:style w:type="paragraph" w:styleId="1211" w:customStyle="1">
    <w:name w:val="Таблица 12пт 1 интервал"/>
    <w:basedOn w:val="Normal"/>
    <w:link w:val="121"/>
    <w:qFormat/>
    <w:pPr>
      <w:keepLines/>
      <w:widowControl w:val="false"/>
      <w:spacing w:lineRule="auto" w:line="240" w:before="60" w:after="60"/>
    </w:pPr>
    <w:rPr>
      <w:sz w:val="24"/>
      <w:szCs w:val="20"/>
      <w:lang w:eastAsia="ru-RU"/>
    </w:rPr>
  </w:style>
  <w:style w:type="paragraph" w:styleId="BalloonText">
    <w:name w:val="Balloon Text"/>
    <w:basedOn w:val="Normal"/>
    <w:link w:val="Style16"/>
    <w:uiPriority w:val="99"/>
    <w:semiHidden/>
    <w:unhideWhenUsed/>
    <w:qFormat/>
    <w:pPr>
      <w:spacing w:lineRule="auto" w:line="240" w:before="120" w:after="0"/>
    </w:pPr>
    <w:rPr>
      <w:rFonts w:ascii="Segoe UI" w:hAnsi="Segoe UI" w:cs="Segoe UI"/>
      <w:sz w:val="18"/>
      <w:szCs w:val="18"/>
    </w:rPr>
  </w:style>
  <w:style w:type="paragraph" w:styleId="TOC6">
    <w:name w:val="toc 6"/>
    <w:basedOn w:val="Normal"/>
    <w:next w:val="Normal"/>
    <w:uiPriority w:val="39"/>
    <w:unhideWhenUsed/>
    <w:pPr>
      <w:spacing w:before="120" w:after="100"/>
      <w:ind w:hanging="1134" w:start="2234"/>
    </w:pPr>
    <w:rPr>
      <w:i/>
      <w:sz w:val="24"/>
      <w:lang w:eastAsia="ru-RU"/>
    </w:rPr>
  </w:style>
  <w:style w:type="paragraph" w:styleId="TOC7">
    <w:name w:val="toc 7"/>
    <w:basedOn w:val="Normal"/>
    <w:next w:val="Normal"/>
    <w:uiPriority w:val="39"/>
    <w:unhideWhenUsed/>
    <w:pPr>
      <w:spacing w:before="120" w:after="100"/>
      <w:ind w:start="1320"/>
    </w:pPr>
    <w:rPr>
      <w:lang w:eastAsia="ru-RU"/>
    </w:rPr>
  </w:style>
  <w:style w:type="paragraph" w:styleId="TOC8">
    <w:name w:val="toc 8"/>
    <w:basedOn w:val="Normal"/>
    <w:next w:val="Normal"/>
    <w:uiPriority w:val="39"/>
    <w:unhideWhenUsed/>
    <w:pPr>
      <w:spacing w:before="120" w:after="100"/>
      <w:ind w:start="1540"/>
    </w:pPr>
    <w:rPr>
      <w:lang w:eastAsia="ru-RU"/>
    </w:rPr>
  </w:style>
  <w:style w:type="paragraph" w:styleId="TOC9">
    <w:name w:val="toc 9"/>
    <w:basedOn w:val="Normal"/>
    <w:next w:val="Normal"/>
    <w:uiPriority w:val="39"/>
    <w:unhideWhenUsed/>
    <w:pPr>
      <w:spacing w:before="120" w:after="100"/>
      <w:ind w:start="1760"/>
    </w:pPr>
    <w:rPr>
      <w:lang w:eastAsia="ru-RU"/>
    </w:rPr>
  </w:style>
  <w:style w:type="paragraph" w:styleId="annotationsubject">
    <w:name w:val="annotation subject"/>
    <w:basedOn w:val="CommentText"/>
    <w:next w:val="CommentText"/>
    <w:link w:val="Style17"/>
    <w:uiPriority w:val="99"/>
    <w:unhideWhenUsed/>
    <w:qFormat/>
    <w:pPr>
      <w:spacing w:lineRule="auto" w:line="240" w:before="120" w:after="160"/>
      <w:ind w:hanging="0" w:start="0"/>
      <w:jc w:val="start"/>
    </w:pPr>
    <w:rPr>
      <w:b/>
      <w:bCs/>
      <w:sz w:val="20"/>
      <w:lang w:eastAsia="en-US"/>
    </w:rPr>
  </w:style>
  <w:style w:type="paragraph" w:styleId="Listnum1" w:customStyle="1">
    <w:name w:val="List_num"/>
    <w:basedOn w:val="Normal"/>
    <w:link w:val="Listnum"/>
    <w:uiPriority w:val="99"/>
    <w:qFormat/>
    <w:pPr>
      <w:spacing w:before="120" w:after="0"/>
      <w:ind w:hanging="360" w:start="720"/>
    </w:pPr>
    <w:rPr>
      <w:sz w:val="28"/>
      <w:szCs w:val="24"/>
    </w:rPr>
  </w:style>
  <w:style w:type="paragraph" w:styleId="ListBullet">
    <w:name w:val="List Bullet"/>
    <w:basedOn w:val="Normal"/>
    <w:unhideWhenUsed/>
    <w:pPr>
      <w:numPr>
        <w:ilvl w:val="0"/>
        <w:numId w:val="10"/>
      </w:numPr>
      <w:spacing w:before="120" w:after="120"/>
      <w:contextualSpacing/>
    </w:pPr>
    <w:rPr>
      <w:sz w:val="28"/>
      <w:szCs w:val="28"/>
      <w:shd w:fill="FFFFFF" w:val="clear"/>
    </w:rPr>
  </w:style>
  <w:style w:type="paragraph" w:styleId="Style49" w:customStyle="1">
    <w:name w:val="Обычный (тбл)"/>
    <w:basedOn w:val="Normal"/>
    <w:link w:val="Style18"/>
    <w:qFormat/>
    <w:pPr>
      <w:spacing w:lineRule="auto" w:line="240" w:before="120" w:after="0"/>
      <w:ind w:hanging="0" w:start="0"/>
      <w:contextualSpacing/>
      <w:jc w:val="center"/>
    </w:pPr>
    <w:rPr>
      <w:bCs/>
      <w:sz w:val="18"/>
      <w:szCs w:val="18"/>
    </w:rPr>
  </w:style>
  <w:style w:type="paragraph" w:styleId="Style50" w:customStyle="1">
    <w:name w:val="Маркированный список (тбл)"/>
    <w:basedOn w:val="Normal"/>
    <w:link w:val="Style20"/>
    <w:qFormat/>
    <w:pPr>
      <w:spacing w:lineRule="auto" w:line="240" w:before="120" w:after="0"/>
      <w:contextualSpacing/>
    </w:pPr>
    <w:rPr>
      <w:bCs/>
      <w:sz w:val="18"/>
      <w:szCs w:val="18"/>
      <w:lang w:eastAsia="ru-RU"/>
    </w:rPr>
  </w:style>
  <w:style w:type="paragraph" w:styleId="111" w:customStyle="1">
    <w:name w:val="Подпись 1"/>
    <w:basedOn w:val="Normal"/>
    <w:link w:val="13"/>
    <w:qFormat/>
    <w:pPr>
      <w:spacing w:lineRule="auto" w:line="240" w:before="240" w:after="0"/>
      <w:ind w:firstLine="851"/>
    </w:pPr>
    <w:rPr>
      <w:b/>
      <w:sz w:val="27"/>
      <w:szCs w:val="27"/>
    </w:rPr>
  </w:style>
  <w:style w:type="paragraph" w:styleId="112" w:customStyle="1">
    <w:name w:val="Прощание1"/>
    <w:basedOn w:val="Heading7"/>
    <w:next w:val="Style44"/>
    <w:qFormat/>
    <w:pPr>
      <w:keepLines w:val="false"/>
      <w:pageBreakBefore/>
      <w:numPr>
        <w:ilvl w:val="0"/>
        <w:numId w:val="4"/>
      </w:numPr>
      <w:tabs>
        <w:tab w:val="clear" w:pos="284"/>
        <w:tab w:val="clear" w:pos="568"/>
        <w:tab w:val="clear" w:pos="851"/>
        <w:tab w:val="clear" w:pos="1134"/>
        <w:tab w:val="clear" w:pos="1418"/>
        <w:tab w:val="clear" w:pos="1701"/>
        <w:tab w:val="clear" w:pos="1985"/>
        <w:tab w:val="left" w:pos="1" w:leader="none"/>
        <w:tab w:val="left" w:pos="360" w:leader="none"/>
      </w:tabs>
      <w:spacing w:before="240" w:after="240"/>
      <w:ind w:firstLine="7371" w:start="0" w:end="-285"/>
      <w:outlineLvl w:val="0"/>
    </w:pPr>
    <w:rPr>
      <w:b/>
      <w:caps/>
      <w:sz w:val="32"/>
      <w:szCs w:val="24"/>
    </w:rPr>
  </w:style>
  <w:style w:type="paragraph" w:styleId="122" w:customStyle="1">
    <w:name w:val="Маркированный список 1 уровня2"/>
    <w:qFormat/>
    <w:pPr>
      <w:widowControl/>
      <w:numPr>
        <w:ilvl w:val="0"/>
        <w:numId w:val="5"/>
      </w:numPr>
      <w:suppressAutoHyphens w:val="true"/>
      <w:bidi w:val="0"/>
      <w:spacing w:before="0" w:after="0"/>
      <w:ind w:firstLine="709" w:start="0"/>
      <w:jc w:val="both"/>
    </w:pPr>
    <w:rPr>
      <w:rFonts w:ascii="Times New Roman" w:hAnsi="Times New Roman" w:eastAsia="Times New Roman" w:cs="Times New Roman"/>
      <w:color w:val="auto"/>
      <w:kern w:val="0"/>
      <w:sz w:val="28"/>
      <w:szCs w:val="22"/>
      <w:lang w:val="ru-RU" w:eastAsia="en-US" w:bidi="ar-SA"/>
    </w:rPr>
  </w:style>
  <w:style w:type="paragraph" w:styleId="ListBullet2">
    <w:name w:val="List Bullet 2"/>
    <w:basedOn w:val="Normal"/>
    <w:next w:val="34"/>
    <w:link w:val="22"/>
    <w:pPr>
      <w:numPr>
        <w:ilvl w:val="0"/>
        <w:numId w:val="6"/>
      </w:numPr>
      <w:tabs>
        <w:tab w:val="clear" w:pos="708"/>
        <w:tab w:val="left" w:pos="1985" w:leader="none"/>
      </w:tabs>
      <w:spacing w:before="120" w:after="0"/>
      <w:ind w:hanging="357" w:start="1775"/>
    </w:pPr>
    <w:rPr>
      <w:sz w:val="28"/>
      <w:szCs w:val="24"/>
      <w:lang w:eastAsia="ru-RU"/>
    </w:rPr>
  </w:style>
  <w:style w:type="paragraph" w:styleId="NormalWeb">
    <w:name w:val="Normal (Web)"/>
    <w:basedOn w:val="Normal"/>
    <w:uiPriority w:val="99"/>
    <w:qFormat/>
    <w:pPr>
      <w:spacing w:lineRule="auto" w:line="240" w:beforeAutospacing="1" w:afterAutospacing="1"/>
    </w:pPr>
    <w:rPr>
      <w:sz w:val="24"/>
      <w:szCs w:val="24"/>
      <w:lang w:eastAsia="ru-RU"/>
    </w:rPr>
  </w:style>
  <w:style w:type="paragraph" w:styleId="Style51" w:customStyle="1">
    <w:name w:val="Абзац"/>
    <w:basedOn w:val="Normal"/>
    <w:link w:val="Style34"/>
    <w:qFormat/>
    <w:pPr>
      <w:spacing w:before="120" w:after="0"/>
      <w:ind w:firstLine="709"/>
    </w:pPr>
    <w:rPr>
      <w:sz w:val="24"/>
      <w:szCs w:val="24"/>
      <w:lang w:eastAsia="ru-RU"/>
    </w:rPr>
  </w:style>
  <w:style w:type="paragraph" w:styleId="Style52" w:customStyle="1">
    <w:name w:val="!Обычный"/>
    <w:basedOn w:val="Normal"/>
    <w:link w:val="Style21"/>
    <w:qFormat/>
    <w:pPr>
      <w:widowControl w:val="false"/>
      <w:shd w:val="clear" w:color="auto" w:fill="FFFFFF"/>
      <w:spacing w:before="60" w:after="0"/>
      <w:ind w:firstLine="720"/>
    </w:pPr>
    <w:rPr>
      <w:rFonts w:eastAsia="Calibri"/>
      <w:sz w:val="28"/>
    </w:rPr>
  </w:style>
  <w:style w:type="paragraph" w:styleId="Style53" w:customStyle="1">
    <w:name w:val="Таблица текст (левое выравнивание)"/>
    <w:basedOn w:val="Normal"/>
    <w:link w:val="Style22"/>
    <w:qFormat/>
    <w:pPr>
      <w:spacing w:lineRule="auto" w:line="240" w:before="120" w:after="120"/>
      <w:contextualSpacing/>
    </w:pPr>
    <w:rPr>
      <w:sz w:val="24"/>
      <w:szCs w:val="24"/>
      <w:lang w:eastAsia="ru-RU"/>
    </w:rPr>
  </w:style>
  <w:style w:type="paragraph" w:styleId="Style54" w:customStyle="1">
    <w:name w:val="Название системы (титул)"/>
    <w:basedOn w:val="Style44"/>
    <w:link w:val="Style24"/>
    <w:qFormat/>
    <w:pPr>
      <w:ind w:hanging="0"/>
      <w:jc w:val="center"/>
    </w:pPr>
    <w:rPr>
      <w:rFonts w:ascii="Times New Roman Полужирный" w:hAnsi="Times New Roman Полужирный"/>
      <w:b/>
      <w:caps/>
      <w:szCs w:val="24"/>
      <w:lang w:eastAsia="ru-RU"/>
    </w:rPr>
  </w:style>
  <w:style w:type="paragraph" w:styleId="Style55" w:customStyle="1">
    <w:name w:val="Название документа (титул)"/>
    <w:basedOn w:val="Style44"/>
    <w:link w:val="Style25"/>
    <w:qFormat/>
    <w:pPr>
      <w:ind w:hanging="0"/>
      <w:jc w:val="center"/>
    </w:pPr>
    <w:rPr>
      <w:rFonts w:ascii="Times New Roman Полужирный" w:hAnsi="Times New Roman Полужирный"/>
      <w:b/>
      <w:lang w:eastAsia="ru-RU"/>
    </w:rPr>
  </w:style>
  <w:style w:type="paragraph" w:styleId="Style56" w:customStyle="1">
    <w:name w:val="Обозначение документа (титул)"/>
    <w:basedOn w:val="Style44"/>
    <w:link w:val="Style26"/>
    <w:qFormat/>
    <w:pPr>
      <w:ind w:hanging="0"/>
      <w:jc w:val="center"/>
    </w:pPr>
    <w:rPr>
      <w:szCs w:val="24"/>
      <w:lang w:eastAsia="ru-RU"/>
    </w:rPr>
  </w:style>
  <w:style w:type="paragraph" w:styleId="Style57" w:customStyle="1">
    <w:name w:val="Подвал (титул)"/>
    <w:basedOn w:val="Style44"/>
    <w:link w:val="Style27"/>
    <w:qFormat/>
    <w:pPr>
      <w:ind w:hanging="0" w:end="-1"/>
      <w:jc w:val="center"/>
    </w:pPr>
    <w:rPr>
      <w:lang w:eastAsia="ru-RU"/>
    </w:rPr>
  </w:style>
  <w:style w:type="paragraph" w:styleId="Style58" w:customStyle="1">
    <w:name w:val="Скрытый"/>
    <w:basedOn w:val="Style44"/>
    <w:link w:val="Style28"/>
    <w:qFormat/>
    <w:pPr/>
    <w:rPr>
      <w:vanish/>
    </w:rPr>
  </w:style>
  <w:style w:type="paragraph" w:styleId="Style59" w:customStyle="1">
    <w:name w:val="Шапка таблицы (центрирование)"/>
    <w:basedOn w:val="Style48"/>
    <w:link w:val="Style29"/>
    <w:qFormat/>
    <w:pPr>
      <w:spacing w:before="0" w:after="0"/>
      <w:contextualSpacing/>
      <w:jc w:val="center"/>
    </w:pPr>
    <w:rPr/>
  </w:style>
  <w:style w:type="paragraph" w:styleId="Style60" w:customStyle="1">
    <w:name w:val="Таблица маркированный список"/>
    <w:basedOn w:val="Style44"/>
    <w:link w:val="Style30"/>
    <w:qFormat/>
    <w:pPr>
      <w:numPr>
        <w:ilvl w:val="0"/>
        <w:numId w:val="9"/>
      </w:numPr>
      <w:spacing w:lineRule="auto" w:line="240"/>
      <w:ind w:hanging="357" w:start="357"/>
      <w:jc w:val="start"/>
    </w:pPr>
    <w:rPr>
      <w:szCs w:val="24"/>
    </w:rPr>
  </w:style>
  <w:style w:type="paragraph" w:styleId="29" w:customStyle="1">
    <w:name w:val="Маркированный список 2 уровень"/>
    <w:basedOn w:val="Style44"/>
    <w:link w:val="24"/>
    <w:qFormat/>
    <w:pPr>
      <w:numPr>
        <w:ilvl w:val="1"/>
        <w:numId w:val="7"/>
      </w:numPr>
    </w:pPr>
    <w:rPr/>
  </w:style>
  <w:style w:type="paragraph" w:styleId="Style61" w:customStyle="1">
    <w:name w:val="Таблица текст (центрирование)"/>
    <w:basedOn w:val="Style53"/>
    <w:link w:val="Style31"/>
    <w:qFormat/>
    <w:pPr>
      <w:jc w:val="center"/>
    </w:pPr>
    <w:rPr/>
  </w:style>
  <w:style w:type="paragraph" w:styleId="36" w:customStyle="1">
    <w:name w:val="Маркированный список 3 уровень"/>
    <w:basedOn w:val="Style44"/>
    <w:link w:val="31"/>
    <w:qFormat/>
    <w:pPr>
      <w:numPr>
        <w:ilvl w:val="0"/>
        <w:numId w:val="8"/>
      </w:numPr>
    </w:pPr>
    <w:rPr/>
  </w:style>
  <w:style w:type="paragraph" w:styleId="53" w:customStyle="1">
    <w:name w:val="Основной текст (5)"/>
    <w:basedOn w:val="Normal"/>
    <w:link w:val="51"/>
    <w:qFormat/>
    <w:pPr>
      <w:shd w:val="clear" w:color="auto" w:fill="FFFFFF"/>
      <w:spacing w:lineRule="exact" w:line="254" w:before="120" w:after="0"/>
    </w:pPr>
    <w:rPr>
      <w:sz w:val="21"/>
      <w:szCs w:val="21"/>
    </w:rPr>
  </w:style>
  <w:style w:type="paragraph" w:styleId="113" w:customStyle="1">
    <w:name w:val="Заголовок ур.1"/>
    <w:next w:val="Normal"/>
    <w:qFormat/>
    <w:pPr>
      <w:keepNext w:val="true"/>
      <w:keepLines/>
      <w:widowControl/>
      <w:numPr>
        <w:ilvl w:val="0"/>
        <w:numId w:val="11"/>
      </w:numPr>
      <w:suppressAutoHyphens w:val="true"/>
      <w:bidi w:val="0"/>
      <w:spacing w:lineRule="auto" w:line="360" w:before="120" w:after="120"/>
      <w:ind w:hanging="0" w:start="0"/>
      <w:jc w:val="both"/>
      <w:outlineLvl w:val="0"/>
    </w:pPr>
    <w:rPr>
      <w:rFonts w:ascii="Times New Roman Полужирный" w:hAnsi="Times New Roman Полужирный" w:eastAsia="Times New Roman" w:cs="Tahoma"/>
      <w:b/>
      <w:caps/>
      <w:color w:val="auto"/>
      <w:kern w:val="0"/>
      <w:sz w:val="28"/>
      <w:szCs w:val="28"/>
      <w:lang w:val="ru-RU" w:eastAsia="ru-RU" w:bidi="ar-SA"/>
    </w:rPr>
  </w:style>
  <w:style w:type="paragraph" w:styleId="210" w:customStyle="1">
    <w:name w:val="Заголовок ур.2"/>
    <w:next w:val="Normal"/>
    <w:qFormat/>
    <w:pPr>
      <w:keepNext w:val="true"/>
      <w:keepLines/>
      <w:widowControl/>
      <w:numPr>
        <w:ilvl w:val="1"/>
        <w:numId w:val="11"/>
      </w:numPr>
      <w:suppressAutoHyphens w:val="true"/>
      <w:bidi w:val="0"/>
      <w:spacing w:lineRule="auto" w:line="360" w:before="120" w:after="120"/>
      <w:ind w:hanging="0" w:start="113"/>
      <w:jc w:val="both"/>
      <w:outlineLvl w:val="1"/>
    </w:pPr>
    <w:rPr>
      <w:rFonts w:ascii="Times New Roman" w:hAnsi="Times New Roman" w:eastAsia="Times New Roman" w:cs="Times New Roman"/>
      <w:b/>
      <w:bCs/>
      <w:color w:val="auto"/>
      <w:kern w:val="0"/>
      <w:sz w:val="28"/>
      <w:szCs w:val="28"/>
      <w:lang w:val="ru-RU" w:eastAsia="ru-RU" w:bidi="ar-SA"/>
    </w:rPr>
  </w:style>
  <w:style w:type="paragraph" w:styleId="37" w:customStyle="1">
    <w:name w:val="Заголовок ур.3"/>
    <w:qFormat/>
    <w:pPr>
      <w:widowControl/>
      <w:numPr>
        <w:ilvl w:val="2"/>
        <w:numId w:val="11"/>
      </w:numPr>
      <w:suppressAutoHyphens w:val="true"/>
      <w:bidi w:val="0"/>
      <w:spacing w:lineRule="auto" w:line="360" w:beforeAutospacing="1" w:afterAutospacing="1"/>
      <w:ind w:firstLine="199" w:start="227"/>
      <w:jc w:val="both"/>
      <w:outlineLvl w:val="2"/>
    </w:pPr>
    <w:rPr>
      <w:rFonts w:ascii="Times New Roman" w:hAnsi="Times New Roman" w:eastAsia="Times New Roman" w:cs="Times New Roman"/>
      <w:b/>
      <w:color w:val="auto"/>
      <w:kern w:val="0"/>
      <w:sz w:val="28"/>
      <w:szCs w:val="28"/>
      <w:lang w:val="ru-RU" w:eastAsia="ru-RU" w:bidi="ar-SA"/>
    </w:rPr>
  </w:style>
  <w:style w:type="paragraph" w:styleId="43" w:customStyle="1">
    <w:name w:val="Заголовок ур.4"/>
    <w:next w:val="Normal"/>
    <w:qFormat/>
    <w:pPr>
      <w:widowControl/>
      <w:numPr>
        <w:ilvl w:val="3"/>
        <w:numId w:val="11"/>
      </w:numPr>
      <w:tabs>
        <w:tab w:val="clear" w:pos="708"/>
        <w:tab w:val="left" w:pos="851" w:leader="none"/>
      </w:tabs>
      <w:suppressAutoHyphens w:val="true"/>
      <w:bidi w:val="0"/>
      <w:spacing w:lineRule="auto" w:line="360" w:beforeAutospacing="1" w:afterAutospacing="1"/>
      <w:ind w:firstLine="255" w:start="454"/>
      <w:jc w:val="both"/>
      <w:outlineLvl w:val="3"/>
    </w:pPr>
    <w:rPr>
      <w:rFonts w:ascii="Times New Roman" w:hAnsi="Times New Roman" w:eastAsia="Times New Roman" w:cs="Times New Roman"/>
      <w:b/>
      <w:color w:val="auto"/>
      <w:kern w:val="0"/>
      <w:sz w:val="28"/>
      <w:szCs w:val="28"/>
      <w:lang w:val="ru-RU" w:eastAsia="ru-RU" w:bidi="ar-SA"/>
    </w:rPr>
  </w:style>
  <w:style w:type="paragraph" w:styleId="ListNumber">
    <w:name w:val="List Number"/>
    <w:basedOn w:val="Normal"/>
    <w:uiPriority w:val="99"/>
    <w:unhideWhenUsed/>
    <w:pPr>
      <w:numPr>
        <w:ilvl w:val="0"/>
        <w:numId w:val="12"/>
      </w:numPr>
      <w:spacing w:before="120" w:after="120"/>
      <w:contextualSpacing/>
    </w:pPr>
    <w:rPr/>
  </w:style>
  <w:style w:type="paragraph" w:styleId="FootnoteText">
    <w:name w:val="footnote text"/>
    <w:basedOn w:val="Normal"/>
    <w:link w:val="Style32"/>
    <w:unhideWhenUsed/>
    <w:pPr>
      <w:spacing w:lineRule="auto" w:line="240" w:before="120" w:after="0"/>
    </w:pPr>
    <w:rPr>
      <w:sz w:val="20"/>
      <w:szCs w:val="20"/>
    </w:rPr>
  </w:style>
  <w:style w:type="paragraph" w:styleId="114" w:customStyle="1">
    <w:name w:val="Маркир 1"/>
    <w:basedOn w:val="Style51"/>
    <w:link w:val="14"/>
    <w:qFormat/>
    <w:pPr>
      <w:numPr>
        <w:ilvl w:val="0"/>
        <w:numId w:val="13"/>
      </w:numPr>
      <w:spacing w:before="0" w:after="0"/>
    </w:pPr>
    <w:rPr>
      <w:rFonts w:eastAsia="Calibri"/>
      <w:szCs w:val="28"/>
      <w:lang w:eastAsia="en-US"/>
    </w:rPr>
  </w:style>
  <w:style w:type="paragraph" w:styleId="115" w:customStyle="1">
    <w:name w:val="Номер 1 (без отступа)"/>
    <w:basedOn w:val="Normal"/>
    <w:qFormat/>
    <w:pPr>
      <w:numPr>
        <w:ilvl w:val="0"/>
        <w:numId w:val="14"/>
      </w:numPr>
      <w:spacing w:lineRule="auto" w:line="240"/>
    </w:pPr>
    <w:rPr>
      <w:rFonts w:eastAsia="Calibri"/>
      <w:sz w:val="24"/>
    </w:rPr>
  </w:style>
  <w:style w:type="paragraph" w:styleId="116" w:customStyle="1">
    <w:name w:val="Номер 1.1 (без отступа)"/>
    <w:basedOn w:val="115"/>
    <w:qFormat/>
    <w:pPr/>
    <w:rPr/>
  </w:style>
  <w:style w:type="paragraph" w:styleId="Style62" w:customStyle="1">
    <w:name w:val="_Согласовано"/>
    <w:basedOn w:val="Normal"/>
    <w:link w:val="Style35"/>
    <w:qFormat/>
    <w:pPr>
      <w:widowControl w:val="false"/>
      <w:spacing w:before="240" w:after="0"/>
      <w:jc w:val="center"/>
    </w:pPr>
    <w:rPr>
      <w:rFonts w:ascii="Times New Roman Полужирный" w:hAnsi="Times New Roman Полужирный"/>
      <w:b/>
      <w:bCs/>
      <w:caps/>
      <w:sz w:val="28"/>
      <w:szCs w:val="24"/>
      <w:lang w:eastAsia="ru-RU"/>
    </w:rPr>
  </w:style>
  <w:style w:type="paragraph" w:styleId="Style63" w:customStyle="1">
    <w:name w:val="_Титул_Утвеждаю"/>
    <w:basedOn w:val="Normal"/>
    <w:next w:val="Normal"/>
    <w:qFormat/>
    <w:pPr>
      <w:spacing w:lineRule="auto" w:line="240" w:before="20" w:after="120"/>
    </w:pPr>
    <w:rPr>
      <w:sz w:val="28"/>
      <w:szCs w:val="24"/>
      <w:lang w:eastAsia="ru-RU"/>
    </w:rPr>
  </w:style>
  <w:style w:type="paragraph" w:styleId="texttable" w:customStyle="1">
    <w:name w:val="@text_table"/>
    <w:qFormat/>
    <w:pPr>
      <w:widowControl/>
      <w:suppressAutoHyphens w:val="true"/>
      <w:bidi w:val="0"/>
      <w:spacing w:before="40" w:after="40"/>
      <w:jc w:val="both"/>
    </w:pPr>
    <w:rPr>
      <w:rFonts w:ascii="Times New Roman" w:hAnsi="Times New Roman" w:eastAsia="SimSun" w:cs="Times New Roman"/>
      <w:color w:val="auto"/>
      <w:kern w:val="0"/>
      <w:sz w:val="20"/>
      <w:szCs w:val="24"/>
      <w:lang w:val="ru-RU" w:eastAsia="en-US" w:bidi="ar-SA"/>
    </w:rPr>
  </w:style>
  <w:style w:type="paragraph" w:styleId="TOCHeading">
    <w:name w:val="TOC Heading"/>
    <w:basedOn w:val="Heading1"/>
    <w:next w:val="Normal"/>
    <w:uiPriority w:val="39"/>
    <w:unhideWhenUsed/>
    <w:qFormat/>
    <w:pPr>
      <w:pageBreakBefore w:val="false"/>
      <w:tabs>
        <w:tab w:val="clear" w:pos="1"/>
        <w:tab w:val="clear" w:pos="284"/>
        <w:tab w:val="clear" w:pos="568"/>
        <w:tab w:val="clear" w:pos="851"/>
        <w:tab w:val="clear" w:pos="1418"/>
        <w:tab w:val="clear" w:pos="1701"/>
        <w:tab w:val="clear" w:pos="1985"/>
      </w:tabs>
      <w:spacing w:lineRule="auto" w:line="259" w:before="240" w:after="0"/>
      <w:jc w:val="start"/>
      <w:outlineLvl w:val="9"/>
    </w:pPr>
    <w:rPr>
      <w:rFonts w:ascii="Calibri Light" w:hAnsi="Calibri Light"/>
      <w:color w:val="2E74B5"/>
      <w:szCs w:val="32"/>
    </w:rPr>
  </w:style>
  <w:style w:type="paragraph" w:styleId="head1" w:customStyle="1">
    <w:name w:val="@head_1"/>
    <w:next w:val="Normal"/>
    <w:qFormat/>
    <w:pPr>
      <w:keepNext w:val="true"/>
      <w:pageBreakBefore/>
      <w:widowControl/>
      <w:numPr>
        <w:ilvl w:val="0"/>
        <w:numId w:val="18"/>
      </w:numPr>
      <w:tabs>
        <w:tab w:val="clear" w:pos="708"/>
        <w:tab w:val="left" w:pos="567" w:leader="none"/>
        <w:tab w:val="left" w:pos="1134" w:leader="none"/>
        <w:tab w:val="left" w:pos="1276" w:leader="none"/>
      </w:tabs>
      <w:suppressAutoHyphens w:val="true"/>
      <w:bidi w:val="0"/>
      <w:spacing w:lineRule="auto" w:line="480" w:before="120" w:after="240"/>
      <w:jc w:val="center"/>
      <w:outlineLvl w:val="0"/>
    </w:pPr>
    <w:rPr>
      <w:rFonts w:ascii="Times New Roman" w:hAnsi="Times New Roman" w:eastAsia="SimSun" w:cs="Times New Roman"/>
      <w:b/>
      <w:color w:val="000000"/>
      <w:kern w:val="0"/>
      <w:sz w:val="24"/>
      <w:szCs w:val="24"/>
      <w:shd w:fill="FFFFFF" w:val="clear"/>
      <w:lang w:val="ru-RU" w:eastAsia="en-US" w:bidi="ar-SA"/>
    </w:rPr>
  </w:style>
  <w:style w:type="paragraph" w:styleId="head2" w:customStyle="1">
    <w:name w:val="@head_2"/>
    <w:next w:val="Normal"/>
    <w:qFormat/>
    <w:pPr>
      <w:keepNext w:val="true"/>
      <w:widowControl/>
      <w:numPr>
        <w:ilvl w:val="1"/>
        <w:numId w:val="18"/>
      </w:numPr>
      <w:tabs>
        <w:tab w:val="clear" w:pos="708"/>
        <w:tab w:val="left" w:pos="567" w:leader="none"/>
        <w:tab w:val="left" w:pos="1276" w:leader="none"/>
      </w:tabs>
      <w:suppressAutoHyphens w:val="true"/>
      <w:bidi w:val="0"/>
      <w:spacing w:lineRule="auto" w:line="360" w:before="120" w:after="120"/>
      <w:jc w:val="both"/>
      <w:outlineLvl w:val="1"/>
    </w:pPr>
    <w:rPr>
      <w:rFonts w:ascii="Times New Roman" w:hAnsi="Times New Roman" w:eastAsia="SimSun" w:cs="Times New Roman"/>
      <w:b/>
      <w:color w:val="auto"/>
      <w:kern w:val="0"/>
      <w:sz w:val="24"/>
      <w:szCs w:val="24"/>
      <w:lang w:val="ru-RU" w:eastAsia="en-US" w:bidi="ar-SA"/>
    </w:rPr>
  </w:style>
  <w:style w:type="paragraph" w:styleId="head3" w:customStyle="1">
    <w:name w:val="@head_3"/>
    <w:basedOn w:val="Normal"/>
    <w:next w:val="Normal"/>
    <w:qFormat/>
    <w:pPr>
      <w:keepNext w:val="true"/>
      <w:numPr>
        <w:ilvl w:val="2"/>
        <w:numId w:val="18"/>
      </w:numPr>
      <w:tabs>
        <w:tab w:val="clear" w:pos="708"/>
        <w:tab w:val="left" w:pos="0" w:leader="none"/>
        <w:tab w:val="left" w:pos="709" w:leader="none"/>
        <w:tab w:val="left" w:pos="1559" w:leader="none"/>
      </w:tabs>
      <w:outlineLvl w:val="2"/>
    </w:pPr>
    <w:rPr>
      <w:rFonts w:eastAsia="SimSun"/>
      <w:b/>
      <w:sz w:val="24"/>
      <w:szCs w:val="24"/>
    </w:rPr>
  </w:style>
  <w:style w:type="paragraph" w:styleId="head4" w:customStyle="1">
    <w:name w:val="@head_4"/>
    <w:next w:val="Normal"/>
    <w:qFormat/>
    <w:pPr>
      <w:keepNext w:val="true"/>
      <w:keepLines/>
      <w:widowControl/>
      <w:numPr>
        <w:ilvl w:val="3"/>
        <w:numId w:val="18"/>
      </w:numPr>
      <w:tabs>
        <w:tab w:val="clear" w:pos="708"/>
        <w:tab w:val="left" w:pos="1134" w:leader="none"/>
        <w:tab w:val="left" w:pos="1701" w:leader="none"/>
      </w:tabs>
      <w:suppressAutoHyphens w:val="true"/>
      <w:bidi w:val="0"/>
      <w:spacing w:lineRule="auto" w:line="360" w:before="120" w:after="120"/>
      <w:jc w:val="both"/>
      <w:outlineLvl w:val="3"/>
    </w:pPr>
    <w:rPr>
      <w:rFonts w:ascii="Times New Roman" w:hAnsi="Times New Roman" w:eastAsia="SimSun" w:cs="Times New Roman"/>
      <w:b/>
      <w:color w:val="auto"/>
      <w:kern w:val="0"/>
      <w:sz w:val="24"/>
      <w:szCs w:val="24"/>
      <w:lang w:val="ru-RU" w:eastAsia="en-US" w:bidi="ar-SA"/>
    </w:rPr>
  </w:style>
  <w:style w:type="paragraph" w:styleId="head5" w:customStyle="1">
    <w:name w:val="@head_5"/>
    <w:next w:val="Normal"/>
    <w:qFormat/>
    <w:pPr>
      <w:keepNext w:val="true"/>
      <w:widowControl/>
      <w:numPr>
        <w:ilvl w:val="4"/>
        <w:numId w:val="18"/>
      </w:numPr>
      <w:suppressAutoHyphens w:val="true"/>
      <w:bidi w:val="0"/>
      <w:spacing w:lineRule="auto" w:line="360" w:before="120" w:after="120"/>
      <w:jc w:val="start"/>
      <w:outlineLvl w:val="4"/>
    </w:pPr>
    <w:rPr>
      <w:rFonts w:ascii="Times New Roman" w:hAnsi="Times New Roman" w:eastAsia="SimSun" w:cs="Times New Roman"/>
      <w:b/>
      <w:color w:val="auto"/>
      <w:kern w:val="0"/>
      <w:sz w:val="24"/>
      <w:szCs w:val="22"/>
      <w:lang w:val="ru-RU" w:eastAsia="en-US" w:bidi="ar-SA"/>
    </w:rPr>
  </w:style>
  <w:style w:type="paragraph" w:styleId="main1" w:customStyle="1">
    <w:name w:val="@main"/>
    <w:basedOn w:val="Normal"/>
    <w:link w:val="main"/>
    <w:qFormat/>
    <w:pPr>
      <w:spacing w:lineRule="auto" w:line="240" w:before="0" w:after="0"/>
      <w:ind w:firstLine="709" w:start="0"/>
    </w:pPr>
    <w:rPr>
      <w:rFonts w:eastAsia="SimSun"/>
      <w:sz w:val="24"/>
    </w:rPr>
  </w:style>
  <w:style w:type="paragraph" w:styleId="list1" w:customStyle="1">
    <w:name w:val="@list_1"/>
    <w:basedOn w:val="main1"/>
    <w:qFormat/>
    <w:pPr>
      <w:tabs>
        <w:tab w:val="clear" w:pos="708"/>
        <w:tab w:val="left" w:pos="0" w:leader="none"/>
      </w:tabs>
    </w:pPr>
    <w:rPr>
      <w:szCs w:val="24"/>
    </w:rPr>
  </w:style>
  <w:style w:type="paragraph" w:styleId="list3" w:customStyle="1">
    <w:name w:val="@list_3"/>
    <w:basedOn w:val="Normal"/>
    <w:qFormat/>
    <w:pPr>
      <w:numPr>
        <w:ilvl w:val="0"/>
        <w:numId w:val="15"/>
      </w:numPr>
      <w:tabs>
        <w:tab w:val="clear" w:pos="708"/>
        <w:tab w:val="left" w:pos="1418" w:leader="none"/>
      </w:tabs>
      <w:spacing w:before="0" w:after="0"/>
      <w:contextualSpacing/>
    </w:pPr>
    <w:rPr>
      <w:rFonts w:eastAsia="Calibri"/>
      <w:sz w:val="24"/>
      <w:szCs w:val="24"/>
    </w:rPr>
  </w:style>
  <w:style w:type="paragraph" w:styleId="pril1" w:customStyle="1">
    <w:name w:val="@pril"/>
    <w:basedOn w:val="Normal"/>
    <w:next w:val="main1"/>
    <w:link w:val="pril"/>
    <w:qFormat/>
    <w:pPr>
      <w:keepNext w:val="true"/>
      <w:keepLines/>
      <w:pageBreakBefore/>
      <w:tabs>
        <w:tab w:val="clear" w:pos="708"/>
        <w:tab w:val="left" w:pos="0" w:leader="none"/>
      </w:tabs>
      <w:spacing w:lineRule="exact" w:line="270" w:before="0" w:after="186"/>
      <w:ind w:hanging="0" w:start="0"/>
      <w:jc w:val="center"/>
      <w:outlineLvl w:val="0"/>
    </w:pPr>
    <w:rPr>
      <w:b/>
      <w:bCs/>
      <w:sz w:val="24"/>
      <w:szCs w:val="24"/>
      <w:lang w:eastAsia="ru-RU"/>
    </w:rPr>
  </w:style>
  <w:style w:type="paragraph" w:styleId="Standard" w:customStyle="1">
    <w:name w:val="Standard"/>
    <w:qFormat/>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zh-CN" w:bidi="ar-SA"/>
    </w:rPr>
  </w:style>
  <w:style w:type="paragraph" w:styleId="muitypography-root" w:customStyle="1">
    <w:name w:val="muitypography-root"/>
    <w:basedOn w:val="Normal"/>
    <w:qFormat/>
    <w:pPr>
      <w:spacing w:lineRule="auto" w:line="240" w:beforeAutospacing="1" w:afterAutospacing="1"/>
      <w:ind w:hanging="0" w:start="0"/>
      <w:jc w:val="start"/>
    </w:pPr>
    <w:rPr>
      <w:sz w:val="24"/>
      <w:szCs w:val="24"/>
      <w:lang w:eastAsia="ru-RU"/>
    </w:rPr>
  </w:style>
  <w:style w:type="paragraph" w:styleId="211" w:customStyle="1">
    <w:name w:val="Маркир 2"/>
    <w:basedOn w:val="114"/>
    <w:link w:val="25"/>
    <w:qFormat/>
    <w:pPr>
      <w:numPr>
        <w:ilvl w:val="1"/>
        <w:numId w:val="16"/>
      </w:numPr>
      <w:spacing w:lineRule="auto" w:line="240" w:before="60" w:after="60"/>
    </w:pPr>
    <w:rPr>
      <w:sz w:val="28"/>
    </w:rPr>
  </w:style>
  <w:style w:type="paragraph" w:styleId="38" w:customStyle="1">
    <w:name w:val="Маркир 3"/>
    <w:basedOn w:val="211"/>
    <w:qFormat/>
    <w:pPr>
      <w:ind w:hanging="360" w:start="4930"/>
    </w:pPr>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2"/>
      <w:szCs w:val="22"/>
      <w:lang w:val="ru-RU" w:eastAsia="en-US" w:bidi="ar-SA"/>
    </w:rPr>
  </w:style>
  <w:style w:type="paragraph" w:styleId="Style64" w:customStyle="1">
    <w:name w:val="_ОБР_Основной текст"/>
    <w:link w:val="Style36"/>
    <w:uiPriority w:val="99"/>
    <w:qFormat/>
    <w:pPr>
      <w:keepLines/>
      <w:widowControl/>
      <w:tabs>
        <w:tab w:val="clear" w:pos="708"/>
        <w:tab w:val="left" w:pos="1134" w:leader="none"/>
      </w:tabs>
      <w:suppressAutoHyphens w:val="true"/>
      <w:bidi w:val="0"/>
      <w:spacing w:lineRule="auto" w:line="264" w:before="0" w:after="0"/>
      <w:ind w:firstLine="709"/>
      <w:jc w:val="both"/>
    </w:pPr>
    <w:rPr>
      <w:rFonts w:ascii="Times New Roman" w:hAnsi="Times New Roman" w:eastAsia="Times New Roman" w:cs="Times New Roman"/>
      <w:color w:val="auto"/>
      <w:kern w:val="0"/>
      <w:sz w:val="24"/>
      <w:szCs w:val="20"/>
      <w:lang w:val="ru-RU" w:eastAsia="ru-RU" w:bidi="ar-SA"/>
    </w:rPr>
  </w:style>
  <w:style w:type="paragraph" w:styleId="117" w:customStyle="1">
    <w:name w:val="Маркер уровень 1"/>
    <w:basedOn w:val="Normal"/>
    <w:qFormat/>
    <w:pPr>
      <w:numPr>
        <w:ilvl w:val="0"/>
        <w:numId w:val="17"/>
      </w:numPr>
      <w:tabs>
        <w:tab w:val="clear" w:pos="708"/>
        <w:tab w:val="left" w:pos="907" w:leader="none"/>
      </w:tabs>
      <w:spacing w:lineRule="auto" w:line="240" w:before="0" w:after="0"/>
      <w:ind w:start="851"/>
    </w:pPr>
    <w:rPr>
      <w:rFonts w:eastAsia="Calibri"/>
      <w:sz w:val="24"/>
    </w:rPr>
  </w:style>
  <w:style w:type="paragraph" w:styleId="212" w:customStyle="1">
    <w:name w:val="Маркер уровень 2"/>
    <w:basedOn w:val="117"/>
    <w:qFormat/>
    <w:pPr>
      <w:tabs>
        <w:tab w:val="left" w:pos="907" w:leader="none"/>
        <w:tab w:val="left" w:pos="1134" w:leader="none"/>
      </w:tabs>
      <w:ind w:hanging="0" w:start="992"/>
    </w:pPr>
    <w:rPr/>
  </w:style>
  <w:style w:type="paragraph" w:styleId="39" w:customStyle="1">
    <w:name w:val="Маркер уровень 3"/>
    <w:basedOn w:val="Normal"/>
    <w:qFormat/>
    <w:pPr>
      <w:numPr>
        <w:ilvl w:val="2"/>
        <w:numId w:val="17"/>
      </w:numPr>
      <w:tabs>
        <w:tab w:val="clear" w:pos="708"/>
        <w:tab w:val="left" w:pos="1418" w:leader="none"/>
      </w:tabs>
      <w:spacing w:lineRule="auto" w:line="240" w:before="0" w:after="0"/>
      <w:ind w:hanging="0" w:start="1276"/>
    </w:pPr>
    <w:rPr>
      <w:rFonts w:eastAsia="Calibri"/>
      <w:sz w:val="24"/>
    </w:rPr>
  </w:style>
  <w:style w:type="paragraph" w:styleId="44" w:customStyle="1">
    <w:name w:val="Маркер уровень 4"/>
    <w:basedOn w:val="Normal"/>
    <w:qFormat/>
    <w:pPr>
      <w:numPr>
        <w:ilvl w:val="3"/>
        <w:numId w:val="17"/>
      </w:numPr>
      <w:spacing w:lineRule="auto" w:line="276" w:before="0" w:after="200"/>
    </w:pPr>
    <w:rPr>
      <w:rFonts w:eastAsia="Calibri"/>
      <w:sz w:val="24"/>
    </w:rPr>
  </w:style>
  <w:style w:type="paragraph" w:styleId="54" w:customStyle="1">
    <w:name w:val="Маркер уровень 5"/>
    <w:basedOn w:val="Normal"/>
    <w:qFormat/>
    <w:pPr>
      <w:numPr>
        <w:ilvl w:val="4"/>
        <w:numId w:val="17"/>
      </w:numPr>
      <w:spacing w:lineRule="auto" w:line="276" w:before="0" w:after="200"/>
    </w:pPr>
    <w:rPr>
      <w:rFonts w:eastAsia="Calibri"/>
      <w:sz w:val="24"/>
    </w:rPr>
  </w:style>
  <w:style w:type="paragraph" w:styleId="pf0" w:customStyle="1">
    <w:name w:val="pf0"/>
    <w:basedOn w:val="Normal"/>
    <w:qFormat/>
    <w:pPr>
      <w:spacing w:lineRule="auto" w:line="240" w:beforeAutospacing="1" w:afterAutospacing="1"/>
      <w:ind w:hanging="0" w:start="0"/>
      <w:jc w:val="start"/>
    </w:pPr>
    <w:rPr>
      <w:sz w:val="24"/>
      <w:szCs w:val="24"/>
      <w:lang w:eastAsia="ru-RU"/>
    </w:rPr>
  </w:style>
  <w:style w:type="paragraph" w:styleId="Style65" w:customStyle="1">
    <w:name w:val="Список: маркер"/>
    <w:basedOn w:val="Normal"/>
    <w:uiPriority w:val="99"/>
    <w:qFormat/>
    <w:pPr>
      <w:numPr>
        <w:ilvl w:val="0"/>
        <w:numId w:val="19"/>
      </w:numPr>
      <w:spacing w:lineRule="auto" w:line="240" w:before="0" w:after="0"/>
    </w:pPr>
    <w:rPr>
      <w:rFonts w:ascii="Calibri" w:hAnsi="Calibri" w:eastAsia="Calibri"/>
      <w:sz w:val="28"/>
      <w:szCs w:val="24"/>
      <w:lang w:eastAsia="ru-RU"/>
    </w:rPr>
  </w:style>
  <w:style w:type="paragraph" w:styleId="118" w:customStyle="1">
    <w:name w:val="Заголовок 1 ТТ"/>
    <w:basedOn w:val="Heading1"/>
    <w:next w:val="Normal"/>
    <w:qFormat/>
    <w:pPr>
      <w:keepLines w:val="false"/>
      <w:pageBreakBefore w:val="false"/>
      <w:numPr>
        <w:ilvl w:val="0"/>
        <w:numId w:val="20"/>
      </w:numPr>
      <w:tabs>
        <w:tab w:val="clear" w:pos="284"/>
        <w:tab w:val="clear" w:pos="568"/>
        <w:tab w:val="clear" w:pos="851"/>
        <w:tab w:val="clear" w:pos="1418"/>
        <w:tab w:val="clear" w:pos="1701"/>
        <w:tab w:val="clear" w:pos="1985"/>
        <w:tab w:val="left" w:pos="1" w:leader="none"/>
      </w:tabs>
      <w:spacing w:lineRule="auto" w:line="276" w:before="240" w:after="60"/>
      <w:jc w:val="both"/>
    </w:pPr>
    <w:rPr>
      <w:bCs/>
      <w:sz w:val="28"/>
      <w:szCs w:val="28"/>
    </w:rPr>
  </w:style>
  <w:style w:type="paragraph" w:styleId="213" w:customStyle="1">
    <w:name w:val="Заголовок 2 ТТ"/>
    <w:basedOn w:val="Heading2"/>
    <w:next w:val="Normal"/>
    <w:qFormat/>
    <w:pPr>
      <w:keepLines/>
      <w:numPr>
        <w:ilvl w:val="1"/>
        <w:numId w:val="20"/>
      </w:numPr>
      <w:tabs>
        <w:tab w:val="clear" w:pos="284"/>
        <w:tab w:val="clear" w:pos="568"/>
        <w:tab w:val="clear" w:pos="1418"/>
        <w:tab w:val="clear" w:pos="1701"/>
        <w:tab w:val="clear" w:pos="1985"/>
      </w:tabs>
      <w:spacing w:lineRule="auto" w:line="276" w:before="240" w:after="60"/>
      <w:ind w:start="0"/>
    </w:pPr>
    <w:rPr>
      <w:rFonts w:eastAsia="Times New Roman"/>
      <w:b/>
      <w:bCs/>
      <w:iCs/>
      <w:szCs w:val="28"/>
    </w:rPr>
  </w:style>
  <w:style w:type="paragraph" w:styleId="310" w:customStyle="1">
    <w:name w:val="Заголовок 3 ТТ"/>
    <w:basedOn w:val="Heading3"/>
    <w:next w:val="Normal"/>
    <w:qFormat/>
    <w:pPr>
      <w:keepNext w:val="false"/>
      <w:keepLines w:val="false"/>
      <w:widowControl w:val="false"/>
      <w:numPr>
        <w:ilvl w:val="2"/>
        <w:numId w:val="20"/>
      </w:numPr>
      <w:tabs>
        <w:tab w:val="clear" w:pos="284"/>
        <w:tab w:val="clear" w:pos="568"/>
        <w:tab w:val="clear" w:pos="851"/>
        <w:tab w:val="clear" w:pos="1418"/>
        <w:tab w:val="clear" w:pos="1701"/>
        <w:tab w:val="clear" w:pos="1985"/>
      </w:tabs>
      <w:spacing w:lineRule="auto" w:line="240" w:before="240" w:after="60"/>
      <w:contextualSpacing w:val="false"/>
    </w:pPr>
    <w:rPr>
      <w:rFonts w:eastAsia="Arial Unicode MS"/>
      <w:b/>
      <w:bCs/>
      <w:szCs w:val="28"/>
    </w:rPr>
  </w:style>
  <w:style w:type="paragraph" w:styleId="45" w:customStyle="1">
    <w:name w:val="Заголовок 4 ТТ"/>
    <w:basedOn w:val="Heading4"/>
    <w:next w:val="Normal"/>
    <w:qFormat/>
    <w:pPr>
      <w:keepLines w:val="false"/>
      <w:numPr>
        <w:ilvl w:val="3"/>
        <w:numId w:val="20"/>
      </w:numPr>
      <w:tabs>
        <w:tab w:val="clear" w:pos="284"/>
        <w:tab w:val="clear" w:pos="568"/>
        <w:tab w:val="clear" w:pos="851"/>
        <w:tab w:val="clear" w:pos="1418"/>
        <w:tab w:val="clear" w:pos="1701"/>
        <w:tab w:val="clear" w:pos="1985"/>
      </w:tabs>
      <w:spacing w:lineRule="auto" w:line="276" w:before="120" w:after="60"/>
      <w:jc w:val="start"/>
    </w:pPr>
    <w:rPr>
      <w:b/>
      <w:bCs/>
      <w:szCs w:val="20"/>
    </w:rPr>
  </w:style>
  <w:style w:type="paragraph" w:styleId="MGCommon1" w:customStyle="1">
    <w:name w:val="MG_Common"/>
    <w:basedOn w:val="Normal"/>
    <w:link w:val="MGCommon"/>
    <w:qFormat/>
    <w:pPr>
      <w:spacing w:lineRule="auto" w:line="276" w:before="0" w:after="0"/>
      <w:ind w:firstLine="709" w:start="0"/>
    </w:pPr>
    <w:rPr>
      <w:rFonts w:eastAsia="MS Mincho"/>
      <w:sz w:val="28"/>
      <w:lang w:eastAsia="ko-KR"/>
    </w:rPr>
  </w:style>
  <w:style w:type="paragraph" w:styleId="MGTableCell" w:customStyle="1">
    <w:name w:val="MG_Table_Cell"/>
    <w:basedOn w:val="Normal"/>
    <w:qFormat/>
    <w:pPr>
      <w:spacing w:lineRule="auto" w:line="276" w:before="0" w:after="0"/>
      <w:ind w:hanging="0" w:start="0"/>
      <w:jc w:val="start"/>
    </w:pPr>
    <w:rPr>
      <w:rFonts w:eastAsia="MS Mincho"/>
      <w:bCs/>
      <w:sz w:val="28"/>
      <w:szCs w:val="28"/>
      <w:lang w:eastAsia="ko-KR"/>
    </w:rPr>
  </w:style>
  <w:style w:type="paragraph" w:styleId="MGTableHeader" w:customStyle="1">
    <w:name w:val="MG_Table_Header"/>
    <w:basedOn w:val="MGTableCell"/>
    <w:qFormat/>
    <w:pPr>
      <w:spacing w:lineRule="auto" w:line="240"/>
      <w:ind w:start="-57" w:end="-57"/>
      <w:jc w:val="center"/>
    </w:pPr>
    <w:rPr>
      <w:rFonts w:ascii="Times New Roman Полужирный" w:hAnsi="Times New Roman Полужирный"/>
      <w:b/>
    </w:rPr>
  </w:style>
  <w:style w:type="paragraph" w:styleId="Style66" w:customStyle="1">
    <w:name w:val="@Абзац"/>
    <w:link w:val="Style37"/>
    <w:qFormat/>
    <w:pPr>
      <w:widowControl/>
      <w:suppressAutoHyphens w:val="true"/>
      <w:bidi w:val="0"/>
      <w:spacing w:lineRule="auto" w:line="276" w:before="0" w:after="0"/>
      <w:ind w:firstLine="709"/>
      <w:contextualSpacing/>
      <w:jc w:val="both"/>
    </w:pPr>
    <w:rPr>
      <w:rFonts w:ascii="Times New Roman" w:hAnsi="Times New Roman" w:eastAsia="Arial" w:cs="Times New Roman" w:eastAsiaTheme="majorEastAsia"/>
      <w:color w:val="auto"/>
      <w:kern w:val="0"/>
      <w:sz w:val="24"/>
      <w:szCs w:val="24"/>
      <w:lang w:val="ru-RU" w:eastAsia="en-US" w:bidi="ar-SA"/>
    </w:rPr>
  </w:style>
  <w:style w:type="paragraph" w:styleId="Style67" w:customStyle="1">
    <w:name w:val="@Комментарий"/>
    <w:basedOn w:val="Style66"/>
    <w:link w:val="Style38"/>
    <w:qFormat/>
    <w:pPr>
      <w:ind w:hanging="0"/>
    </w:pPr>
    <w:rPr>
      <w:i/>
    </w:rPr>
  </w:style>
  <w:style w:type="paragraph" w:styleId="119" w:customStyle="1">
    <w:name w:val="Верхний колонтитул1"/>
    <w:uiPriority w:val="99"/>
    <w:unhideWhenUsed/>
    <w:qFormat/>
    <w:pPr>
      <w:widowControl/>
      <w:numPr>
        <w:ilvl w:val="0"/>
        <w:numId w:val="21"/>
      </w:numPr>
      <w:tabs>
        <w:tab w:val="clear" w:pos="708"/>
        <w:tab w:val="center" w:pos="4677" w:leader="none"/>
        <w:tab w:val="right" w:pos="9355" w:leader="none"/>
      </w:tabs>
      <w:suppressAutoHyphens w:val="true"/>
      <w:bidi w:val="0"/>
      <w:spacing w:before="0" w:after="0"/>
      <w:jc w:val="start"/>
    </w:pPr>
    <w:rPr>
      <w:rFonts w:ascii="Calibri" w:hAnsi="Calibri" w:eastAsia="SimSun" w:cs="Times New Roman"/>
      <w:color w:val="auto"/>
      <w:kern w:val="0"/>
      <w:sz w:val="22"/>
      <w:szCs w:val="22"/>
      <w:lang w:val="ru-RU" w:eastAsia="en-US" w:bidi="ar-SA"/>
    </w:rPr>
  </w:style>
  <w:style w:type="paragraph" w:styleId="120" w:customStyle="1">
    <w:name w:val="Основной текст1"/>
    <w:uiPriority w:val="1"/>
    <w:qFormat/>
    <w:pPr>
      <w:widowControl w:val="false"/>
      <w:suppressAutoHyphens w:val="true"/>
      <w:bidi w:val="0"/>
      <w:spacing w:before="0" w:after="0"/>
      <w:ind w:start="233"/>
      <w:jc w:val="start"/>
    </w:pPr>
    <w:rPr>
      <w:rFonts w:ascii="Times New Roman" w:hAnsi="Times New Roman" w:eastAsia="Times New Roman" w:cs="Times New Roman"/>
      <w:color w:val="auto"/>
      <w:kern w:val="0"/>
      <w:sz w:val="24"/>
      <w:szCs w:val="24"/>
      <w:lang w:val="ru-RU" w:eastAsia="en-US" w:bidi="ar-SA"/>
    </w:rPr>
  </w:style>
  <w:style w:type="paragraph" w:styleId="-1" w:customStyle="1">
    <w:name w:val="Таблица - Номер строки"/>
    <w:qFormat/>
    <w:pPr>
      <w:widowControl/>
      <w:suppressAutoHyphens w:val="true"/>
      <w:bidi w:val="0"/>
      <w:spacing w:before="0" w:after="0"/>
      <w:contextualSpacing/>
      <w:jc w:val="center"/>
    </w:pPr>
    <w:rPr>
      <w:rFonts w:ascii="Times New Roman" w:hAnsi="Times New Roman" w:eastAsia="Times New Roman" w:cs="Times New Roman"/>
      <w:color w:val="auto"/>
      <w:kern w:val="0"/>
      <w:sz w:val="24"/>
      <w:szCs w:val="20"/>
      <w:lang w:val="ru-RU" w:eastAsia="ru-RU" w:bidi="ar-SA"/>
    </w:rPr>
  </w:style>
  <w:style w:type="paragraph" w:styleId="-2" w:customStyle="1">
    <w:name w:val="Таблица - Название"/>
    <w:basedOn w:val="Style51"/>
    <w:qFormat/>
    <w:rsid w:val="002a087c"/>
    <w:pPr>
      <w:keepNext w:val="true"/>
      <w:keepLines/>
      <w:spacing w:lineRule="auto" w:line="240" w:before="240" w:after="60"/>
      <w:ind w:hanging="0" w:start="0"/>
    </w:pPr>
    <w:rPr>
      <w:rFonts w:eastAsia="Calibri"/>
      <w:i/>
      <w:szCs w:val="22"/>
      <w:lang w:eastAsia="en-US"/>
    </w:rPr>
  </w:style>
  <w:style w:type="paragraph" w:styleId="1111" w:customStyle="1">
    <w:name w:val="Заголовок Приложение А.1.1.1"/>
    <w:basedOn w:val="Normal"/>
    <w:qFormat/>
    <w:rsid w:val="00bb201c"/>
    <w:pPr>
      <w:keepNext w:val="true"/>
      <w:keepLines/>
      <w:numPr>
        <w:ilvl w:val="3"/>
        <w:numId w:val="30"/>
      </w:numPr>
      <w:tabs>
        <w:tab w:val="clear" w:pos="708"/>
        <w:tab w:val="left" w:pos="709" w:leader="none"/>
      </w:tabs>
      <w:spacing w:lineRule="auto" w:line="240" w:before="40" w:after="0"/>
      <w:jc w:val="start"/>
      <w:outlineLvl w:val="3"/>
    </w:pPr>
    <w:rPr>
      <w:rFonts w:eastAsia="MS Gothic"/>
      <w:b/>
      <w:caps/>
      <w:sz w:val="28"/>
      <w:szCs w:val="26"/>
    </w:rPr>
  </w:style>
  <w:style w:type="paragraph" w:styleId="-3" w:customStyle="1">
    <w:name w:val="Н-обычный"/>
    <w:basedOn w:val="BodyText"/>
    <w:link w:val="-"/>
    <w:qFormat/>
    <w:rsid w:val="00bb201c"/>
    <w:pPr>
      <w:spacing w:lineRule="auto" w:line="276" w:before="0" w:after="0"/>
      <w:ind w:firstLine="760" w:start="23" w:end="23"/>
    </w:pPr>
    <w:rPr>
      <w:rFonts w:eastAsia="Arial Unicode MS"/>
      <w:sz w:val="24"/>
      <w:szCs w:val="24"/>
    </w:rPr>
  </w:style>
  <w:style w:type="paragraph" w:styleId="Style68" w:customStyle="1">
    <w:name w:val="Текст по левому краю таблицы"/>
    <w:basedOn w:val="Normal"/>
    <w:qFormat/>
    <w:rsid w:val="00406fa0"/>
    <w:pPr>
      <w:spacing w:lineRule="auto" w:line="240" w:before="0" w:after="0"/>
      <w:ind w:hanging="0" w:start="0"/>
      <w:jc w:val="start"/>
    </w:pPr>
    <w:rPr>
      <w:rFonts w:eastAsia="Batang"/>
      <w:sz w:val="24"/>
    </w:rPr>
  </w:style>
  <w:style w:type="paragraph" w:styleId="user5" w:customStyle="1">
    <w:name w:val="Содержимое таблицы (user)"/>
    <w:basedOn w:val="Normal"/>
    <w:qFormat/>
    <w:pPr/>
    <w:rPr/>
  </w:style>
  <w:style w:type="paragraph" w:styleId="user6" w:customStyle="1">
    <w:name w:val="Заголовок таблицы (user)"/>
    <w:basedOn w:val="Normal"/>
    <w:qFormat/>
    <w:rsid w:val="0014672c"/>
    <w:pPr>
      <w:spacing w:lineRule="auto" w:line="276" w:before="0" w:after="0"/>
      <w:ind w:hanging="0" w:start="0"/>
      <w:jc w:val="center"/>
    </w:pPr>
    <w:rPr>
      <w:rFonts w:eastAsia="Batang"/>
      <w:b/>
      <w:sz w:val="24"/>
    </w:rPr>
  </w:style>
  <w:style w:type="paragraph" w:styleId="MGAppendixTitle" w:customStyle="1">
    <w:name w:val="MG_Appendix_Title"/>
    <w:basedOn w:val="Normal"/>
    <w:next w:val="MGCommon1"/>
    <w:qFormat/>
    <w:rsid w:val="00a0391b"/>
    <w:pPr>
      <w:keepNext w:val="true"/>
      <w:pageBreakBefore/>
      <w:spacing w:lineRule="auto" w:line="276" w:before="0" w:after="0"/>
      <w:ind w:hanging="0" w:start="0"/>
      <w:jc w:val="center"/>
      <w:outlineLvl w:val="0"/>
    </w:pPr>
    <w:rPr>
      <w:rFonts w:ascii="Times New Roman ??????????" w:hAnsi="Times New Roman ??????????" w:eastAsia="MS Mincho"/>
      <w:b/>
      <w:smallCaps/>
      <w:sz w:val="28"/>
      <w:lang w:eastAsia="ko-KR"/>
    </w:rPr>
  </w:style>
  <w:style w:type="paragraph" w:styleId="Default" w:customStyle="1">
    <w:name w:val="Default"/>
    <w:qFormat/>
    <w:rsid w:val="006d1762"/>
    <w:pPr>
      <w:widowControl/>
      <w:suppressAutoHyphens w:val="true"/>
      <w:bidi w:val="0"/>
      <w:spacing w:before="0" w:after="0"/>
      <w:jc w:val="start"/>
    </w:pPr>
    <w:rPr>
      <w:rFonts w:ascii="Times New Roman" w:hAnsi="Times New Roman" w:eastAsia="Calibri" w:cs="Times New Roman" w:eastAsiaTheme="minorHAnsi"/>
      <w:color w:val="000000"/>
      <w:kern w:val="0"/>
      <w:sz w:val="24"/>
      <w:szCs w:val="24"/>
      <w:lang w:val="ru-RU" w:eastAsia="en-US" w:bidi="ar-SA"/>
    </w:rPr>
  </w:style>
  <w:style w:type="paragraph" w:styleId="MGTableTitle" w:customStyle="1">
    <w:name w:val="MG_Table_Title"/>
    <w:basedOn w:val="MGCommon1"/>
    <w:next w:val="MGCommon1"/>
    <w:qFormat/>
    <w:rsid w:val="00114603"/>
    <w:pPr>
      <w:keepNext w:val="true"/>
      <w:keepLines/>
      <w:spacing w:before="120" w:after="120"/>
      <w:ind w:hanging="0"/>
    </w:pPr>
    <w:rPr>
      <w:rFonts w:ascii="Times New Roman Полужирный" w:hAnsi="Times New Roman Полужирный"/>
      <w:b/>
    </w:rPr>
  </w:style>
  <w:style w:type="paragraph" w:styleId="1SLA" w:customStyle="1">
    <w:name w:val="Заголовок 1 SLA"/>
    <w:next w:val="Normal"/>
    <w:qFormat/>
    <w:rsid w:val="00026c6d"/>
    <w:pPr>
      <w:widowControl/>
      <w:numPr>
        <w:ilvl w:val="0"/>
        <w:numId w:val="25"/>
      </w:numPr>
      <w:suppressAutoHyphens w:val="true"/>
      <w:bidi w:val="0"/>
      <w:spacing w:lineRule="auto" w:line="259" w:before="0" w:after="160"/>
      <w:jc w:val="start"/>
      <w:outlineLvl w:val="1"/>
    </w:pPr>
    <w:rPr>
      <w:rFonts w:ascii="Times New Roman" w:hAnsi="Times New Roman" w:eastAsia="MS Gothic" w:cs="Times New Roman"/>
      <w:b/>
      <w:color w:val="auto"/>
      <w:kern w:val="0"/>
      <w:sz w:val="28"/>
      <w:szCs w:val="32"/>
      <w:lang w:val="ru-RU" w:eastAsia="en-US" w:bidi="ar-SA"/>
    </w:rPr>
  </w:style>
  <w:style w:type="paragraph" w:styleId="2SLA" w:customStyle="1">
    <w:name w:val="Заголовок 2 SLA"/>
    <w:basedOn w:val="1SLA"/>
    <w:next w:val="Normal"/>
    <w:qFormat/>
    <w:rsid w:val="00026c6d"/>
    <w:pPr>
      <w:outlineLvl w:val="2"/>
    </w:pPr>
    <w:rPr/>
  </w:style>
  <w:style w:type="paragraph" w:styleId="3SLA" w:customStyle="1">
    <w:name w:val="Заголовок 3 SLA"/>
    <w:basedOn w:val="2SLA"/>
    <w:next w:val="Normal"/>
    <w:qFormat/>
    <w:rsid w:val="00026c6d"/>
    <w:pPr>
      <w:outlineLvl w:val="3"/>
    </w:pPr>
    <w:rPr/>
  </w:style>
  <w:style w:type="paragraph" w:styleId="Style69" w:customStyle="1">
    <w:name w:val="Комментарий"/>
    <w:basedOn w:val="Normal"/>
    <w:qFormat/>
    <w:pPr>
      <w:spacing w:lineRule="auto" w:line="240" w:before="56" w:after="0"/>
      <w:ind w:hanging="0" w:start="57" w:end="57"/>
    </w:pPr>
    <w:rPr>
      <w:sz w:val="20"/>
      <w:szCs w:val="20"/>
    </w:rPr>
  </w:style>
  <w:style w:type="paragraph" w:styleId="Style70" w:customStyle="1">
    <w:name w:val="Содержимое таблицы"/>
    <w:basedOn w:val="Normal"/>
    <w:qFormat/>
    <w:pPr>
      <w:widowControl w:val="false"/>
      <w:suppressLineNumbers/>
    </w:pPr>
    <w:rPr/>
  </w:style>
  <w:style w:type="paragraph" w:styleId="Style71" w:customStyle="1">
    <w:name w:val="Заголовок таблицы"/>
    <w:basedOn w:val="Style70"/>
    <w:qFormat/>
    <w:pPr>
      <w:jc w:val="center"/>
    </w:pPr>
    <w:rPr>
      <w:b/>
      <w:bCs/>
    </w:rPr>
  </w:style>
  <w:style w:type="numbering" w:styleId="user7" w:default="1">
    <w:name w:val="Без списка (user)"/>
    <w:uiPriority w:val="99"/>
    <w:semiHidden/>
    <w:unhideWhenUsed/>
    <w:qFormat/>
  </w:style>
  <w:style w:type="numbering" w:styleId="Style72" w:customStyle="1">
    <w:name w:val="Без списка"/>
    <w:uiPriority w:val="99"/>
    <w:semiHidden/>
    <w:unhideWhenUsed/>
    <w:qFormat/>
  </w:style>
  <w:style w:type="numbering" w:styleId="MGTitles" w:customStyle="1">
    <w:name w:val="MG_Titles"/>
    <w:uiPriority w:val="99"/>
    <w:qFormat/>
  </w:style>
  <w:style w:type="numbering" w:styleId="Style73" w:customStyle="1">
    <w:name w:val="Маркированный многоуровневый список"/>
    <w:uiPriority w:val="99"/>
    <w:qFormat/>
  </w:style>
  <w:style w:type="numbering" w:styleId="rsvStyle" w:customStyle="1">
    <w:name w:val="rsvStyle"/>
    <w:uiPriority w:val="99"/>
    <w:qFormat/>
    <w:rsid w:val="002f72f0"/>
  </w:style>
  <w:style w:type="table" w:default="1" w:styleId="a5">
    <w:name w:val="Normal Table"/>
    <w:uiPriority w:val="99"/>
    <w:semiHidden/>
    <w:unhideWhenUsed/>
    <w:tblPr>
      <w:tblCellMar>
        <w:top w:w="0" w:type="dxa"/>
        <w:left w:w="108" w:type="dxa"/>
        <w:bottom w:w="0" w:type="dxa"/>
        <w:right w:w="108" w:type="dxa"/>
      </w:tblCellMar>
    </w:tblPr>
  </w:style>
  <w:style w:type="table" w:customStyle="1" w:styleId="112">
    <w:name w:val="Таблица простая 11"/>
    <w:basedOn w:val="a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5"/>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5"/>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5"/>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5"/>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5"/>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21">
    <w:name w:val="Таблица-сетка 21"/>
    <w:basedOn w:val="a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31">
    <w:name w:val="Таблица-сетка 31"/>
    <w:basedOn w:val="a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41">
    <w:name w:val="Таблица-сетка 41"/>
    <w:basedOn w:val="a5"/>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51">
    <w:name w:val="Таблица-сетка 5 темная1"/>
    <w:basedOn w:val="a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5"/>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71">
    <w:name w:val="Таблица-сетка 7 цветная1"/>
    <w:basedOn w:val="a5"/>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110">
    <w:name w:val="Список-таблица 1 светлая1"/>
    <w:basedOn w:val="a5"/>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5"/>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310">
    <w:name w:val="Список-таблица 31"/>
    <w:basedOn w:val="a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410">
    <w:name w:val="Список-таблица 41"/>
    <w:basedOn w:val="a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510">
    <w:name w:val="Список-таблица 5 темная1"/>
    <w:basedOn w:val="a5"/>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610">
    <w:name w:val="Список-таблица 6 цветная1"/>
    <w:basedOn w:val="a5"/>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710">
    <w:name w:val="Список-таблица 7 цветная1"/>
    <w:basedOn w:val="a5"/>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TableGridLight">
    <w:name w:val="Table Grid Light"/>
    <w:basedOn w:val="a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3">
    <w:name w:val="Таблица простая 11"/>
    <w:basedOn w:val="a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
    <w:name w:val="Таблица простая 21"/>
    <w:basedOn w:val="a5"/>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1">
    <w:name w:val="Таблица простая 31"/>
    <w:basedOn w:val="a5"/>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1">
    <w:name w:val="Таблица простая 41"/>
    <w:basedOn w:val="a5"/>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1">
    <w:name w:val="Таблица простая 51"/>
    <w:basedOn w:val="a5"/>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1">
    <w:name w:val="Таблица-сетка 1 светлая1"/>
    <w:basedOn w:val="a5"/>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5"/>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rPr>
      <w:tblPr/>
      <w:tcPr>
        <w:tcBorders>
          <w:bottom w:val="single" w:color="5B9BD5"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GridTable1Light-Accent2">
    <w:name w:val="Grid Table 1 Light - Accent 2"/>
    <w:basedOn w:val="a5"/>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rPr>
      <w:tblPr/>
      <w:tcPr>
        <w:tcBorders>
          <w:bottom w:val="single" w:color="ED7D31"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GridTable1Light-Accent3">
    <w:name w:val="Grid Table 1 Light - Accent 3"/>
    <w:basedOn w:val="a5"/>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rPr>
      <w:tblPr/>
      <w:tcPr>
        <w:tcBorders>
          <w:bottom w:val="single" w:color="A5A5A5"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GridTable1Light-Accent4">
    <w:name w:val="Grid Table 1 Light - Accent 4"/>
    <w:basedOn w:val="a5"/>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rPr>
      <w:tblPr/>
      <w:tcPr>
        <w:tcBorders>
          <w:bottom w:val="single" w:color="FFC000"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GridTable1Light-Accent5">
    <w:name w:val="Grid Table 1 Light - Accent 5"/>
    <w:basedOn w:val="a5"/>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rPr>
      <w:tblPr/>
      <w:tcPr>
        <w:tcBorders>
          <w:bottom w:val="single" w:color="4472C4"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GridTable1Light-Accent6">
    <w:name w:val="Grid Table 1 Light - Accent 6"/>
    <w:basedOn w:val="a5"/>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rPr>
      <w:tblPr/>
      <w:tcPr>
        <w:tcBorders>
          <w:bottom w:val="single" w:color="70AD47"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211">
    <w:name w:val="Таблица-сетка 21"/>
    <w:basedOn w:val="a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rPr>
      <w:tblPr/>
      <w:tcPr>
        <w:tcBorders>
          <w:top w:val="none" w:color="000000" w:sz="4" w:space="0"/>
          <w:left w:val="none" w:color="000000" w:sz="4" w:space="0"/>
          <w:bottom w:val="single" w:color="5B9BD5" w:themeColor="accent1" w:sz="12" w:space="0"/>
          <w:right w:val="none" w:color="000000" w:sz="4" w:space="0"/>
        </w:tcBorders>
        <w:shd w:val="clear" w:color="FFFFFF" w:fill="auto"/>
      </w:tcPr>
    </w:tblStylePr>
    <w:tblStylePr w:type="lastRow">
      <w:rPr>
        <w:b/>
      </w:rPr>
      <w:tblPr/>
      <w:tcPr>
        <w:tcBorders>
          <w:top w:val="single" w:color="5B9BD5"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311">
    <w:name w:val="Таблица-сетка 31"/>
    <w:basedOn w:val="a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411">
    <w:name w:val="Таблица-сетка 41"/>
    <w:basedOn w:val="a5"/>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2D8" w:fill="68A2D8" w:themeFill="accent1" w:themeFillTint="ea"/>
      </w:tcPr>
    </w:tblStylePr>
    <w:tblStylePr w:type="lastRow">
      <w:rPr>
        <w:b/>
      </w:rPr>
      <w:tblPr/>
      <w:tcPr>
        <w:tcBorders>
          <w:top w:val="single" w:color="5B9BD5" w:themeColor="accent1" w:sz="4" w:space="0"/>
        </w:tcBorders>
      </w:tcPr>
    </w:tblStylePr>
    <w:tblStylePr w:type="firstCol">
      <w:rPr>
        <w:b/>
      </w:rPr>
      <w:tblPr/>
    </w:tblStylePr>
    <w:tblStylePr w:type="lastCol">
      <w:rPr>
        <w:b/>
      </w:rPr>
      <w:tblPr/>
    </w:tblStylePr>
    <w:tblStylePr w:type="band1Vert">
      <w:rPr>
        <w:sz w:val="22"/>
      </w:rPr>
      <w:tblPr/>
      <w:tcPr>
        <w:shd w:val="clear" w:color="DEEBF6" w:fill="DEEBF6" w:themeFill="accent1" w:themeFillTint="32"/>
      </w:tcPr>
    </w:tblStylePr>
    <w:tblStylePr w:type="band1Horz">
      <w:rPr>
        <w:sz w:val="22"/>
      </w:rPr>
      <w:tblPr/>
      <w:tcPr>
        <w:shd w:val="clear" w:color="DEEBF6" w:fill="DEEBF6" w:themeFill="accent1" w:themeFillTint="32"/>
      </w:tcPr>
    </w:tblStylePr>
  </w:style>
  <w:style w:type="table" w:customStyle="1" w:styleId="GridTable4-Accent2">
    <w:name w:val="Grid Table 4 - Accent 2"/>
    <w:basedOn w:val="a5"/>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rPr>
      <w:tblPr/>
      <w:tcPr>
        <w:tcBorders>
          <w:top w:val="single" w:color="ED7D31" w:themeColor="accent2" w:sz="4" w:space="0"/>
        </w:tcBorders>
      </w:tcPr>
    </w:tblStylePr>
    <w:tblStylePr w:type="firstCol">
      <w:rPr>
        <w:b/>
      </w:rPr>
      <w:tblPr/>
    </w:tblStylePr>
    <w:tblStylePr w:type="lastCol">
      <w:rPr>
        <w:b/>
      </w:rPr>
      <w:tbl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a5"/>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rPr>
      <w:tblPr/>
      <w:tcPr>
        <w:tcBorders>
          <w:top w:val="single" w:color="A5A5A5" w:themeColor="accent3" w:sz="4" w:space="0"/>
        </w:tcBorders>
      </w:tcPr>
    </w:tblStylePr>
    <w:tblStylePr w:type="firstCol">
      <w:rPr>
        <w:b/>
      </w:rPr>
      <w:tblPr/>
    </w:tblStylePr>
    <w:tblStylePr w:type="lastCol">
      <w:rPr>
        <w:b/>
      </w:rPr>
      <w:tbl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a5"/>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rPr>
      <w:tblPr/>
      <w:tcPr>
        <w:tcBorders>
          <w:top w:val="single" w:color="FFC000" w:themeColor="accent4" w:sz="4" w:space="0"/>
        </w:tcBorders>
      </w:tcPr>
    </w:tblStylePr>
    <w:tblStylePr w:type="firstCol">
      <w:rPr>
        <w:b/>
      </w:rPr>
      <w:tblPr/>
    </w:tblStylePr>
    <w:tblStylePr w:type="lastCol">
      <w:rPr>
        <w:b/>
      </w:rPr>
      <w:tbl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a5"/>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rPr>
      <w:tblPr/>
      <w:tcPr>
        <w:tcBorders>
          <w:top w:val="single" w:color="4472C4" w:themeColor="accent5" w:sz="4" w:space="0"/>
        </w:tcBorders>
      </w:tcPr>
    </w:tblStylePr>
    <w:tblStylePr w:type="firstCol">
      <w:rPr>
        <w:b/>
      </w:rPr>
      <w:tblPr/>
    </w:tblStylePr>
    <w:tblStylePr w:type="lastCol">
      <w:rPr>
        <w:b/>
      </w:rPr>
      <w:tbl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4-Accent6">
    <w:name w:val="Grid Table 4 - Accent 6"/>
    <w:basedOn w:val="a5"/>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rPr>
      <w:tblPr/>
      <w:tcPr>
        <w:tcBorders>
          <w:top w:val="single" w:color="70AD47" w:themeColor="accent6" w:sz="4" w:space="0"/>
        </w:tcBorders>
      </w:tcPr>
    </w:tblStylePr>
    <w:tblStylePr w:type="firstCol">
      <w:rPr>
        <w:b/>
      </w:rPr>
      <w:tblPr/>
    </w:tblStylePr>
    <w:tblStylePr w:type="lastCol">
      <w:rPr>
        <w:b/>
      </w:rPr>
      <w:tbl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511">
    <w:name w:val="Таблица-сетка 5 темная1"/>
    <w:basedOn w:val="a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5B9BD5" w:fill="5B9BD5" w:themeFill="accent1"/>
      </w:tcPr>
    </w:tblStylePr>
    <w:tblStylePr w:type="lastRow">
      <w:rPr>
        <w:b/>
        <w:sz w:val="22"/>
      </w:rPr>
      <w:tblPr/>
      <w:tcPr>
        <w:tcBorders>
          <w:top w:val="single" w:color="FFFFFF" w:themeColor="light1" w:sz="4" w:space="0"/>
        </w:tcBorders>
        <w:shd w:val="clear" w:color="5B9BD5" w:fill="5B9BD5" w:themeFill="accent1"/>
      </w:tcPr>
    </w:tblStylePr>
    <w:tblStylePr w:type="firstCol">
      <w:rPr>
        <w:b/>
        <w:sz w:val="22"/>
      </w:rPr>
      <w:tblPr/>
      <w:tcPr>
        <w:shd w:val="clear" w:color="5B9BD5" w:fill="5B9BD5" w:themeFill="accent1"/>
      </w:tcPr>
    </w:tblStylePr>
    <w:tblStylePr w:type="lastCol">
      <w:rPr>
        <w:b/>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ED7D31" w:fill="ED7D31" w:themeFill="accent2"/>
      </w:tcPr>
    </w:tblStylePr>
    <w:tblStylePr w:type="lastRow">
      <w:rPr>
        <w:b/>
        <w:sz w:val="22"/>
      </w:rPr>
      <w:tblPr/>
      <w:tcPr>
        <w:tcBorders>
          <w:top w:val="single" w:color="FFFFFF" w:themeColor="light1" w:sz="4" w:space="0"/>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A5A5A5" w:fill="A5A5A5" w:themeFill="accent3"/>
      </w:tcPr>
    </w:tblStylePr>
    <w:tblStylePr w:type="lastRow">
      <w:rPr>
        <w:b/>
        <w:sz w:val="22"/>
      </w:rPr>
      <w:tblPr/>
      <w:tcPr>
        <w:tcBorders>
          <w:top w:val="single" w:color="FFFFFF" w:themeColor="light1" w:sz="4" w:space="0"/>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FC000" w:fill="FFC000" w:themeFill="accent4"/>
      </w:tcPr>
    </w:tblStylePr>
    <w:tblStylePr w:type="lastRow">
      <w:rPr>
        <w:b/>
        <w:sz w:val="22"/>
      </w:rPr>
      <w:tblPr/>
      <w:tcPr>
        <w:tcBorders>
          <w:top w:val="single" w:color="FFFFFF" w:themeColor="light1" w:sz="4" w:space="0"/>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472C4" w:fill="4472C4" w:themeFill="accent5"/>
      </w:tcPr>
    </w:tblStylePr>
    <w:tblStylePr w:type="lastRow">
      <w:rPr>
        <w:b/>
        <w:sz w:val="22"/>
      </w:rPr>
      <w:tblPr/>
      <w:tcPr>
        <w:tcBorders>
          <w:top w:val="single" w:color="FFFFFF" w:themeColor="light1" w:sz="4" w:space="0"/>
        </w:tcBorders>
        <w:shd w:val="clear" w:color="4472C4" w:fill="4472C4" w:themeFill="accent5"/>
      </w:tcPr>
    </w:tblStylePr>
    <w:tblStylePr w:type="firstCol">
      <w:rPr>
        <w:b/>
        <w:sz w:val="22"/>
      </w:rPr>
      <w:tblPr/>
      <w:tcPr>
        <w:shd w:val="clear" w:color="4472C4" w:fill="4472C4" w:themeFill="accent5"/>
      </w:tcPr>
    </w:tblStylePr>
    <w:tblStylePr w:type="lastCol">
      <w:rPr>
        <w:b/>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70AD47" w:fill="70AD47" w:themeFill="accent6"/>
      </w:tcPr>
    </w:tblStylePr>
    <w:tblStylePr w:type="lastRow">
      <w:rPr>
        <w:b/>
        <w:sz w:val="22"/>
      </w:rPr>
      <w:tblPr/>
      <w:tcPr>
        <w:tcBorders>
          <w:top w:val="single" w:color="FFFFFF" w:themeColor="light1" w:sz="4" w:space="0"/>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5"/>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5"/>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themeColor="accent1" w:themeTint="80" w:themeShade="95"/>
      </w:rPr>
      <w:tblPr/>
      <w:tcPr>
        <w:tcBorders>
          <w:bottom w:val="single" w:color="5B9BD5"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DEAF6" w:fill="DDEAF6" w:themeFill="accent1" w:themeFillTint="34"/>
      </w:tcPr>
    </w:tblStylePr>
    <w:tblStylePr w:type="band1Horz">
      <w:rPr>
        <w:color w:themeColor="accent1" w:themeTint="80" w:themeShade="95"/>
        <w:sz w:val="22"/>
      </w:rPr>
      <w:tblPr/>
      <w:tcPr>
        <w:shd w:val="clear" w:color="DDEAF6" w:fill="DDEAF6"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5"/>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themeColor="accent2" w:themeTint="97" w:themeShade="95"/>
      </w:rPr>
      <w:tblPr/>
      <w:tcPr>
        <w:tcBorders>
          <w:bottom w:val="single" w:color="ED7D31"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BE5D6" w:fill="FBE5D6" w:themeFill="accent2" w:themeFillTint="32"/>
      </w:tcPr>
    </w:tblStylePr>
    <w:tblStylePr w:type="band1Horz">
      <w:rPr>
        <w:color w:themeColor="accent2" w:themeTint="97" w:themeShade="95"/>
        <w:sz w:val="22"/>
      </w:rPr>
      <w:tblPr/>
      <w:tcPr>
        <w:shd w:val="clear" w:color="FBE5D6" w:fill="FBE5D6"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5"/>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themeColor="accent3" w:themeTint="fe" w:themeShade="95"/>
      </w:rPr>
      <w:tblPr/>
      <w:tcPr>
        <w:tcBorders>
          <w:bottom w:val="single" w:color="A5A5A5"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CECEC" w:fill="ECECEC" w:themeFill="accent3" w:themeFillTint="34"/>
      </w:tcPr>
    </w:tblStylePr>
    <w:tblStylePr w:type="band1Horz">
      <w:rPr>
        <w:color w:themeColor="accent3" w:themeTint="fe" w:themeShade="95"/>
        <w:sz w:val="22"/>
      </w:rPr>
      <w:tblPr/>
      <w:tcPr>
        <w:shd w:val="clear" w:color="ECECEC" w:fill="ECECE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5"/>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themeColor="accent4" w:themeTint="9a" w:themeShade="95"/>
      </w:rPr>
      <w:tblPr/>
      <w:tcPr>
        <w:tcBorders>
          <w:bottom w:val="single" w:color="FFC000"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FFF2CB" w:fill="FFF2CB" w:themeFill="accent4" w:themeFillTint="34"/>
      </w:tcPr>
    </w:tblStylePr>
    <w:tblStylePr w:type="band1Horz">
      <w:rPr>
        <w:color w:themeColor="accent4" w:themeTint="9a" w:themeShade="95"/>
        <w:sz w:val="22"/>
      </w:rPr>
      <w:tblPr/>
      <w:tcPr>
        <w:shd w:val="clear" w:color="FFF2CB" w:fill="FFF2CB"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5"/>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themeColor="accent5" w:themeShade="95"/>
      </w:rPr>
      <w:tblPr/>
      <w:tcPr>
        <w:tcBorders>
          <w:bottom w:val="single" w:color="4472C4"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8E2F3" w:fill="D8E2F3" w:themeFill="accent5" w:themeFillTint="34"/>
      </w:tcPr>
    </w:tblStylePr>
    <w:tblStylePr w:type="band1Horz">
      <w:rPr>
        <w:color w:themeColor="accent5" w:themeShade="95"/>
        <w:sz w:val="22"/>
      </w:rPr>
      <w:tblPr/>
      <w:tcPr>
        <w:shd w:val="clear" w:color="D8E2F3" w:fill="D8E2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5"/>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themeColor="accent5" w:themeShade="95"/>
      </w:rPr>
      <w:tblPr/>
      <w:tcPr>
        <w:tcBorders>
          <w:bottom w:val="single" w:color="70AD47"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E1EFD8" w:fill="E1EFD8" w:themeFill="accent6" w:themeFillTint="34"/>
      </w:tcPr>
    </w:tblStylePr>
    <w:tblStylePr w:type="band1Horz">
      <w:rPr>
        <w:color w:themeColor="accent5" w:themeShade="95"/>
        <w:sz w:val="22"/>
      </w:rPr>
      <w:tblPr/>
      <w:tcPr>
        <w:shd w:val="clear" w:color="E1EFD8" w:fill="E1EFD8" w:themeFill="accent6" w:themeFillTint="34"/>
      </w:tcPr>
    </w:tblStylePr>
    <w:tblStylePr w:type="band2Horz">
      <w:rPr>
        <w:color w:themeColor="accent5" w:themeShade="95"/>
        <w:sz w:val="22"/>
      </w:rPr>
      <w:tblPr/>
    </w:tblStylePr>
  </w:style>
  <w:style w:type="table" w:customStyle="1" w:styleId="-711">
    <w:name w:val="Таблица-сетка 7 цветная1"/>
    <w:basedOn w:val="a5"/>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5"/>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auto"/>
      </w:tcPr>
    </w:tblStylePr>
    <w:tblStylePr w:type="band1Vert">
      <w:tblPr/>
      <w:tcPr>
        <w:shd w:val="clear" w:color="DDEAF6" w:fill="DDEAF6" w:themeFill="accent1" w:themeFillTint="34"/>
      </w:tcPr>
    </w:tblStylePr>
    <w:tblStylePr w:type="band1Horz">
      <w:rPr>
        <w:color w:themeColor="accent1" w:themeTint="80" w:themeShade="95"/>
        <w:sz w:val="22"/>
      </w:rPr>
      <w:tblPr/>
      <w:tcPr>
        <w:shd w:val="clear" w:color="DDEAF6" w:fill="DDEAF6"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5"/>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auto"/>
      </w:tcPr>
    </w:tblStylePr>
    <w:tblStylePr w:type="band1Vert">
      <w:tblPr/>
      <w:tcPr>
        <w:shd w:val="clear" w:color="FBE5D6" w:fill="FBE5D6" w:themeFill="accent2" w:themeFillTint="32"/>
      </w:tcPr>
    </w:tblStylePr>
    <w:tblStylePr w:type="band1Horz">
      <w:rPr>
        <w:color w:themeColor="accent2" w:themeTint="97" w:themeShade="95"/>
        <w:sz w:val="22"/>
      </w:rPr>
      <w:tblPr/>
      <w:tcPr>
        <w:shd w:val="clear" w:color="FBE5D6" w:fill="FBE5D6"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5"/>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auto"/>
      </w:tcPr>
    </w:tblStylePr>
    <w:tblStylePr w:type="band1Vert">
      <w:tblPr/>
      <w:tcPr>
        <w:shd w:val="clear" w:color="ECECEC" w:fill="ECECEC" w:themeFill="accent3" w:themeFillTint="34"/>
      </w:tcPr>
    </w:tblStylePr>
    <w:tblStylePr w:type="band1Horz">
      <w:rPr>
        <w:color w:themeColor="accent3" w:themeTint="fe" w:themeShade="95"/>
        <w:sz w:val="22"/>
      </w:rPr>
      <w:tblPr/>
      <w:tcPr>
        <w:shd w:val="clear" w:color="ECECEC" w:fill="ECECE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5"/>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auto"/>
      </w:tcPr>
    </w:tblStylePr>
    <w:tblStylePr w:type="band1Vert">
      <w:tblPr/>
      <w:tcPr>
        <w:shd w:val="clear" w:color="FFF2CB" w:fill="FFF2CB" w:themeFill="accent4" w:themeFillTint="34"/>
      </w:tcPr>
    </w:tblStylePr>
    <w:tblStylePr w:type="band1Horz">
      <w:rPr>
        <w:color w:themeColor="accent4" w:themeTint="9a" w:themeShade="95"/>
        <w:sz w:val="22"/>
      </w:rPr>
      <w:tblPr/>
      <w:tcPr>
        <w:shd w:val="clear" w:color="FFF2CB" w:fill="FFF2CB"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5"/>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auto"/>
      </w:tcPr>
    </w:tblStylePr>
    <w:tblStylePr w:type="lastCol">
      <w:rPr>
        <w:i/>
        <w:color w:themeColor="accent5"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auto"/>
      </w:tcPr>
    </w:tblStylePr>
    <w:tblStylePr w:type="band1Vert">
      <w:tblPr/>
      <w:tcPr>
        <w:shd w:val="clear" w:color="D8E2F3" w:fill="D8E2F3" w:themeFill="accent5" w:themeFillTint="34"/>
      </w:tcPr>
    </w:tblStylePr>
    <w:tblStylePr w:type="band1Horz">
      <w:rPr>
        <w:color w:themeColor="accent5" w:themeShade="95"/>
        <w:sz w:val="22"/>
      </w:rPr>
      <w:tblPr/>
      <w:tcPr>
        <w:shd w:val="clear" w:color="D8E2F3" w:fill="D8E2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5"/>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auto"/>
      </w:tcPr>
    </w:tblStylePr>
    <w:tblStylePr w:type="lastCol">
      <w:rPr>
        <w:i/>
        <w:color w:themeColor="accent6"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auto"/>
      </w:tcPr>
    </w:tblStylePr>
    <w:tblStylePr w:type="band1Vert">
      <w:tblPr/>
      <w:tcPr>
        <w:shd w:val="clear" w:color="E1EFD8" w:fill="E1EFD8" w:themeFill="accent6" w:themeFillTint="34"/>
      </w:tcPr>
    </w:tblStylePr>
    <w:tblStylePr w:type="band1Horz">
      <w:rPr>
        <w:color w:themeColor="accent6" w:themeShade="95"/>
        <w:sz w:val="22"/>
      </w:rPr>
      <w:tblPr/>
      <w:tcPr>
        <w:shd w:val="clear" w:color="E1EFD8" w:fill="E1EFD8" w:themeFill="accent6" w:themeFillTint="34"/>
      </w:tcPr>
    </w:tblStylePr>
    <w:tblStylePr w:type="band2Horz">
      <w:rPr>
        <w:color w:themeColor="accent6" w:themeShade="95"/>
        <w:sz w:val="22"/>
      </w:rPr>
      <w:tblPr/>
    </w:tblStylePr>
  </w:style>
  <w:style w:type="table" w:customStyle="1" w:styleId="-112">
    <w:name w:val="Список-таблица 1 светлая1"/>
    <w:basedOn w:val="a5"/>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5"/>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Row">
      <w:rPr>
        <w:b/>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2-Accent2">
    <w:name w:val="List Table 2 - Accent 2"/>
    <w:basedOn w:val="a5"/>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a5"/>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a5"/>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a5"/>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Row">
      <w:rPr>
        <w:b/>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2-Accent6">
    <w:name w:val="List Table 2 - Accent 6"/>
    <w:basedOn w:val="a5"/>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312">
    <w:name w:val="Список-таблица 31"/>
    <w:basedOn w:val="a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5"/>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sz w:val="22"/>
      </w:rPr>
      <w:tblPr/>
      <w:tcPr>
        <w:shd w:val="clear" w:color="5B9BD5" w:fill="5B9BD5"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5B9BD5" w:themeColor="accent1" w:sz="4" w:space="0"/>
          <w:right w:val="single" w:color="5B9BD5" w:themeColor="accent1" w:sz="4" w:space="0"/>
        </w:tcBorders>
      </w:tcPr>
    </w:tblStylePr>
    <w:tblStylePr w:type="band1Horz">
      <w:rPr>
        <w:sz w:val="22"/>
      </w:rPr>
      <w:tblPr/>
      <w:tcPr>
        <w:tcBorders>
          <w:top w:val="single" w:color="5B9BD5" w:themeColor="accent1" w:sz="4" w:space="0"/>
          <w:bottom w:val="single" w:color="5B9BD5" w:themeColor="accent1" w:sz="4" w:space="0"/>
        </w:tcBorders>
      </w:tcPr>
    </w:tblStylePr>
  </w:style>
  <w:style w:type="table" w:customStyle="1" w:styleId="ListTable3-Accent2">
    <w:name w:val="List Table 3 - Accent 2"/>
    <w:basedOn w:val="a5"/>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sz w:val="22"/>
      </w:rPr>
      <w:tblPr/>
      <w:tcPr>
        <w:shd w:val="clear" w:color="F4B184" w:fill="F4B184"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ED7D31" w:themeColor="accent2" w:sz="4" w:space="0"/>
          <w:right w:val="single" w:color="ED7D31" w:themeColor="accent2" w:sz="4" w:space="0"/>
        </w:tcBorders>
      </w:tcPr>
    </w:tblStylePr>
    <w:tblStylePr w:type="band1Horz">
      <w:rPr>
        <w:sz w:val="22"/>
      </w:rPr>
      <w:tblPr/>
      <w:tcPr>
        <w:tcBorders>
          <w:top w:val="single" w:color="ED7D31" w:themeColor="accent2" w:sz="4" w:space="0"/>
          <w:bottom w:val="single" w:color="ED7D31" w:themeColor="accent2" w:sz="4" w:space="0"/>
        </w:tcBorders>
      </w:tcPr>
    </w:tblStylePr>
  </w:style>
  <w:style w:type="table" w:customStyle="1" w:styleId="ListTable3-Accent3">
    <w:name w:val="List Table 3 - Accent 3"/>
    <w:basedOn w:val="a5"/>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sz w:val="22"/>
      </w:rPr>
      <w:tblPr/>
      <w:tcPr>
        <w:shd w:val="clear" w:color="C9C9C9" w:fill="C9C9C9"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A5A5A5" w:themeColor="accent3" w:sz="4" w:space="0"/>
          <w:right w:val="single" w:color="A5A5A5" w:themeColor="accent3" w:sz="4" w:space="0"/>
        </w:tcBorders>
      </w:tcPr>
    </w:tblStylePr>
    <w:tblStylePr w:type="band1Horz">
      <w:rPr>
        <w:sz w:val="22"/>
      </w:rPr>
      <w:tblPr/>
      <w:tcPr>
        <w:tcBorders>
          <w:top w:val="single" w:color="A5A5A5" w:themeColor="accent3" w:sz="4" w:space="0"/>
          <w:bottom w:val="single" w:color="A5A5A5" w:themeColor="accent3" w:sz="4" w:space="0"/>
        </w:tcBorders>
      </w:tcPr>
    </w:tblStylePr>
  </w:style>
  <w:style w:type="table" w:customStyle="1" w:styleId="ListTable3-Accent4">
    <w:name w:val="List Table 3 - Accent 4"/>
    <w:basedOn w:val="a5"/>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sz w:val="22"/>
      </w:rPr>
      <w:tblPr/>
      <w:tcPr>
        <w:shd w:val="clear" w:color="FFD865" w:fill="FFD865"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FC000" w:themeColor="accent4" w:sz="4" w:space="0"/>
          <w:right w:val="single" w:color="FFC000" w:themeColor="accent4" w:sz="4" w:space="0"/>
        </w:tcBorders>
      </w:tcPr>
    </w:tblStylePr>
    <w:tblStylePr w:type="band1Horz">
      <w:rPr>
        <w:sz w:val="22"/>
      </w:rPr>
      <w:tblPr/>
      <w:tcPr>
        <w:tcBorders>
          <w:top w:val="single" w:color="FFC000" w:themeColor="accent4" w:sz="4" w:space="0"/>
          <w:bottom w:val="single" w:color="FFC000" w:themeColor="accent4" w:sz="4" w:space="0"/>
        </w:tcBorders>
      </w:tcPr>
    </w:tblStylePr>
  </w:style>
  <w:style w:type="table" w:customStyle="1" w:styleId="ListTable3-Accent5">
    <w:name w:val="List Table 3 - Accent 5"/>
    <w:basedOn w:val="a5"/>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sz w:val="22"/>
      </w:rPr>
      <w:tblPr/>
      <w:tcPr>
        <w:shd w:val="clear" w:color="8DA9DB" w:fill="8DA9DB"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472C4" w:themeColor="accent5" w:sz="4" w:space="0"/>
          <w:right w:val="single" w:color="4472C4" w:themeColor="accent5" w:sz="4" w:space="0"/>
        </w:tcBorders>
      </w:tcPr>
    </w:tblStylePr>
    <w:tblStylePr w:type="band1Horz">
      <w:rPr>
        <w:sz w:val="22"/>
      </w:rPr>
      <w:tblPr/>
      <w:tcPr>
        <w:tcBorders>
          <w:top w:val="single" w:color="4472C4" w:themeColor="accent5" w:sz="4" w:space="0"/>
          <w:bottom w:val="single" w:color="4472C4" w:themeColor="accent5" w:sz="4" w:space="0"/>
        </w:tcBorders>
      </w:tcPr>
    </w:tblStylePr>
  </w:style>
  <w:style w:type="table" w:customStyle="1" w:styleId="ListTable3-Accent6">
    <w:name w:val="List Table 3 - Accent 6"/>
    <w:basedOn w:val="a5"/>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sz w:val="22"/>
      </w:rPr>
      <w:tblPr/>
      <w:tcPr>
        <w:shd w:val="clear" w:color="A9D08E" w:fill="A9D08E"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70AD47" w:themeColor="accent6" w:sz="4" w:space="0"/>
          <w:right w:val="single" w:color="70AD47" w:themeColor="accent6" w:sz="4" w:space="0"/>
        </w:tcBorders>
      </w:tcPr>
    </w:tblStylePr>
    <w:tblStylePr w:type="band1Horz">
      <w:rPr>
        <w:sz w:val="22"/>
      </w:rPr>
      <w:tblPr/>
      <w:tcPr>
        <w:tcBorders>
          <w:top w:val="single" w:color="70AD47" w:themeColor="accent6" w:sz="4" w:space="0"/>
          <w:bottom w:val="single" w:color="70AD47" w:themeColor="accent6" w:sz="4" w:space="0"/>
        </w:tcBorders>
      </w:tcPr>
    </w:tblStylePr>
  </w:style>
  <w:style w:type="table" w:customStyle="1" w:styleId="-412">
    <w:name w:val="Список-таблица 41"/>
    <w:basedOn w:val="a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sz w:val="22"/>
      </w:rPr>
      <w:tblPr/>
      <w:tcPr>
        <w:shd w:val="clear" w:color="5B9BD5" w:fill="5B9BD5"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4-Accent2">
    <w:name w:val="List Table 4 - Accent 2"/>
    <w:basedOn w:val="a5"/>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sz w:val="22"/>
      </w:rPr>
      <w:tblPr/>
      <w:tcPr>
        <w:shd w:val="clear" w:color="ED7D31" w:fill="ED7D31"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a5"/>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sz w:val="22"/>
      </w:rPr>
      <w:tblPr/>
      <w:tcPr>
        <w:shd w:val="clear" w:color="A5A5A5" w:fill="A5A5A5"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a5"/>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sz w:val="22"/>
      </w:rPr>
      <w:tblPr/>
      <w:tcPr>
        <w:shd w:val="clear" w:color="FFC000" w:fill="FFC000"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a5"/>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sz w:val="22"/>
      </w:rPr>
      <w:tblPr/>
      <w:tcPr>
        <w:shd w:val="clear" w:color="4472C4" w:fill="4472C4"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4-Accent6">
    <w:name w:val="List Table 4 - Accent 6"/>
    <w:basedOn w:val="a5"/>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sz w:val="22"/>
      </w:rPr>
      <w:tblPr/>
      <w:tcPr>
        <w:shd w:val="clear" w:color="70AD47" w:fill="70AD47"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512">
    <w:name w:val="Список-таблица 5 темная1"/>
    <w:basedOn w:val="a5"/>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themeColor="light1"/>
        <w:sz w:val="22"/>
      </w:rPr>
      <w:tblPr/>
    </w:tblStylePr>
    <w:tblStylePr w:type="firstCol">
      <w:rPr>
        <w:b/>
        <w:color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
    <w:name w:val="List Table 5 Dark - Accent 2"/>
    <w:basedOn w:val="a5"/>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themeColor="light1"/>
        <w:sz w:val="22"/>
      </w:rPr>
      <w:tblPr/>
    </w:tblStylePr>
    <w:tblStylePr w:type="firstCol">
      <w:rPr>
        <w:b/>
        <w:color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themeColor="light1"/>
        <w:sz w:val="22"/>
      </w:rPr>
      <w:tblPr/>
    </w:tblStylePr>
    <w:tblStylePr w:type="firstCol">
      <w:rPr>
        <w:b/>
        <w:color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themeColor="light1"/>
        <w:sz w:val="22"/>
      </w:rPr>
      <w:tblPr/>
    </w:tblStylePr>
    <w:tblStylePr w:type="firstCol">
      <w:rPr>
        <w:b/>
        <w:color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themeColor="light1"/>
        <w:sz w:val="22"/>
      </w:rPr>
      <w:tblPr/>
      <w:tcPr>
        <w:tcBorders>
          <w:top w:val="single" w:color="4472C4" w:themeColor="accent5" w:sz="32" w:space="0"/>
          <w:bottom w:val="single" w:color="FFFFFF" w:themeColor="light1" w:sz="12" w:space="0"/>
        </w:tcBorders>
        <w:shd w:val="clear" w:color="8DA9DB" w:fill="8DA9DB" w:themeFill="accent5" w:themeFillTint="9a"/>
      </w:tcPr>
    </w:tblStylePr>
    <w:tblStylePr w:type="lastRow">
      <w:rPr>
        <w:b/>
        <w:color w:themeColor="light1"/>
        <w:sz w:val="22"/>
      </w:rPr>
      <w:tblPr/>
    </w:tblStylePr>
    <w:tblStylePr w:type="firstCol">
      <w:rPr>
        <w:b/>
        <w:color w:themeColor="light1"/>
        <w:sz w:val="22"/>
      </w:rPr>
      <w:tblPr/>
      <w:tcPr>
        <w:tcBorders>
          <w:left w:val="single" w:color="4472C4" w:themeColor="accent5" w:sz="32" w:space="0"/>
          <w:right w:val="single" w:color="FFFFFF" w:themeColor="light1" w:sz="4" w:space="0"/>
        </w:tcBorders>
      </w:tcPr>
    </w:tblStylePr>
    <w:tblStylePr w:type="lastCol">
      <w:tblPr/>
      <w:tcPr>
        <w:tcBorders>
          <w:left w:val="single" w:color="FFFFFF" w:themeColor="light1" w:sz="4" w:space="0"/>
          <w:right w:val="single" w:color="4472C4"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themeColor="light1"/>
        <w:sz w:val="22"/>
      </w:rPr>
      <w:tblPr/>
    </w:tblStylePr>
    <w:tblStylePr w:type="firstCol">
      <w:rPr>
        <w:b/>
        <w:color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2">
    <w:name w:val="Список-таблица 6 цветная1"/>
    <w:basedOn w:val="a5"/>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5"/>
    <w:uiPriority w:val="99"/>
    <w:tblPr>
      <w:tblStyleRowBandSize w:val="1"/>
      <w:tblStyleColBandSize w:val="1"/>
      <w:tblBorders>
        <w:top w:val="single" w:color="5B9BD5" w:themeColor="accent1" w:sz="4" w:space="0"/>
        <w:bottom w:val="single" w:color="5B9BD5" w:themeColor="accent1" w:sz="4" w:space="0"/>
      </w:tblBorders>
    </w:tblPr>
    <w:tblStylePr w:type="firstRow">
      <w:rPr>
        <w:b/>
        <w:color w:themeColor="accent1" w:themeShade="95"/>
      </w:rPr>
      <w:tblPr/>
      <w:tcPr>
        <w:tcBorders>
          <w:bottom w:val="single" w:color="5B9BD5" w:themeColor="accent1" w:sz="4" w:space="0"/>
        </w:tcBorders>
      </w:tcPr>
    </w:tblStylePr>
    <w:tblStylePr w:type="lastRow">
      <w:rPr>
        <w:b/>
        <w:color w:themeColor="accent1" w:themeShade="95"/>
      </w:rPr>
      <w:tblPr/>
      <w:tcPr>
        <w:tcBorders>
          <w:top w:val="single" w:color="5B9BD5"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5E5F4" w:fill="D5E5F4" w:themeFill="accent1" w:themeFillTint="40"/>
      </w:tcPr>
    </w:tblStylePr>
    <w:tblStylePr w:type="band1Horz">
      <w:rPr>
        <w:color w:themeColor="accent1" w:themeShade="95"/>
        <w:sz w:val="22"/>
      </w:rPr>
      <w:tblPr/>
      <w:tcPr>
        <w:shd w:val="clear" w:color="D5E5F4" w:fill="D5E5F4"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5"/>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themeColor="accent2" w:themeTint="97" w:themeShade="95"/>
      </w:rPr>
      <w:tblPr/>
      <w:tcPr>
        <w:tcBorders>
          <w:bottom w:val="single" w:color="ED7D31" w:themeColor="accent2" w:sz="4" w:space="0"/>
        </w:tcBorders>
      </w:tcPr>
    </w:tblStylePr>
    <w:tblStylePr w:type="lastRow">
      <w:rPr>
        <w:b/>
        <w:color w:themeColor="accent2" w:themeTint="97" w:themeShade="95"/>
      </w:rPr>
      <w:tblPr/>
      <w:tcPr>
        <w:tcBorders>
          <w:top w:val="single" w:color="ED7D31"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ADECB" w:fill="FADECB" w:themeFill="accent2" w:themeFillTint="40"/>
      </w:tcPr>
    </w:tblStylePr>
    <w:tblStylePr w:type="band1Horz">
      <w:rPr>
        <w:color w:themeColor="accent2" w:themeTint="97" w:themeShade="95"/>
        <w:sz w:val="22"/>
      </w:rPr>
      <w:tblPr/>
      <w:tcPr>
        <w:shd w:val="clear" w:color="FADECB" w:fill="FADECB"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5"/>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themeColor="accent3" w:themeTint="98" w:themeShade="95"/>
      </w:rPr>
      <w:tblPr/>
      <w:tcPr>
        <w:tcBorders>
          <w:bottom w:val="single" w:color="A5A5A5" w:themeColor="accent3" w:sz="4" w:space="0"/>
        </w:tcBorders>
      </w:tcPr>
    </w:tblStylePr>
    <w:tblStylePr w:type="lastRow">
      <w:rPr>
        <w:b/>
        <w:color w:themeColor="accent3" w:themeTint="98" w:themeShade="95"/>
      </w:rPr>
      <w:tblPr/>
      <w:tcPr>
        <w:tcBorders>
          <w:top w:val="single" w:color="A5A5A5"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8E8E8" w:fill="E8E8E8" w:themeFill="accent3" w:themeFillTint="40"/>
      </w:tcPr>
    </w:tblStylePr>
    <w:tblStylePr w:type="band1Horz">
      <w:rPr>
        <w:color w:themeColor="accent3" w:themeTint="98" w:themeShade="95"/>
        <w:sz w:val="22"/>
      </w:rPr>
      <w:tblPr/>
      <w:tcPr>
        <w:shd w:val="clear" w:color="E8E8E8" w:fill="E8E8E8"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5"/>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themeColor="accent4" w:themeTint="9a" w:themeShade="95"/>
      </w:rPr>
      <w:tblPr/>
      <w:tcPr>
        <w:tcBorders>
          <w:bottom w:val="single" w:color="FFC000" w:themeColor="accent4" w:sz="4" w:space="0"/>
        </w:tcBorders>
      </w:tcPr>
    </w:tblStylePr>
    <w:tblStylePr w:type="lastRow">
      <w:rPr>
        <w:b/>
        <w:color w:themeColor="accent4" w:themeTint="9a" w:themeShade="95"/>
      </w:rPr>
      <w:tblPr/>
      <w:tcPr>
        <w:tcBorders>
          <w:top w:val="single" w:color="FFC000"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FFEFBF" w:fill="FFEFBF" w:themeFill="accent4" w:themeFillTint="40"/>
      </w:tcPr>
    </w:tblStylePr>
    <w:tblStylePr w:type="band1Horz">
      <w:rPr>
        <w:color w:themeColor="accent4" w:themeTint="9a" w:themeShade="95"/>
        <w:sz w:val="22"/>
      </w:rPr>
      <w:tblPr/>
      <w:tcPr>
        <w:shd w:val="clear" w:color="FFEFBF" w:fill="FFEFBF"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5"/>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themeColor="accent5" w:themeTint="9a" w:themeShade="95"/>
      </w:rPr>
      <w:tblPr/>
      <w:tcPr>
        <w:tcBorders>
          <w:bottom w:val="single" w:color="4472C4" w:themeColor="accent5" w:sz="4" w:space="0"/>
        </w:tcBorders>
      </w:tcPr>
    </w:tblStylePr>
    <w:tblStylePr w:type="lastRow">
      <w:rPr>
        <w:b/>
        <w:color w:themeColor="accent5" w:themeTint="9a" w:themeShade="95"/>
      </w:rPr>
      <w:tblPr/>
      <w:tcPr>
        <w:tcBorders>
          <w:top w:val="single" w:color="4472C4"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CFDBF0" w:fill="CFDBF0" w:themeFill="accent5" w:themeFillTint="40"/>
      </w:tcPr>
    </w:tblStylePr>
    <w:tblStylePr w:type="band1Horz">
      <w:rPr>
        <w:color w:themeColor="accent5" w:themeTint="9a" w:themeShade="95"/>
        <w:sz w:val="22"/>
      </w:rPr>
      <w:tblPr/>
      <w:tcPr>
        <w:shd w:val="clear" w:color="CFDBF0" w:fill="CFDB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5"/>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themeColor="accent6" w:themeTint="98" w:themeShade="95"/>
      </w:rPr>
      <w:tblPr/>
      <w:tcPr>
        <w:tcBorders>
          <w:bottom w:val="single" w:color="70AD47" w:themeColor="accent6" w:sz="4" w:space="0"/>
        </w:tcBorders>
      </w:tcPr>
    </w:tblStylePr>
    <w:tblStylePr w:type="lastRow">
      <w:rPr>
        <w:b/>
        <w:color w:themeColor="accent6" w:themeTint="98" w:themeShade="95"/>
      </w:rPr>
      <w:tblPr/>
      <w:tcPr>
        <w:tcBorders>
          <w:top w:val="single" w:color="70AD47"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DAEBCF" w:fill="DAEBCF" w:themeFill="accent6" w:themeFillTint="40"/>
      </w:tcPr>
    </w:tblStylePr>
    <w:tblStylePr w:type="band1Horz">
      <w:rPr>
        <w:color w:themeColor="accent6" w:themeTint="98" w:themeShade="95"/>
        <w:sz w:val="22"/>
      </w:rPr>
      <w:tblPr/>
      <w:tcPr>
        <w:shd w:val="clear" w:color="DAEBCF" w:fill="DAEBCF" w:themeFill="accent6" w:themeFillTint="40"/>
      </w:tcPr>
    </w:tblStylePr>
    <w:tblStylePr w:type="band2Horz">
      <w:rPr>
        <w:color w:themeColor="accent6" w:themeTint="98" w:themeShade="95"/>
        <w:sz w:val="22"/>
      </w:rPr>
      <w:tblPr/>
    </w:tblStylePr>
  </w:style>
  <w:style w:type="table" w:customStyle="1" w:styleId="-712">
    <w:name w:val="Список-таблица 7 цветная1"/>
    <w:basedOn w:val="a5"/>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5"/>
    <w:uiPriority w:val="99"/>
    <w:tblPr>
      <w:tblStyleRowBandSize w:val="1"/>
      <w:tblStyleColBandSize w:val="1"/>
      <w:tblBorders>
        <w:right w:val="single" w:color="5B9BD5" w:themeColor="accent1" w:sz="4" w:space="0"/>
      </w:tblBorders>
    </w:tblPr>
    <w:tblStylePr w:type="firstRow">
      <w:rPr>
        <w:i/>
        <w:color w:themeColor="accent1"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auto"/>
      </w:tcPr>
    </w:tblStylePr>
    <w:tblStylePr w:type="lastCol">
      <w:rPr>
        <w:i/>
        <w:color w:themeColor="accent1"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auto"/>
      </w:tcPr>
    </w:tblStylePr>
    <w:tblStylePr w:type="band1Vert">
      <w:tblPr/>
      <w:tcPr>
        <w:shd w:val="clear" w:color="D5E5F4" w:fill="D5E5F4" w:themeFill="accent1" w:themeFillTint="40"/>
      </w:tcPr>
    </w:tblStylePr>
    <w:tblStylePr w:type="band1Horz">
      <w:rPr>
        <w:color w:themeColor="accent1" w:themeShade="95"/>
        <w:sz w:val="22"/>
      </w:rPr>
      <w:tblPr/>
      <w:tcPr>
        <w:shd w:val="clear" w:color="D5E5F4" w:fill="D5E5F4"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5"/>
    <w:uiPriority w:val="99"/>
    <w:tblPr>
      <w:tblStyleRowBandSize w:val="1"/>
      <w:tblStyleColBandSize w:val="1"/>
      <w:tblBorders>
        <w:right w:val="single" w:color="F4B184"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auto"/>
      </w:tcPr>
    </w:tblStylePr>
    <w:tblStylePr w:type="band1Vert">
      <w:tblPr/>
      <w:tcPr>
        <w:shd w:val="clear" w:color="FADECB" w:fill="FADECB" w:themeFill="accent2" w:themeFillTint="40"/>
      </w:tcPr>
    </w:tblStylePr>
    <w:tblStylePr w:type="band1Horz">
      <w:rPr>
        <w:color w:themeColor="accent2" w:themeTint="97" w:themeShade="95"/>
        <w:sz w:val="22"/>
      </w:rPr>
      <w:tblPr/>
      <w:tcPr>
        <w:shd w:val="clear" w:color="FADECB" w:fill="FADECB"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5"/>
    <w:uiPriority w:val="99"/>
    <w:tblPr>
      <w:tblStyleRowBandSize w:val="1"/>
      <w:tblStyleColBandSize w:val="1"/>
      <w:tblBorders>
        <w:right w:val="single" w:color="C9C9C9"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auto"/>
      </w:tcPr>
    </w:tblStylePr>
    <w:tblStylePr w:type="band1Vert">
      <w:tblPr/>
      <w:tcPr>
        <w:shd w:val="clear" w:color="E8E8E8" w:fill="E8E8E8" w:themeFill="accent3" w:themeFillTint="40"/>
      </w:tcPr>
    </w:tblStylePr>
    <w:tblStylePr w:type="band1Horz">
      <w:rPr>
        <w:color w:themeColor="accent3" w:themeTint="98" w:themeShade="95"/>
        <w:sz w:val="22"/>
      </w:rPr>
      <w:tblPr/>
      <w:tcPr>
        <w:shd w:val="clear" w:color="E8E8E8" w:fill="E8E8E8"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5"/>
    <w:uiPriority w:val="99"/>
    <w:tblPr>
      <w:tblStyleRowBandSize w:val="1"/>
      <w:tblStyleColBandSize w:val="1"/>
      <w:tblBorders>
        <w:right w:val="single" w:color="FFD865"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auto"/>
      </w:tcPr>
    </w:tblStylePr>
    <w:tblStylePr w:type="band1Vert">
      <w:tblPr/>
      <w:tcPr>
        <w:shd w:val="clear" w:color="FFEFBF" w:fill="FFEFBF" w:themeFill="accent4" w:themeFillTint="40"/>
      </w:tcPr>
    </w:tblStylePr>
    <w:tblStylePr w:type="band1Horz">
      <w:rPr>
        <w:color w:themeColor="accent4" w:themeTint="9a" w:themeShade="95"/>
        <w:sz w:val="22"/>
      </w:rPr>
      <w:tblPr/>
      <w:tcPr>
        <w:shd w:val="clear" w:color="FFEFBF" w:fill="FFEFBF"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5"/>
    <w:uiPriority w:val="99"/>
    <w:tblPr>
      <w:tblStyleRowBandSize w:val="1"/>
      <w:tblStyleColBandSize w:val="1"/>
      <w:tblBorders>
        <w:right w:val="single" w:color="8DA9DB"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auto"/>
      </w:tcPr>
    </w:tblStylePr>
    <w:tblStylePr w:type="band1Vert">
      <w:tblPr/>
      <w:tcPr>
        <w:shd w:val="clear" w:color="CFDBF0" w:fill="CFDBF0" w:themeFill="accent5" w:themeFillTint="40"/>
      </w:tcPr>
    </w:tblStylePr>
    <w:tblStylePr w:type="band1Horz">
      <w:rPr>
        <w:color w:themeColor="accent5" w:themeTint="9a" w:themeShade="95"/>
        <w:sz w:val="22"/>
      </w:rPr>
      <w:tblPr/>
      <w:tcPr>
        <w:shd w:val="clear" w:color="CFDBF0" w:fill="CFDB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5"/>
    <w:uiPriority w:val="99"/>
    <w:tblPr>
      <w:tblStyleRowBandSize w:val="1"/>
      <w:tblStyleColBandSize w:val="1"/>
      <w:tblBorders>
        <w:right w:val="single" w:color="A9D08E"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auto"/>
      </w:tcPr>
    </w:tblStylePr>
    <w:tblStylePr w:type="band1Vert">
      <w:tblPr/>
      <w:tcPr>
        <w:shd w:val="clear" w:color="DAEBCF" w:fill="DAEBCF" w:themeFill="accent6" w:themeFillTint="40"/>
      </w:tcPr>
    </w:tblStylePr>
    <w:tblStylePr w:type="band1Horz">
      <w:rPr>
        <w:color w:themeColor="accent6" w:themeTint="98" w:themeShade="95"/>
        <w:sz w:val="22"/>
      </w:rPr>
      <w:tblPr/>
      <w:tcPr>
        <w:shd w:val="clear" w:color="DAEBCF" w:fill="DAEBCF" w:themeFill="accent6" w:themeFillTint="40"/>
      </w:tcPr>
    </w:tblStylePr>
    <w:tblStylePr w:type="band2Horz">
      <w:rPr>
        <w:color w:themeColor="accent6" w:themeTint="98" w:themeShade="95"/>
        <w:sz w:val="22"/>
      </w:rPr>
      <w:tblPr/>
    </w:tblStylePr>
  </w:style>
  <w:style w:type="table" w:customStyle="1" w:styleId="Lined-Accent">
    <w:name w:val="Lined - Accent"/>
    <w:basedOn w:val="a5"/>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5"/>
    <w:uiPriority w:val="99"/>
    <w:tblPr>
      <w:tblStyleRowBandSize w:val="1"/>
      <w:tblStyleColBandSize w:val="1"/>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Pr/>
    </w:tblStylePr>
    <w:tblStylePr w:type="band2Vert">
      <w:rPr>
        <w:sz w:val="22"/>
      </w:rPr>
      <w:tblPr/>
      <w:tcPr>
        <w:shd w:val="clear" w:color="CBDFF1" w:fill="CBDFF1" w:themeFill="accent1" w:themeFillTint="50"/>
      </w:tcPr>
    </w:tblStylePr>
    <w:tblStylePr w:type="band1Horz">
      <w:rPr>
        <w:sz w:val="22"/>
      </w:rPr>
      <w:tblPr/>
    </w:tblStylePr>
    <w:tblStylePr w:type="band2Horz">
      <w:rPr>
        <w:sz w:val="22"/>
      </w:rPr>
      <w:tblPr/>
      <w:tcPr>
        <w:shd w:val="clear" w:color="CBDFF1" w:fill="CBDFF1" w:themeFill="accent1" w:themeFillTint="50"/>
      </w:tcPr>
    </w:tblStylePr>
  </w:style>
  <w:style w:type="table" w:customStyle="1" w:styleId="Lined-Accent2">
    <w:name w:val="Lined - Accent 2"/>
    <w:basedOn w:val="a5"/>
    <w:uiPriority w:val="99"/>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Pr/>
    </w:tblStylePr>
    <w:tblStylePr w:type="band2Vert">
      <w:rPr>
        <w:sz w:val="22"/>
      </w:rPr>
      <w:tblPr/>
      <w:tcPr>
        <w:shd w:val="clear" w:color="FBE5D6" w:fill="FBE5D6" w:themeFill="accent2" w:themeFillTint="32"/>
      </w:tcPr>
    </w:tblStylePr>
    <w:tblStylePr w:type="band1Horz">
      <w:rPr>
        <w:sz w:val="22"/>
      </w:rPr>
      <w:tblPr/>
    </w:tblStylePr>
    <w:tblStylePr w:type="band2Horz">
      <w:rPr>
        <w:sz w:val="22"/>
      </w:rPr>
      <w:tblPr/>
      <w:tcPr>
        <w:shd w:val="clear" w:color="FBE5D6" w:fill="FBE5D6" w:themeFill="accent2" w:themeFillTint="32"/>
      </w:tcPr>
    </w:tblStylePr>
  </w:style>
  <w:style w:type="table" w:customStyle="1" w:styleId="Lined-Accent3">
    <w:name w:val="Lined - Accent 3"/>
    <w:basedOn w:val="a5"/>
    <w:uiPriority w:val="99"/>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Pr/>
    </w:tblStylePr>
    <w:tblStylePr w:type="band2Vert">
      <w:rPr>
        <w:sz w:val="22"/>
      </w:rPr>
      <w:tblPr/>
      <w:tcPr>
        <w:shd w:val="clear" w:color="ECECEC" w:fill="ECECEC" w:themeFill="accent3" w:themeFillTint="34"/>
      </w:tcPr>
    </w:tblStylePr>
    <w:tblStylePr w:type="band1Horz">
      <w:rPr>
        <w:sz w:val="22"/>
      </w:rPr>
      <w:tblPr/>
    </w:tblStylePr>
    <w:tblStylePr w:type="band2Horz">
      <w:rPr>
        <w:sz w:val="22"/>
      </w:rPr>
      <w:tblPr/>
      <w:tcPr>
        <w:shd w:val="clear" w:color="ECECEC" w:fill="ECECEC" w:themeFill="accent3" w:themeFillTint="34"/>
      </w:tcPr>
    </w:tblStylePr>
  </w:style>
  <w:style w:type="table" w:customStyle="1" w:styleId="Lined-Accent4">
    <w:name w:val="Lined - Accent 4"/>
    <w:basedOn w:val="a5"/>
    <w:uiPriority w:val="99"/>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Pr/>
    </w:tblStylePr>
    <w:tblStylePr w:type="band2Vert">
      <w:rPr>
        <w:sz w:val="22"/>
      </w:rPr>
      <w:tblPr/>
      <w:tcPr>
        <w:shd w:val="clear" w:color="FFF2CB" w:fill="FFF2CB" w:themeFill="accent4" w:themeFillTint="34"/>
      </w:tcPr>
    </w:tblStylePr>
    <w:tblStylePr w:type="band1Horz">
      <w:rPr>
        <w:sz w:val="22"/>
      </w:rPr>
      <w:tblPr/>
    </w:tblStylePr>
    <w:tblStylePr w:type="band2Horz">
      <w:rPr>
        <w:sz w:val="22"/>
      </w:rPr>
      <w:tblPr/>
      <w:tcPr>
        <w:shd w:val="clear" w:color="FFF2CB" w:fill="FFF2CB" w:themeFill="accent4" w:themeFillTint="34"/>
      </w:tcPr>
    </w:tblStylePr>
  </w:style>
  <w:style w:type="table" w:customStyle="1" w:styleId="Lined-Accent5">
    <w:name w:val="Lined - Accent 5"/>
    <w:basedOn w:val="a5"/>
    <w:uiPriority w:val="99"/>
    <w:tblPr>
      <w:tblStyleRowBandSize w:val="1"/>
      <w:tblStyleColBandSize w:val="1"/>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Pr/>
    </w:tblStylePr>
    <w:tblStylePr w:type="band2Vert">
      <w:rPr>
        <w:sz w:val="22"/>
      </w:rPr>
      <w:tblPr/>
      <w:tcPr>
        <w:shd w:val="clear" w:color="D8E2F3" w:fill="D8E2F3" w:themeFill="accent5" w:themeFillTint="34"/>
      </w:tcPr>
    </w:tblStylePr>
    <w:tblStylePr w:type="band1Horz">
      <w:rPr>
        <w:sz w:val="22"/>
      </w:rPr>
      <w:tblPr/>
    </w:tblStylePr>
    <w:tblStylePr w:type="band2Horz">
      <w:rPr>
        <w:sz w:val="22"/>
      </w:rPr>
      <w:tblPr/>
      <w:tcPr>
        <w:shd w:val="clear" w:color="D8E2F3" w:fill="D8E2F3" w:themeFill="accent5" w:themeFillTint="34"/>
      </w:tcPr>
    </w:tblStylePr>
  </w:style>
  <w:style w:type="table" w:customStyle="1" w:styleId="Lined-Accent6">
    <w:name w:val="Lined - Accent 6"/>
    <w:basedOn w:val="a5"/>
    <w:uiPriority w:val="99"/>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Pr/>
    </w:tblStylePr>
    <w:tblStylePr w:type="band2Vert">
      <w:rPr>
        <w:sz w:val="22"/>
      </w:rPr>
      <w:tblPr/>
      <w:tcPr>
        <w:shd w:val="clear" w:color="E1EFD8" w:fill="E1EFD8" w:themeFill="accent6" w:themeFillTint="34"/>
      </w:tcPr>
    </w:tblStylePr>
    <w:tblStylePr w:type="band1Horz">
      <w:rPr>
        <w:sz w:val="22"/>
      </w:rPr>
      <w:tbl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a5"/>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5"/>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Pr/>
    </w:tblStylePr>
    <w:tblStylePr w:type="band2Vert">
      <w:rPr>
        <w:sz w:val="22"/>
      </w:rPr>
      <w:tblPr/>
      <w:tcPr>
        <w:shd w:val="clear" w:color="CBDFF1" w:fill="CBDFF1" w:themeFill="accent1" w:themeFillTint="50"/>
      </w:tcPr>
    </w:tblStylePr>
    <w:tblStylePr w:type="band1Horz">
      <w:rPr>
        <w:sz w:val="22"/>
      </w:rPr>
      <w:tblPr/>
    </w:tblStylePr>
    <w:tblStylePr w:type="band2Horz">
      <w:rPr>
        <w:sz w:val="22"/>
      </w:rPr>
      <w:tblPr/>
      <w:tcPr>
        <w:shd w:val="clear" w:color="CBDFF1" w:fill="CBDFF1" w:themeFill="accent1" w:themeFillTint="50"/>
      </w:tcPr>
    </w:tblStylePr>
  </w:style>
  <w:style w:type="table" w:customStyle="1" w:styleId="BorderedLined-Accent2">
    <w:name w:val="Bordered &amp; Lined - Accent 2"/>
    <w:basedOn w:val="a5"/>
    <w:uiPriority w:val="99"/>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Pr/>
    </w:tblStylePr>
    <w:tblStylePr w:type="band2Vert">
      <w:rPr>
        <w:sz w:val="22"/>
      </w:rPr>
      <w:tblPr/>
      <w:tcPr>
        <w:shd w:val="clear" w:color="FBE5D6" w:fill="FBE5D6" w:themeFill="accent2" w:themeFillTint="32"/>
      </w:tcPr>
    </w:tblStylePr>
    <w:tblStylePr w:type="band1Horz">
      <w:rPr>
        <w:sz w:val="22"/>
      </w:rPr>
      <w:tbl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a5"/>
    <w:uiPriority w:val="99"/>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Pr/>
    </w:tblStylePr>
    <w:tblStylePr w:type="band2Vert">
      <w:rPr>
        <w:sz w:val="22"/>
      </w:rPr>
      <w:tblPr/>
      <w:tcPr>
        <w:shd w:val="clear" w:color="ECECEC" w:fill="ECECEC" w:themeFill="accent3" w:themeFillTint="34"/>
      </w:tcPr>
    </w:tblStylePr>
    <w:tblStylePr w:type="band1Horz">
      <w:rPr>
        <w:sz w:val="22"/>
      </w:rPr>
      <w:tbl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a5"/>
    <w:uiPriority w:val="99"/>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Pr/>
    </w:tblStylePr>
    <w:tblStylePr w:type="band2Vert">
      <w:rPr>
        <w:sz w:val="22"/>
      </w:rPr>
      <w:tblPr/>
      <w:tcPr>
        <w:shd w:val="clear" w:color="FFF2CB" w:fill="FFF2CB" w:themeFill="accent4" w:themeFillTint="34"/>
      </w:tcPr>
    </w:tblStylePr>
    <w:tblStylePr w:type="band1Horz">
      <w:rPr>
        <w:sz w:val="22"/>
      </w:rPr>
      <w:tbl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a5"/>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Pr/>
    </w:tblStylePr>
    <w:tblStylePr w:type="band2Vert">
      <w:rPr>
        <w:sz w:val="22"/>
      </w:rPr>
      <w:tblPr/>
      <w:tcPr>
        <w:shd w:val="clear" w:color="D8E2F3" w:fill="D8E2F3" w:themeFill="accent5" w:themeFillTint="34"/>
      </w:tcPr>
    </w:tblStylePr>
    <w:tblStylePr w:type="band1Horz">
      <w:rPr>
        <w:sz w:val="22"/>
      </w:rPr>
      <w:tblPr/>
    </w:tblStylePr>
    <w:tblStylePr w:type="band2Horz">
      <w:rPr>
        <w:sz w:val="22"/>
      </w:rPr>
      <w:tblPr/>
      <w:tcPr>
        <w:shd w:val="clear" w:color="D8E2F3" w:fill="D8E2F3" w:themeFill="accent5" w:themeFillTint="34"/>
      </w:tcPr>
    </w:tblStylePr>
  </w:style>
  <w:style w:type="table" w:customStyle="1" w:styleId="BorderedLined-Accent6">
    <w:name w:val="Bordered &amp; Lined - Accent 6"/>
    <w:basedOn w:val="a5"/>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Pr/>
    </w:tblStylePr>
    <w:tblStylePr w:type="band2Vert">
      <w:rPr>
        <w:sz w:val="22"/>
      </w:rPr>
      <w:tblPr/>
      <w:tcPr>
        <w:shd w:val="clear" w:color="E1EFD8" w:fill="E1EFD8" w:themeFill="accent6" w:themeFillTint="34"/>
      </w:tcPr>
    </w:tblStylePr>
    <w:tblStylePr w:type="band1Horz">
      <w:rPr>
        <w:sz w:val="22"/>
      </w:rPr>
      <w:tblPr/>
    </w:tblStylePr>
    <w:tblStylePr w:type="band2Horz">
      <w:rPr>
        <w:sz w:val="22"/>
      </w:rPr>
      <w:tblPr/>
      <w:tcPr>
        <w:shd w:val="clear" w:color="E1EFD8" w:fill="E1EFD8" w:themeFill="accent6" w:themeFillTint="34"/>
      </w:tcPr>
    </w:tblStylePr>
  </w:style>
  <w:style w:type="table" w:customStyle="1" w:styleId="Bordered">
    <w:name w:val="Bordered"/>
    <w:basedOn w:val="a5"/>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5"/>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sz w:val="22"/>
      </w:rPr>
      <w:tblPr/>
      <w:tcPr>
        <w:tcBorders>
          <w:bottom w:val="single" w:color="5B9BD5" w:themeColor="accent1" w:sz="12" w:space="0"/>
        </w:tcBorders>
      </w:tcPr>
    </w:tblStylePr>
    <w:tblStylePr w:type="lastRow">
      <w:rPr>
        <w:sz w:val="22"/>
      </w:rPr>
      <w:tblPr/>
      <w:tcPr>
        <w:tcBorders>
          <w:top w:val="single" w:color="5B9BD5" w:themeColor="accent1" w:sz="12" w:space="0"/>
        </w:tcBorders>
      </w:tcPr>
    </w:tblStylePr>
    <w:tblStylePr w:type="firstCol">
      <w:rPr>
        <w:sz w:val="22"/>
      </w:rPr>
      <w:tblPr/>
    </w:tblStylePr>
    <w:tblStylePr w:type="lastCol">
      <w:rPr>
        <w:sz w:val="22"/>
      </w:rPr>
      <w:tblPr/>
      <w:tcPr>
        <w:tcBorders>
          <w:left w:val="single" w:color="5B9BD5" w:themeColor="accent1" w:sz="12" w:space="0"/>
        </w:tcBorders>
      </w:tcPr>
    </w:tblStylePr>
    <w:tblStylePr w:type="band1Horz">
      <w:rPr>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Bordered-Accent2">
    <w:name w:val="Bordered - Accent 2"/>
    <w:basedOn w:val="a5"/>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sz w:val="22"/>
      </w:rPr>
      <w:tblPr/>
      <w:tcPr>
        <w:tcBorders>
          <w:bottom w:val="single" w:color="ED7D31" w:themeColor="accent2" w:sz="12" w:space="0"/>
        </w:tcBorders>
      </w:tcPr>
    </w:tblStylePr>
    <w:tblStylePr w:type="lastRow">
      <w:rPr>
        <w:sz w:val="22"/>
      </w:rPr>
      <w:tblPr/>
      <w:tcPr>
        <w:tcBorders>
          <w:top w:val="single" w:color="ED7D31" w:themeColor="accent2" w:sz="12" w:space="0"/>
        </w:tcBorders>
      </w:tcPr>
    </w:tblStylePr>
    <w:tblStylePr w:type="firstCol">
      <w:rPr>
        <w:sz w:val="22"/>
      </w:rPr>
      <w:tblPr/>
    </w:tblStylePr>
    <w:tblStylePr w:type="lastCol">
      <w:rPr>
        <w:sz w:val="22"/>
      </w:rPr>
      <w:tblPr/>
      <w:tcPr>
        <w:tcBorders>
          <w:left w:val="single" w:color="ED7D31" w:themeColor="accent2" w:sz="12" w:space="0"/>
        </w:tcBorders>
      </w:tcPr>
    </w:tblStylePr>
    <w:tblStylePr w:type="band1Horz">
      <w:rPr>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Bordered-Accent3">
    <w:name w:val="Bordered - Accent 3"/>
    <w:basedOn w:val="a5"/>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sz w:val="22"/>
      </w:rPr>
      <w:tblPr/>
      <w:tcPr>
        <w:tcBorders>
          <w:bottom w:val="single" w:color="A5A5A5" w:themeColor="accent3" w:sz="12" w:space="0"/>
        </w:tcBorders>
      </w:tcPr>
    </w:tblStylePr>
    <w:tblStylePr w:type="lastRow">
      <w:rPr>
        <w:sz w:val="22"/>
      </w:rPr>
      <w:tblPr/>
      <w:tcPr>
        <w:tcBorders>
          <w:top w:val="single" w:color="A5A5A5" w:themeColor="accent3" w:sz="12" w:space="0"/>
        </w:tcBorders>
      </w:tcPr>
    </w:tblStylePr>
    <w:tblStylePr w:type="firstCol">
      <w:rPr>
        <w:sz w:val="22"/>
      </w:rPr>
      <w:tblPr/>
    </w:tblStylePr>
    <w:tblStylePr w:type="lastCol">
      <w:rPr>
        <w:sz w:val="22"/>
      </w:rPr>
      <w:tblPr/>
      <w:tcPr>
        <w:tcBorders>
          <w:left w:val="single" w:color="A5A5A5" w:themeColor="accent3" w:sz="12" w:space="0"/>
        </w:tcBorders>
      </w:tcPr>
    </w:tblStylePr>
    <w:tblStylePr w:type="band1Horz">
      <w:rPr>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Bordered-Accent4">
    <w:name w:val="Bordered - Accent 4"/>
    <w:basedOn w:val="a5"/>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sz w:val="22"/>
      </w:rPr>
      <w:tblPr/>
      <w:tcPr>
        <w:tcBorders>
          <w:bottom w:val="single" w:color="FFC000" w:themeColor="accent4" w:sz="12" w:space="0"/>
        </w:tcBorders>
      </w:tcPr>
    </w:tblStylePr>
    <w:tblStylePr w:type="lastRow">
      <w:rPr>
        <w:sz w:val="22"/>
      </w:rPr>
      <w:tblPr/>
      <w:tcPr>
        <w:tcBorders>
          <w:top w:val="single" w:color="FFC000" w:themeColor="accent4" w:sz="12" w:space="0"/>
        </w:tcBorders>
      </w:tcPr>
    </w:tblStylePr>
    <w:tblStylePr w:type="firstCol">
      <w:rPr>
        <w:sz w:val="22"/>
      </w:rPr>
      <w:tblPr/>
    </w:tblStylePr>
    <w:tblStylePr w:type="lastCol">
      <w:rPr>
        <w:sz w:val="22"/>
      </w:rPr>
      <w:tblPr/>
      <w:tcPr>
        <w:tcBorders>
          <w:left w:val="single" w:color="FFC000" w:themeColor="accent4" w:sz="12" w:space="0"/>
        </w:tcBorders>
      </w:tcPr>
    </w:tblStylePr>
    <w:tblStylePr w:type="band1Horz">
      <w:rPr>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Bordered-Accent5">
    <w:name w:val="Bordered - Accent 5"/>
    <w:basedOn w:val="a5"/>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sz w:val="22"/>
      </w:rPr>
      <w:tblPr/>
      <w:tcPr>
        <w:tcBorders>
          <w:bottom w:val="single" w:color="4472C4" w:themeColor="accent5" w:sz="12" w:space="0"/>
        </w:tcBorders>
      </w:tcPr>
    </w:tblStylePr>
    <w:tblStylePr w:type="lastRow">
      <w:rPr>
        <w:sz w:val="22"/>
      </w:rPr>
      <w:tblPr/>
      <w:tcPr>
        <w:tcBorders>
          <w:top w:val="single" w:color="4472C4" w:themeColor="accent5" w:sz="12" w:space="0"/>
        </w:tcBorders>
      </w:tcPr>
    </w:tblStylePr>
    <w:tblStylePr w:type="firstCol">
      <w:rPr>
        <w:sz w:val="22"/>
      </w:rPr>
      <w:tblPr/>
    </w:tblStylePr>
    <w:tblStylePr w:type="lastCol">
      <w:rPr>
        <w:sz w:val="22"/>
      </w:rPr>
      <w:tblPr/>
      <w:tcPr>
        <w:tcBorders>
          <w:left w:val="single" w:color="4472C4" w:themeColor="accent5" w:sz="12" w:space="0"/>
        </w:tcBorders>
      </w:tcPr>
    </w:tblStylePr>
    <w:tblStylePr w:type="band1Horz">
      <w:rPr>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Bordered-Accent6">
    <w:name w:val="Bordered - Accent 6"/>
    <w:basedOn w:val="a5"/>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sz w:val="22"/>
      </w:rPr>
      <w:tblPr/>
      <w:tcPr>
        <w:tcBorders>
          <w:bottom w:val="single" w:color="70AD47" w:themeColor="accent6" w:sz="12" w:space="0"/>
        </w:tcBorders>
      </w:tcPr>
    </w:tblStylePr>
    <w:tblStylePr w:type="lastRow">
      <w:rPr>
        <w:sz w:val="22"/>
      </w:rPr>
      <w:tblPr/>
      <w:tcPr>
        <w:tcBorders>
          <w:top w:val="single" w:color="70AD47" w:themeColor="accent6" w:sz="12" w:space="0"/>
        </w:tcBorders>
      </w:tcPr>
    </w:tblStylePr>
    <w:tblStylePr w:type="firstCol">
      <w:rPr>
        <w:sz w:val="22"/>
      </w:rPr>
      <w:tblPr/>
    </w:tblStylePr>
    <w:tblStylePr w:type="lastCol">
      <w:rPr>
        <w:sz w:val="22"/>
      </w:rPr>
      <w:tblPr/>
      <w:tcPr>
        <w:tcBorders>
          <w:left w:val="single" w:color="70AD47" w:themeColor="accent6" w:sz="12" w:space="0"/>
        </w:tcBorders>
      </w:tcPr>
    </w:tblStylePr>
    <w:tblStylePr w:type="band1Horz">
      <w:rPr>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2f1">
    <w:name w:val="Стиль2"/>
    <w:basedOn w:val="a5"/>
    <w:uiPriority w:val="99"/>
    <w:pPr>
      <w:spacing w:before="120" w:after="120"/>
    </w:pPr>
    <w:rPr>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vAlign w:val="center"/>
    </w:tcPr>
  </w:style>
  <w:style w:type="table" w:styleId="affffff4">
    <w:name w:val="Table Grid"/>
    <w:basedOn w:val="a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affffff5">
    <w:name w:val="Таблица форматированная"/>
    <w:basedOn w:val="a5"/>
    <w:uiPriority w:val="99"/>
    <w:pPr>
      <w:spacing w:before="120" w:after="120"/>
    </w:pPr>
    <w:rPr>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vAlign w:val="center"/>
    </w:tcPr>
    <w:tblStylePr w:type="firstRow">
      <w:pPr>
        <w:ind w:right="0"/>
        <w:spacing w:before="120" w:after="120" w:line="240" w:lineRule="auto"/>
        <w:jc w:val="left"/>
      </w:pPr>
      <w:rPr>
        <w:b/>
        <w:sz w:val="24"/>
      </w:rPr>
      <w:tblPr/>
      <w:tcPr>
        <w:shd w:val="clear" w:color="auto" w:fill="F2F2F2"/>
      </w:tcPr>
    </w:tblStylePr>
  </w:style>
  <w:style w:type="table" w:customStyle="1" w:styleId="1f5">
    <w:name w:val="Стиль1"/>
    <w:basedOn w:val="a5"/>
    <w:uiPriority w:val="99"/>
    <w:pPr>
      <w:spacing w:before="120" w:after="12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f6">
    <w:name w:val="Сетка таблицы1"/>
    <w:basedOn w:val="a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c">
    <w:name w:val="Стиль3"/>
    <w:basedOn w:val="a5"/>
    <w:uiPriority w:val="99"/>
    <w:pPr>
      <w:spacing w:before="120" w:after="12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jc w:val="left"/>
      </w:pPr>
      <w:rPr>
        <w:b/>
      </w:rPr>
      <w:tblPr/>
      <w:tcPr>
        <w:shd w:val="clear" w:color="auto" w:fill="F2F2F2"/>
        <w:vAlign w:val="center"/>
      </w:tcPr>
    </w:tblStylePr>
  </w:style>
  <w:style w:type="table" w:customStyle="1" w:styleId="1f7">
    <w:name w:val="Таблица форматированная1"/>
    <w:basedOn w:val="a5"/>
    <w:uiPriority w:val="99"/>
    <w:pPr>
      <w:spacing w:before="120" w:after="120"/>
    </w:pPr>
    <w:rPr>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vAlign w:val="center"/>
    </w:tcPr>
    <w:tblStylePr w:type="firstRow">
      <w:pPr>
        <w:ind w:right="0"/>
        <w:spacing w:before="120" w:after="120" w:line="240" w:lineRule="auto"/>
        <w:jc w:val="left"/>
      </w:pPr>
      <w:rPr>
        <w:b/>
        <w:sz w:val="24"/>
      </w:rPr>
      <w:tblPr/>
      <w:tcPr>
        <w:shd w:val="clear" w:color="auto" w:fill="F2F2F2"/>
      </w:tcPr>
    </w:tblStylePr>
  </w:style>
  <w:style w:type="table" w:customStyle="1" w:styleId="2f2">
    <w:name w:val="Таблица форматированная2"/>
    <w:basedOn w:val="a5"/>
    <w:uiPriority w:val="99"/>
    <w:pPr>
      <w:spacing w:before="120" w:after="120"/>
    </w:pPr>
    <w:rPr>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vAlign w:val="center"/>
    </w:tcPr>
    <w:tblStylePr w:type="firstRow">
      <w:pPr>
        <w:ind w:right="0"/>
        <w:spacing w:before="120" w:after="120" w:line="240" w:lineRule="auto"/>
        <w:jc w:val="left"/>
      </w:pPr>
      <w:rPr>
        <w:b/>
        <w:sz w:val="24"/>
      </w:rPr>
      <w:tblPr/>
      <w:tcPr>
        <w:shd w:val="clear" w:color="auto" w:fill="F2F2F2"/>
      </w:tcPr>
    </w:tblStylePr>
  </w:style>
  <w:style w:type="table" w:customStyle="1" w:styleId="3d">
    <w:name w:val="Таблица форматированная3"/>
    <w:basedOn w:val="a5"/>
    <w:uiPriority w:val="99"/>
    <w:pPr>
      <w:spacing w:before="120" w:after="120"/>
    </w:pPr>
    <w:rPr>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vAlign w:val="center"/>
    </w:tcPr>
    <w:tblStylePr w:type="firstRow">
      <w:pPr>
        <w:ind w:right="0"/>
        <w:spacing w:before="120" w:after="120" w:line="240" w:lineRule="auto"/>
        <w:jc w:val="left"/>
      </w:pPr>
      <w:rPr>
        <w:b/>
        <w:sz w:val="24"/>
      </w:rPr>
      <w:tblPr/>
      <w:tcPr>
        <w:shd w:val="clear" w:color="auto" w:fill="F2F2F2"/>
      </w:tcPr>
    </w:tblStylePr>
  </w:style>
  <w:style w:type="table" w:customStyle="1" w:styleId="-3">
    <w:name w:val="Таблица (по умолчанию) - Базовая"/>
    <w:basedOn w:val="a5"/>
    <w:uiPriority w:val="99"/>
    <w:qFormat/>
    <w:rsid w:val="002a087c"/>
    <w:rPr>
      <w:lang w:eastAsia="en-US"/>
      <w:sz w:val="24"/>
      <w:szCs w:val="22"/>
    </w:rPr>
    <w:tblP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28" w:type="dxa"/>
        <w:left w:w="57" w:type="dxa"/>
        <w:bottom w:w="28" w:type="dxa"/>
        <w:right w:w="57" w:type="dxa"/>
      </w:tblCellMar>
    </w:tblPr>
    <w:tblStylePr w:type="firstRow">
      <w:pPr>
        <w:wordWrap/>
        <w:jc w:val="center"/>
      </w:pPr>
      <w:rPr>
        <w:b/>
        <w:i w:val="0"/>
        <w:sz w:val="24"/>
      </w:rPr>
      <w:tblPr/>
      <w:trPr>
        <w:tblHeader/>
      </w:trPr>
      <w:tcPr>
        <w:shd w:val="clear" w:color="auto" w:fill="F2F2F2"/>
        <w:vAlign w:val="center"/>
      </w:tcPr>
    </w:tblStylePr>
  </w:style>
  <w:style w:type="table" w:customStyle="1" w:styleId="GR1">
    <w:name w:val="Сетка таблицы GR1"/>
    <w:basedOn w:val="a5"/>
    <w:uiPriority w:val="39"/>
    <w:rsid w:val="0040540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affffff6">
    <w:name w:val="Сетка таблицы по умолчанию (ЕЦУР)"/>
    <w:basedOn w:val="a5"/>
    <w:qFormat/>
    <w:rsid w:val="00405406"/>
    <w:rPr>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
    <w:tblStylePr w:type="firstRow">
      <w:pPr>
        <w:wordWrap/>
        <w:jc w:val="left"/>
      </w:pPr>
      <w:rPr>
        <w:b/>
      </w:rPr>
      <w:tblPr/>
      <w:tcPr>
        <w:shd w:val="clear" w:color="auto" w:fill="F2F2F2"/>
        <w:vAlign w:val="center"/>
      </w:tcPr>
    </w:tblStylePr>
  </w:style>
  <w:style w:type="table" w:customStyle="1" w:styleId="GR2">
    <w:name w:val="Сетка таблицы GR2"/>
    <w:basedOn w:val="a5"/>
    <w:uiPriority w:val="39"/>
    <w:rsid w:val="004234a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3">
    <w:name w:val="Сетка таблицы GR3"/>
    <w:basedOn w:val="a5"/>
    <w:uiPriority w:val="39"/>
    <w:rsid w:val="00c46bb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hyperlink" Target="http://zakupki.gov.ru/epz/contract/contractCard/common-info.html?reestrNumber=0148200002412000233" TargetMode="External"/><Relationship Id="rId6" Type="http://schemas.openxmlformats.org/officeDocument/2006/relationships/hyperlink" Target="http://zakupki.gov.ru/epz/order/notice/ok44/view/common-info.html?regNumber=0148200000418000006" TargetMode="External"/><Relationship Id="rId7" Type="http://schemas.openxmlformats.org/officeDocument/2006/relationships/hyperlink" Target="https://zakupki.gov.ru/epz/order/notice/ok504/view/common-info.html?regNumber=0148200000420000001" TargetMode="External"/><Relationship Id="rId8" Type="http://schemas.openxmlformats.org/officeDocument/2006/relationships/hyperlink" Target="https://zakupki.gov.ru/epz/order/notice/ok504/view/common-info.html?regNumber=0148200000421000001" TargetMode="External"/><Relationship Id="rId9" Type="http://schemas.openxmlformats.org/officeDocument/2006/relationships/hyperlink" Target="https://zakupki.gov.ru/epz/order/notice/ok504/view/common-info.html?regNumber=0148200000421000004" TargetMode="External"/><Relationship Id="rId10" Type="http://schemas.openxmlformats.org/officeDocument/2006/relationships/hyperlink" Target="https://zakupki.gov.ru/epz/order/notice/ok20/view/common-info.html?regNumber=0148200000423000001" TargetMode="External"/><Relationship Id="rId11" Type="http://schemas.openxmlformats.org/officeDocument/2006/relationships/hyperlink" Target="https://zakupki.gov.ru/epz/contract/search/results.html?searchString=&amp;orderNumber=0148200000423000002&amp;openMode=USE_DEFAULT_PARAMS&amp;fz44=on&amp;priceFrom=0&amp;priceTo=200000000000&amp;contractStageList=0%2C1%2C2%2C3&amp;budgetaryFunds=on&amp;extraBudgetaryFunds=on" TargetMode="External"/><Relationship Id="rId12" Type="http://schemas.openxmlformats.org/officeDocument/2006/relationships/image" Target="media/image1.jpe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header" Target="header4.xml"/><Relationship Id="rId20" Type="http://schemas.openxmlformats.org/officeDocument/2006/relationships/header" Target="header5.xml"/><Relationship Id="rId21" Type="http://schemas.openxmlformats.org/officeDocument/2006/relationships/header" Target="header6.xml"/><Relationship Id="rId22" Type="http://schemas.openxmlformats.org/officeDocument/2006/relationships/footer" Target="footer7.xml"/><Relationship Id="rId23" Type="http://schemas.openxmlformats.org/officeDocument/2006/relationships/footer" Target="footer8.xml"/><Relationship Id="rId24" Type="http://schemas.openxmlformats.org/officeDocument/2006/relationships/footer" Target="footer9.xml"/><Relationship Id="rId25" Type="http://schemas.openxmlformats.org/officeDocument/2006/relationships/header" Target="header7.xml"/><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footer" Target="footer10.xml"/><Relationship Id="rId29" Type="http://schemas.openxmlformats.org/officeDocument/2006/relationships/footer" Target="footer11.xml"/><Relationship Id="rId30" Type="http://schemas.openxmlformats.org/officeDocument/2006/relationships/footer" Target="footer12.xml"/><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header" Target="header12.xml"/><Relationship Id="rId34" Type="http://schemas.openxmlformats.org/officeDocument/2006/relationships/footer" Target="footer13.xml"/><Relationship Id="rId35" Type="http://schemas.openxmlformats.org/officeDocument/2006/relationships/footer" Target="footer14.xml"/><Relationship Id="rId36" Type="http://schemas.openxmlformats.org/officeDocument/2006/relationships/footer" Target="footer15.xml"/><Relationship Id="rId37" Type="http://schemas.openxmlformats.org/officeDocument/2006/relationships/header" Target="header13.xml"/><Relationship Id="rId38" Type="http://schemas.openxmlformats.org/officeDocument/2006/relationships/header" Target="header14.xml"/><Relationship Id="rId39" Type="http://schemas.openxmlformats.org/officeDocument/2006/relationships/header" Target="header15.xml"/><Relationship Id="rId40" Type="http://schemas.openxmlformats.org/officeDocument/2006/relationships/footer" Target="footer16.xml"/><Relationship Id="rId41" Type="http://schemas.openxmlformats.org/officeDocument/2006/relationships/footer" Target="footer17.xml"/><Relationship Id="rId42" Type="http://schemas.openxmlformats.org/officeDocument/2006/relationships/footer" Target="footer18.xml"/><Relationship Id="rId43" Type="http://schemas.openxmlformats.org/officeDocument/2006/relationships/header" Target="header16.xml"/><Relationship Id="rId44" Type="http://schemas.openxmlformats.org/officeDocument/2006/relationships/header" Target="header17.xml"/><Relationship Id="rId45" Type="http://schemas.openxmlformats.org/officeDocument/2006/relationships/header" Target="header18.xml"/><Relationship Id="rId46" Type="http://schemas.openxmlformats.org/officeDocument/2006/relationships/footer" Target="footer19.xml"/><Relationship Id="rId47" Type="http://schemas.openxmlformats.org/officeDocument/2006/relationships/footer" Target="footer20.xml"/><Relationship Id="rId48" Type="http://schemas.openxmlformats.org/officeDocument/2006/relationships/footer" Target="footer21.xml"/><Relationship Id="rId49" Type="http://schemas.openxmlformats.org/officeDocument/2006/relationships/header" Target="header19.xml"/><Relationship Id="rId50" Type="http://schemas.openxmlformats.org/officeDocument/2006/relationships/header" Target="header20.xml"/><Relationship Id="rId51" Type="http://schemas.openxmlformats.org/officeDocument/2006/relationships/header" Target="header21.xml"/><Relationship Id="rId52" Type="http://schemas.openxmlformats.org/officeDocument/2006/relationships/footer" Target="footer22.xml"/><Relationship Id="rId53" Type="http://schemas.openxmlformats.org/officeDocument/2006/relationships/footer" Target="footer23.xml"/><Relationship Id="rId54" Type="http://schemas.openxmlformats.org/officeDocument/2006/relationships/footer" Target="footer24.xml"/><Relationship Id="rId55" Type="http://schemas.openxmlformats.org/officeDocument/2006/relationships/header" Target="header22.xml"/><Relationship Id="rId56" Type="http://schemas.openxmlformats.org/officeDocument/2006/relationships/header" Target="header23.xml"/><Relationship Id="rId57" Type="http://schemas.openxmlformats.org/officeDocument/2006/relationships/header" Target="header24.xml"/><Relationship Id="rId58" Type="http://schemas.openxmlformats.org/officeDocument/2006/relationships/footer" Target="footer25.xml"/><Relationship Id="rId59" Type="http://schemas.openxmlformats.org/officeDocument/2006/relationships/footer" Target="footer26.xml"/><Relationship Id="rId60" Type="http://schemas.openxmlformats.org/officeDocument/2006/relationships/footer" Target="footer27.xml"/><Relationship Id="rId61" Type="http://schemas.openxmlformats.org/officeDocument/2006/relationships/header" Target="header25.xml"/><Relationship Id="rId62" Type="http://schemas.openxmlformats.org/officeDocument/2006/relationships/header" Target="header26.xml"/><Relationship Id="rId63" Type="http://schemas.openxmlformats.org/officeDocument/2006/relationships/header" Target="header27.xml"/><Relationship Id="rId64" Type="http://schemas.openxmlformats.org/officeDocument/2006/relationships/footer" Target="footer28.xml"/><Relationship Id="rId65" Type="http://schemas.openxmlformats.org/officeDocument/2006/relationships/footer" Target="footer29.xml"/><Relationship Id="rId66" Type="http://schemas.openxmlformats.org/officeDocument/2006/relationships/footer" Target="footer30.xml"/><Relationship Id="rId67" Type="http://schemas.openxmlformats.org/officeDocument/2006/relationships/header" Target="header28.xml"/><Relationship Id="rId68" Type="http://schemas.openxmlformats.org/officeDocument/2006/relationships/header" Target="header29.xml"/><Relationship Id="rId69" Type="http://schemas.openxmlformats.org/officeDocument/2006/relationships/header" Target="header30.xml"/><Relationship Id="rId70" Type="http://schemas.openxmlformats.org/officeDocument/2006/relationships/footer" Target="footer31.xml"/><Relationship Id="rId71" Type="http://schemas.openxmlformats.org/officeDocument/2006/relationships/footer" Target="footer32.xml"/><Relationship Id="rId72" Type="http://schemas.openxmlformats.org/officeDocument/2006/relationships/footer" Target="footer33.xml"/><Relationship Id="rId73" Type="http://schemas.openxmlformats.org/officeDocument/2006/relationships/footnotes" Target="footnotes.xml"/><Relationship Id="rId74" Type="http://schemas.openxmlformats.org/officeDocument/2006/relationships/numbering" Target="numbering.xml"/><Relationship Id="rId75" Type="http://schemas.openxmlformats.org/officeDocument/2006/relationships/fontTable" Target="fontTable.xml"/><Relationship Id="rId76" Type="http://schemas.openxmlformats.org/officeDocument/2006/relationships/settings" Target="settings.xml"/><Relationship Id="rId77" Type="http://schemas.openxmlformats.org/officeDocument/2006/relationships/theme" Target="theme/theme1.xml"/><Relationship Id="rId7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D397D-0F9C-4FC0-8D6D-A7250418B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Application>LibreOffice/25.8.0.4$Linux_X86_64 LibreOffice_project/48f00303701489684e67c38c28aff00cd5929e67</Application>
  <AppVersion>15.0000</AppVersion>
  <Pages>79</Pages>
  <Words>16360</Words>
  <Characters>119634</Characters>
  <CharactersWithSpaces>134307</CharactersWithSpaces>
  <Paragraphs>2100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2026-02-02T13:17:00Z</dcterms:created>
  <dc:creator>Татьяна</dc:creator>
  <dc:description/>
  <dc:language>ru-RU</dc:language>
  <cp:lastModifiedBy/>
  <dcterms:modified xsi:type="dcterms:W3CDTF">2026-02-24T09:52:46Z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