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1"/>
        <w:widowControl/>
        <w:ind w:firstLine="305" w:start="0" w:end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ТЕХНИЧЕСКОЕ ЗАДАНИЕ НА ПРОЕКТИРОВАНИЕ</w:t>
      </w:r>
    </w:p>
    <w:p>
      <w:pPr>
        <w:pStyle w:val="NoSpacing1"/>
        <w:widowControl/>
        <w:ind w:firstLine="305" w:start="0" w:end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</w:r>
    </w:p>
    <w:p>
      <w:pPr>
        <w:pStyle w:val="NoSpacing1"/>
        <w:widowControl/>
        <w:ind w:firstLine="305" w:start="0" w:end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на разработку проектно-сметной </w:t>
      </w:r>
      <w:r>
        <w:rPr>
          <w:rFonts w:ascii="Times New Roman" w:hAnsi="Times New Roman"/>
          <w:b/>
          <w:color w:val="000000"/>
          <w:sz w:val="22"/>
        </w:rPr>
        <w:t>документации по архитектурно-художественному освещению объекта:</w:t>
      </w:r>
      <w:r>
        <w:rPr>
          <w:rFonts w:ascii="Times New Roman" w:hAnsi="Times New Roman"/>
          <w:sz w:val="22"/>
        </w:rPr>
        <w:t xml:space="preserve"> «</w:t>
      </w:r>
      <w:r>
        <w:rPr>
          <w:rFonts w:ascii="Times New Roman" w:hAnsi="Times New Roman"/>
          <w:b/>
          <w:color w:val="000000"/>
          <w:sz w:val="22"/>
        </w:rPr>
        <w:t>Легкоатлетический манеж в г. Южно-Сахалинске»</w:t>
      </w:r>
    </w:p>
    <w:p>
      <w:pPr>
        <w:pStyle w:val="NoSpacing1"/>
        <w:widowControl/>
        <w:ind w:firstLine="305" w:start="0" w:end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Spacing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tbl>
      <w:tblPr>
        <w:tblW w:w="10200" w:type="dxa"/>
        <w:jc w:val="start"/>
        <w:tblInd w:w="-14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5"/>
        <w:gridCol w:w="2906"/>
        <w:gridCol w:w="6589"/>
      </w:tblGrid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№ </w:t>
            </w:r>
            <w:r>
              <w:rPr>
                <w:rFonts w:ascii="Times New Roman" w:hAnsi="Times New Roman"/>
                <w:b/>
                <w:sz w:val="22"/>
              </w:rPr>
              <w:t>п/п</w:t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Перечень</w:t>
            </w:r>
          </w:p>
          <w:p>
            <w:pPr>
              <w:pStyle w:val="NoSpacing1"/>
              <w:widowControl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основных данных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ind w:firstLine="305" w:start="0" w:end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Требования к проектированию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титула объекта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Архитектурно-художественное освещение «Легкоатлетический манеж, по ул. Алексея Горького, 39 г. Южно-Сахалинск»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Район, пункт и площадка строительства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г. Южно-Сахалинск, ул. Алексея Горького, 39</w:t>
            </w:r>
          </w:p>
        </w:tc>
      </w:tr>
      <w:tr>
        <w:trPr>
          <w:trHeight w:val="221" w:hRule="atLeast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Заказчик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ПАО «Ростелеком»</w:t>
            </w:r>
          </w:p>
        </w:tc>
      </w:tr>
      <w:tr>
        <w:trPr>
          <w:trHeight w:val="213" w:hRule="atLeast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Подрядчик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color w:val="000000"/>
                <w:sz w:val="22"/>
              </w:rPr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Вид строительства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Новое строительство</w:t>
            </w:r>
          </w:p>
        </w:tc>
      </w:tr>
      <w:tr>
        <w:trPr>
          <w:trHeight w:val="833" w:hRule="atLeast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Стадийность проектирования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Альбом визуальных материалов</w:t>
            </w:r>
          </w:p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Рабочая документация</w:t>
            </w:r>
          </w:p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Сметная документация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Сроки начала и окончания работ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Устанавливаются договором на проектные работы 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Требования к экспертизе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Получение положительного заключения экспертизы на предмет достоверности сметной стоимости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Требования, предъявляемые к конструкции, материалам и оборудованию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Должны отвечать современным требованиям и соответствовать ГОСТ, ТУ, СНиП, ПБ и другим нормативным документам.</w:t>
            </w:r>
          </w:p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Применяемое оборудование, подлежащее сертификации, должно иметь соответствующие сертификаты.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Исходные данные, представляемые заказчиком исполнителю проекта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2"/>
              </w:numPr>
              <w:spacing w:before="0" w:after="0"/>
              <w:ind w:hanging="283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архитектурно-строительные чертежи (поэтажные планы, с указанием размещения электрощитовых, разрезы, конструкции и цветовое решение фасадов) в формате dwg;</w:t>
            </w:r>
          </w:p>
          <w:p>
            <w:pPr>
              <w:pStyle w:val="NoSpacing1"/>
              <w:widowControl/>
              <w:numPr>
                <w:ilvl w:val="0"/>
                <w:numId w:val="2"/>
              </w:numPr>
              <w:spacing w:before="0" w:after="0"/>
              <w:ind w:hanging="283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сводный план инженерных систем</w:t>
            </w:r>
          </w:p>
          <w:p>
            <w:pPr>
              <w:pStyle w:val="NoSpacing1"/>
              <w:widowControl/>
              <w:numPr>
                <w:ilvl w:val="0"/>
                <w:numId w:val="2"/>
              </w:numPr>
              <w:spacing w:before="0" w:after="0"/>
              <w:ind w:hanging="283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план благоустройства</w:t>
            </w:r>
          </w:p>
          <w:p>
            <w:pPr>
              <w:pStyle w:val="NoSpacing1"/>
              <w:widowControl/>
              <w:numPr>
                <w:ilvl w:val="0"/>
                <w:numId w:val="2"/>
              </w:numPr>
              <w:spacing w:before="0" w:after="0"/>
              <w:ind w:hanging="283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технические условия на подключение к системе электроснабжения</w:t>
            </w:r>
          </w:p>
          <w:p>
            <w:pPr>
              <w:pStyle w:val="NoSpacing1"/>
              <w:widowControl/>
              <w:numPr>
                <w:ilvl w:val="0"/>
                <w:numId w:val="2"/>
              </w:numPr>
              <w:spacing w:before="0" w:after="0"/>
              <w:ind w:hanging="283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требования к системе управления архитектурным освещением, указанием места размещения пульта управления</w:t>
            </w:r>
          </w:p>
          <w:p>
            <w:pPr>
              <w:pStyle w:val="NoSpacing1"/>
              <w:widowControl/>
              <w:numPr>
                <w:ilvl w:val="0"/>
                <w:numId w:val="2"/>
              </w:numPr>
              <w:spacing w:before="0" w:after="0"/>
              <w:ind w:hanging="283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согласованная концепция архитектурно-художественного освещения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Состав документации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3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Альбом визуальных материалов.</w:t>
            </w:r>
          </w:p>
          <w:p>
            <w:pPr>
              <w:pStyle w:val="NoSpacing1"/>
              <w:widowControl/>
              <w:numPr>
                <w:ilvl w:val="0"/>
                <w:numId w:val="3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Рабочая документация:</w:t>
            </w:r>
          </w:p>
          <w:p>
            <w:pPr>
              <w:pStyle w:val="NoSpacing1"/>
              <w:widowControl/>
              <w:numPr>
                <w:ilvl w:val="1"/>
                <w:numId w:val="3"/>
              </w:numPr>
              <w:spacing w:before="0" w:after="0"/>
              <w:ind w:hanging="432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Графические материалы в составе:</w:t>
            </w:r>
          </w:p>
          <w:p>
            <w:pPr>
              <w:pStyle w:val="NoSpacing1"/>
              <w:widowControl/>
              <w:numPr>
                <w:ilvl w:val="0"/>
                <w:numId w:val="4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планы размещения оборудования архитектурно-художественного освещения;</w:t>
            </w:r>
          </w:p>
          <w:p>
            <w:pPr>
              <w:pStyle w:val="NoSpacing1"/>
              <w:widowControl/>
              <w:numPr>
                <w:ilvl w:val="0"/>
                <w:numId w:val="4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фасады здания с расположением и привязками к строительным конструкциям осветительного оборудования;</w:t>
            </w:r>
          </w:p>
          <w:p>
            <w:pPr>
              <w:pStyle w:val="NoSpacing1"/>
              <w:widowControl/>
              <w:numPr>
                <w:ilvl w:val="0"/>
                <w:numId w:val="4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планы прокладки силовых кабельных линий и кабелей сигнализации и управления;</w:t>
            </w:r>
          </w:p>
          <w:p>
            <w:pPr>
              <w:pStyle w:val="NoSpacing1"/>
              <w:widowControl/>
              <w:numPr>
                <w:ilvl w:val="0"/>
                <w:numId w:val="4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однолинейные и принципиальные электрические схемы;</w:t>
            </w:r>
          </w:p>
          <w:p>
            <w:pPr>
              <w:pStyle w:val="NoSpacing1"/>
              <w:widowControl/>
              <w:numPr>
                <w:ilvl w:val="0"/>
                <w:numId w:val="4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узлы крепления проектируемых конструкций к элементам здания.</w:t>
            </w:r>
          </w:p>
          <w:p>
            <w:pPr>
              <w:pStyle w:val="NoSpacing1"/>
              <w:widowControl/>
              <w:numPr>
                <w:ilvl w:val="1"/>
                <w:numId w:val="3"/>
              </w:numPr>
              <w:spacing w:before="0" w:after="0"/>
              <w:ind w:hanging="432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Ссылочные и прилагаемые документы:</w:t>
            </w:r>
          </w:p>
          <w:p>
            <w:pPr>
              <w:pStyle w:val="NoSpacing1"/>
              <w:widowControl/>
              <w:numPr>
                <w:ilvl w:val="0"/>
                <w:numId w:val="5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спецификация оборудования и материалов;</w:t>
            </w:r>
          </w:p>
          <w:p>
            <w:pPr>
              <w:pStyle w:val="NoSpacing1"/>
              <w:widowControl/>
              <w:numPr>
                <w:ilvl w:val="0"/>
                <w:numId w:val="5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описание осветительного оборудования.</w:t>
            </w:r>
          </w:p>
          <w:p>
            <w:pPr>
              <w:pStyle w:val="NoSpacing1"/>
              <w:widowControl/>
              <w:numPr>
                <w:ilvl w:val="0"/>
                <w:numId w:val="3"/>
              </w:numPr>
              <w:spacing w:before="0" w:after="0"/>
              <w:ind w:hanging="360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Сметная документация</w:t>
            </w:r>
          </w:p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Основные требования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В основе световых решений заложить согласованную концепцию и ее визуализацию.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Разработка рабочей документации должна предусматривать следующие решения АХО (архитектурно-художественное освещение):</w:t>
            </w:r>
          </w:p>
          <w:p>
            <w:pPr>
              <w:pStyle w:val="NoSpacing1"/>
              <w:widowControl/>
              <w:spacing w:before="0" w:after="0"/>
              <w:jc w:val="both"/>
              <w:rPr>
                <w:rFonts w:ascii="Times New Roman" w:hAnsi="Times New Roman"/>
                <w:b/>
                <w:sz w:val="22"/>
                <w:highlight w:val="white"/>
              </w:rPr>
            </w:pPr>
            <w:r>
              <w:rPr>
                <w:rFonts w:ascii="Times New Roman" w:hAnsi="Times New Roman"/>
                <w:b/>
                <w:sz w:val="22"/>
                <w:highlight w:val="white"/>
              </w:rPr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Выполнить фасадное освещение со стороны ул. Алексея Горького и со стороны центрального входа. Точные места и способ установки осветительного оборудования определить проектом.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На кровле здания разместить светодиодные пиксели и линейные светильники. Осветительное оборудование установить на металлических конструкциях, расположенных на кровле (снегозадержатели, ходовые мостики)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На остеклении центрального верхнего вертикального элемента здания выполнить медиафасад. Медиафасад выполнить из светодиодных RGBW пикселей, мощность пикселей определить проектом, с учетом требований раздела 7.5.8 СП 52.13330.2016. Шаг между пикселями 100х100 мм.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Выполнить подсветку флаговой группы, расположенной на территории объекта.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Всё применяемое светотехническое оборудование должно иметь цветовую схему RGBW и управляться по протоколу DMX512.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Согласовать проект архитектурно-художественного освещения в департаменте архитектуры и градостроительства администрации г.Южно-Сахалинска</w:t>
            </w:r>
          </w:p>
          <w:p>
            <w:pPr>
              <w:pStyle w:val="NoSpacing1"/>
              <w:widowControl/>
              <w:spacing w:before="0" w:after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При проектировании учесть: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исключение слепящего воздействия архитектурно-художественного освещения на пешеходов и автомобилистов;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исключение возможности механического повреждения и нарушения юстировки архитектурно-художественного освещения при падении сосулек, схода наледи и снега;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исполнение системы архитектурно-художественного освещения должно соответствовать климатической зоне г. Южно-Сахалинск;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АХО Объекта должно быть решена комплексно с учетом особенностей архитектурной пластики и композиции городской среды и самого объекта проектирования, визуального архитектурно-художественного образа объекта, особенностей освещения объекта и окружающих их других объектов.</w:t>
            </w:r>
          </w:p>
          <w:p>
            <w:pPr>
              <w:pStyle w:val="NoSpacing1"/>
              <w:widowControl/>
              <w:numPr>
                <w:ilvl w:val="0"/>
                <w:numId w:val="6"/>
              </w:numPr>
              <w:spacing w:before="0" w:after="0"/>
              <w:ind w:hanging="360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Максимально скрытного расположения от наблюдателя кабельных линий и осветительных приборов на фасаде объектов с учетом архитектурных элементов здания.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При решении АХО возможно использование следующих режимов подсветки: статический режим, динамический режим, режим трансляция медиаконтента при использовании экрана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 xml:space="preserve">Проектом предусмотреть использование. </w:t>
            </w:r>
          </w:p>
          <w:p>
            <w:pPr>
              <w:pStyle w:val="NoSpacing1"/>
              <w:widowControl/>
              <w:spacing w:before="0" w:after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 xml:space="preserve">качественного управляемого светодиодного оборудования, и сроком службы не менее 50 000 часов, с гарантией производителя не менее 5 лет. Тип светораспределения, мощность приборов подсветки и цвет покраски корпусов приборов определить проектом. 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Освещение должно просматриваться с дальних точек для ориентировки в окружающей среде.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При необходимости применять кронштейны индивидуальной разработки.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Применить новые современные технологии в области архитектурного освещения.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На фасадах здания использовать компактное оборудование, имеющее современный дизайн не портящее внешний вид здания в дневное время.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Общая установленная мощность осветительной установки – определить проектом.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Электроснабжение объекта проектирования осуществлять от сети 380/220В в соответствии с выданными техническими условиями, предусмотрев установку щита архитектурного освещения. При необходимости обеспечить обустройство промежуточных распределительных щитов по зданиям, в зависимости от расположения светотехнического оборудования.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В случае установки нескольких распределительных щитов предусмотреть синхронное включение архитектурной подсветки.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Тип, состав и мощность оборудования определить проектом.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Рабочий диапазон температур окружающей среды от -40°С до +45°С.</w:t>
            </w:r>
          </w:p>
          <w:p>
            <w:pPr>
              <w:pStyle w:val="NoSpacing1"/>
              <w:widowControl/>
              <w:spacing w:before="0" w:after="0"/>
              <w:ind w:firstLine="31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  <w:highlight w:val="white"/>
              </w:rPr>
              <w:t>Управление осветительной установкой должно осуществляться в автоматическом режиме или вручную из помещения диспетчера. Предусмотрен статический повседневный режим (включение и выключение по астрономическому таймеру). Проектом предусмотреть использование программного обеспечения, входящего в Единый реестр российских программ для электронных вычислительных машин и баз данных РФ, используемое программное обеспечение должно иметь возможность интеграции с Платформой Юнилайт (Unilight).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Гарантия на всю систему, включая световые приборы и оборудование управления, должна быть не менее 5 лет.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Электропитание и электроснабжение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Точку подключения определить с Заказчиком, основываясь на расчетной электрической мощности проектируемой системы.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Учет электроэнергии выполнить в собственных щитах.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Граница проектирования – отходящие контакты защитного аппарата ВРУ.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Подключение к сети 220/380В.</w:t>
            </w:r>
          </w:p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Категория надежности электроснабжения – III.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 экземпляров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Рабочу</w:t>
            </w:r>
            <w:r>
              <w:rPr>
                <w:rFonts w:ascii="Times New Roman" w:hAnsi="Times New Roman"/>
                <w:sz w:val="22"/>
              </w:rPr>
              <w:t xml:space="preserve">ю документацию предоставить в электронном виде в формате PDF и на бумажном носителе в 2-х экземплярах 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Границы проектирования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Дополнительный объем работ, не предусмотренный данным заданием на проектирование, выполняется по дополнительному соглашению.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numPr>
                <w:ilvl w:val="0"/>
                <w:numId w:val="1"/>
              </w:numPr>
              <w:tabs>
                <w:tab w:val="clear" w:pos="708"/>
                <w:tab w:val="left" w:pos="318" w:leader="none"/>
              </w:tabs>
              <w:spacing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Срок проектирования</w:t>
            </w:r>
          </w:p>
        </w:tc>
        <w:tc>
          <w:tcPr>
            <w:tcW w:w="6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pacing w:before="0" w:after="0"/>
              <w:ind w:firstLine="305" w:start="0" w:end="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До 31.05.2026</w:t>
            </w:r>
          </w:p>
        </w:tc>
      </w:tr>
    </w:tbl>
    <w:p>
      <w:pPr>
        <w:pStyle w:val="BodyText"/>
        <w:rPr>
          <w:rFonts w:ascii="Times New Roman" w:hAnsi="Times New Roman"/>
          <w:sz w:val="22"/>
        </w:rPr>
      </w:pPr>
      <w:r>
        <w:rPr>
          <w:sz w:val="22"/>
        </w:rPr>
      </w:r>
    </w:p>
    <w:tbl>
      <w:tblPr>
        <w:tblW w:w="10133" w:type="dxa"/>
        <w:jc w:val="start"/>
        <w:tblInd w:w="6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39"/>
        <w:gridCol w:w="5093"/>
      </w:tblGrid>
      <w:tr>
        <w:trPr>
          <w:trHeight w:val="279" w:hRule="atLeast"/>
        </w:trPr>
        <w:tc>
          <w:tcPr>
            <w:tcW w:w="5039" w:type="dxa"/>
            <w:tcBorders/>
          </w:tcPr>
          <w:p>
            <w:pPr>
              <w:pStyle w:val="Normal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Заказчик</w:t>
            </w:r>
          </w:p>
        </w:tc>
        <w:tc>
          <w:tcPr>
            <w:tcW w:w="5093" w:type="dxa"/>
            <w:tcBorders/>
          </w:tcPr>
          <w:p>
            <w:pPr>
              <w:pStyle w:val="NoSpacing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Подрядчик</w:t>
            </w:r>
          </w:p>
        </w:tc>
      </w:tr>
    </w:tbl>
    <w:p>
      <w:pPr>
        <w:pStyle w:val="NoSpacing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424" w:gutter="0" w:header="0" w:top="567" w:footer="413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2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9">
    <w:name w:val="Колонтитулы"/>
    <w:link w:val="12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er1">
    <w:name w:val="Header1"/>
    <w:qFormat/>
    <w:rPr/>
  </w:style>
  <w:style w:type="character" w:styleId="NormalWeb">
    <w:name w:val="Normal (Web)"/>
    <w:link w:val="NormalWeb1"/>
    <w:qFormat/>
    <w:rPr/>
  </w:style>
  <w:style w:type="character" w:styleId="List1">
    <w:name w:val="List1"/>
    <w:basedOn w:val="Textbody"/>
    <w:qFormat/>
    <w:rPr/>
  </w:style>
  <w:style w:type="character" w:styleId="FontStyle82">
    <w:name w:val="Font Style82"/>
    <w:link w:val="FontStyle821"/>
    <w:qFormat/>
    <w:rPr>
      <w:rFonts w:ascii="Times New Roman" w:hAnsi="Times New Roman"/>
      <w:sz w:val="22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Marginalia">
    <w:name w:val="Marginalia"/>
    <w:qFormat/>
    <w:rPr>
      <w:sz w:val="20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Textbody">
    <w:name w:val="Text body"/>
    <w:qFormat/>
    <w:rPr/>
  </w:style>
  <w:style w:type="character" w:styleId="Style10">
    <w:name w:val="Заголовок"/>
    <w:link w:val="1"/>
    <w:qFormat/>
    <w:rPr>
      <w:rFonts w:ascii="Liberation Sans" w:hAnsi="Liberation Sans"/>
      <w:sz w:val="28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Style11">
    <w:name w:val="Текст примечания Знак"/>
    <w:basedOn w:val="DefaultParagraphFont"/>
    <w:link w:val="13"/>
    <w:qFormat/>
    <w:rPr>
      <w:rFonts w:ascii="Times New Roman" w:hAnsi="Times New Roman"/>
      <w:sz w:val="20"/>
    </w:rPr>
  </w:style>
  <w:style w:type="character" w:styleId="Style12">
    <w:name w:val="Верхний колонтитул Знак"/>
    <w:basedOn w:val="DefaultParagraphFont"/>
    <w:link w:val="14"/>
    <w:qFormat/>
    <w:rPr>
      <w:rFonts w:ascii="Times New Roman" w:hAnsi="Times New Roman"/>
      <w:sz w:val="24"/>
    </w:rPr>
  </w:style>
  <w:style w:type="character" w:styleId="NoSpacing">
    <w:name w:val="No Spacing"/>
    <w:link w:val="NoSpacing1"/>
    <w:qFormat/>
    <w:rPr>
      <w:rFonts w:ascii="Calibri" w:hAnsi="Calibri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13">
    <w:name w:val="Указатель"/>
    <w:link w:val="11"/>
    <w:qFormat/>
    <w:rPr/>
  </w:style>
  <w:style w:type="character" w:styleId="Style14">
    <w:name w:val="Содержимое таблицы"/>
    <w:link w:val="15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IndexHeading1">
    <w:name w:val="Index Heading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aption1">
    <w:name w:val="Caption1"/>
    <w:qFormat/>
    <w:rPr>
      <w:i/>
    </w:rPr>
  </w:style>
  <w:style w:type="character" w:styleId="Style15">
    <w:name w:val="Нижний колонтитул Знак"/>
    <w:basedOn w:val="DefaultParagraphFont"/>
    <w:link w:val="16"/>
    <w:qFormat/>
    <w:rPr>
      <w:rFonts w:ascii="Times New Roman" w:hAnsi="Times New Roman"/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Footer1">
    <w:name w:val="Footer1"/>
    <w:qFormat/>
    <w:rPr/>
  </w:style>
  <w:style w:type="paragraph" w:styleId="1">
    <w:name w:val="Заголовок1"/>
    <w:basedOn w:val="Normal"/>
    <w:next w:val="BodyText"/>
    <w:link w:val="Style10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</w:rPr>
  </w:style>
  <w:style w:type="paragraph" w:styleId="11">
    <w:name w:val="Указатель1"/>
    <w:basedOn w:val="Normal"/>
    <w:link w:val="Style13"/>
    <w:qFormat/>
    <w:pPr/>
    <w:rPr/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">
    <w:name w:val="Колонтитулы (user)"/>
    <w:basedOn w:val="Normal"/>
    <w:qFormat/>
    <w:pPr/>
    <w:rPr/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Колонтитулы1"/>
    <w:basedOn w:val="Normal"/>
    <w:link w:val="Style9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1">
    <w:name w:val="Normal (Web)1"/>
    <w:basedOn w:val="Normal"/>
    <w:link w:val="NormalWeb"/>
    <w:qFormat/>
    <w:pPr>
      <w:widowControl/>
      <w:spacing w:before="280" w:after="280"/>
    </w:pPr>
    <w:rPr/>
  </w:style>
  <w:style w:type="paragraph" w:styleId="FontStyle821">
    <w:name w:val="Font Style821"/>
    <w:link w:val="FontStyle8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">
    <w:name w:val="annotation text"/>
    <w:basedOn w:val="Normal"/>
    <w:pPr/>
    <w:rPr>
      <w:sz w:val="20"/>
    </w:rPr>
  </w:style>
  <w:style w:type="paragraph" w:styleId="annotationreference1">
    <w:name w:val="annotation reference1"/>
    <w:basedOn w:val="DefaultParagraphFont1"/>
    <w:link w:val="CommentReference"/>
    <w:qFormat/>
    <w:pPr/>
    <w:rPr>
      <w:sz w:val="16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contextualSpacing/>
    </w:pPr>
    <w:rPr/>
  </w:style>
  <w:style w:type="paragraph" w:styleId="13">
    <w:name w:val="Текст примечания Знак1"/>
    <w:basedOn w:val="DefaultParagraphFont1"/>
    <w:link w:val="Style11"/>
    <w:qFormat/>
    <w:pPr/>
    <w:rPr>
      <w:rFonts w:ascii="Times New Roman" w:hAnsi="Times New Roman"/>
      <w:sz w:val="20"/>
    </w:rPr>
  </w:style>
  <w:style w:type="paragraph" w:styleId="14">
    <w:name w:val="Верхний колонтитул Знак1"/>
    <w:basedOn w:val="DefaultParagraphFont1"/>
    <w:link w:val="Style12"/>
    <w:qFormat/>
    <w:pPr/>
    <w:rPr>
      <w:rFonts w:ascii="Times New Roman" w:hAnsi="Times New Roman"/>
      <w:sz w:val="24"/>
    </w:rPr>
  </w:style>
  <w:style w:type="paragraph" w:styleId="user1">
    <w:name w:val="Заголовок (user)"/>
    <w:basedOn w:val="Normal"/>
    <w:next w:val="BodyText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Указатель (user)"/>
    <w:basedOn w:val="Normal"/>
    <w:qFormat/>
    <w:pPr/>
    <w:rPr/>
  </w:style>
  <w:style w:type="paragraph" w:styleId="15">
    <w:name w:val="Содержимое таблицы1"/>
    <w:basedOn w:val="Normal"/>
    <w:link w:val="Style14"/>
    <w:qFormat/>
    <w:pPr>
      <w:widowControl w:val="false"/>
    </w:pPr>
    <w:rPr/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">
    <w:name w:val="index heading"/>
    <w:basedOn w:val="Normal"/>
    <w:pPr/>
    <w:rPr/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Нижний колонтитул Знак1"/>
    <w:basedOn w:val="DefaultParagraphFont1"/>
    <w:link w:val="Style15"/>
    <w:qFormat/>
    <w:pPr/>
    <w:rPr>
      <w:rFonts w:ascii="Times New Roman" w:hAnsi="Times New Roman"/>
      <w:sz w:val="24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next w:val="BodyText"/>
    <w:uiPriority w:val="10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6">
    <w:name w:val="Заголовок таблицы"/>
    <w:basedOn w:val="15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LibreOffice/25.8.0.4$Linux_X86_64 LibreOffice_project/48f00303701489684e67c38c28aff00cd5929e67</Application>
  <AppVersion>15.0000</AppVersion>
  <Pages>3</Pages>
  <Words>799</Words>
  <Characters>6224</Characters>
  <CharactersWithSpaces>6894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2026-02-19T01:55:01Z</dcterms:created>
  <dc:creator/>
  <dc:description/>
  <dc:language>ru-RU</dc:language>
  <cp:lastModifiedBy/>
  <dcterms:modified xsi:type="dcterms:W3CDTF">2026-02-20T13:59:07Z</dcterms:modified>
  <cp:revision>1</cp:revision>
  <dc:subject/>
  <dc:title/>
</cp:coreProperties>
</file>