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firstLine="567"/>
        <w:jc w:val="end"/>
        <w:rPr>
          <w:rFonts w:ascii="Times New Roman CYR" w:hAnsi="Times New Roman CYR" w:cs="Times New Roman CYR"/>
          <w:i/>
          <w:i/>
          <w:iCs/>
        </w:rPr>
      </w:pPr>
      <w:r>
        <w:rPr>
          <w:rFonts w:cs="Times New Roman CYR" w:ascii="Times New Roman CYR" w:hAnsi="Times New Roman CYR"/>
          <w:i/>
          <w:iCs/>
        </w:rPr>
        <w:t>Приложение № 3</w:t>
      </w:r>
    </w:p>
    <w:p>
      <w:pPr>
        <w:pStyle w:val="Normal"/>
        <w:keepNext w:val="true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firstLine="567"/>
        <w:jc w:val="end"/>
        <w:rPr>
          <w:rFonts w:ascii="Times New Roman CYR" w:hAnsi="Times New Roman CYR" w:cs="Times New Roman CYR"/>
          <w:i/>
          <w:i/>
          <w:iCs/>
        </w:rPr>
      </w:pPr>
      <w:r>
        <w:rPr>
          <w:i/>
          <w:iCs/>
        </w:rPr>
        <w:t xml:space="preserve"> </w:t>
      </w:r>
      <w:r>
        <w:rPr>
          <w:rFonts w:cs="Times New Roman CYR" w:ascii="Times New Roman CYR" w:hAnsi="Times New Roman CYR"/>
          <w:i/>
          <w:iCs/>
        </w:rPr>
        <w:t xml:space="preserve">к техническому заданию </w:t>
      </w:r>
    </w:p>
    <w:p>
      <w:pPr>
        <w:pStyle w:val="Normal"/>
        <w:keepNext w:val="true"/>
        <w:tabs>
          <w:tab w:val="clear" w:pos="708"/>
          <w:tab w:val="left" w:pos="709" w:leader="none"/>
          <w:tab w:val="left" w:pos="1417" w:leader="none"/>
          <w:tab w:val="left" w:pos="2126" w:leader="none"/>
          <w:tab w:val="left" w:pos="2835" w:leader="none"/>
          <w:tab w:val="left" w:pos="3543" w:leader="none"/>
          <w:tab w:val="left" w:pos="4252" w:leader="none"/>
          <w:tab w:val="left" w:pos="4961" w:leader="none"/>
          <w:tab w:val="left" w:pos="5669" w:leader="none"/>
          <w:tab w:val="left" w:pos="6378" w:leader="none"/>
          <w:tab w:val="left" w:pos="7087" w:leader="none"/>
          <w:tab w:val="left" w:pos="7795" w:leader="none"/>
          <w:tab w:val="left" w:pos="8504" w:leader="none"/>
          <w:tab w:val="left" w:pos="9132" w:leader="none"/>
        </w:tabs>
        <w:ind w:firstLine="567"/>
        <w:jc w:val="center"/>
        <w:rPr>
          <w:b/>
          <w:bCs/>
        </w:rPr>
      </w:pPr>
      <w:r>
        <w:rPr>
          <w:b/>
          <w:bCs/>
        </w:rPr>
        <w:t>«</w:t>
      </w:r>
      <w:r>
        <w:rPr>
          <w:rFonts w:cs="Times New Roman CYR" w:ascii="Times New Roman CYR" w:hAnsi="Times New Roman CYR"/>
          <w:b/>
          <w:bCs/>
        </w:rPr>
        <w:t>Сведения о технических и функциональных характеристиках товара</w:t>
      </w:r>
      <w:r>
        <w:rPr>
          <w:b/>
          <w:bCs/>
        </w:rPr>
        <w:t>»</w:t>
      </w:r>
    </w:p>
    <w:tbl>
      <w:tblPr>
        <w:tblpPr w:vertAnchor="text" w:horzAnchor="margin" w:tblpXSpec="right" w:leftFromText="180" w:rightFromText="180" w:tblpY="452"/>
        <w:tblOverlap w:val="never"/>
        <w:tblW w:w="14283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67"/>
        <w:gridCol w:w="2862"/>
        <w:gridCol w:w="2267"/>
        <w:gridCol w:w="2266"/>
        <w:gridCol w:w="6321"/>
      </w:tblGrid>
      <w:tr>
        <w:trPr>
          <w:trHeight w:val="1" w:hRule="atLeast"/>
        </w:trPr>
        <w:tc>
          <w:tcPr>
            <w:tcW w:w="56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keepNext w:val="true"/>
              <w:ind w:start="-113" w:end="-113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cs="Times New Roman CYR" w:ascii="Times New Roman CYR" w:hAnsi="Times New Roman CYR"/>
                <w:b/>
              </w:rPr>
              <w:t xml:space="preserve">№ </w:t>
            </w:r>
            <w:r>
              <w:rPr>
                <w:rFonts w:cs="Times New Roman CYR" w:ascii="Times New Roman CYR" w:hAnsi="Times New Roman CYR"/>
                <w:b/>
              </w:rPr>
              <w:t>п/п</w:t>
            </w:r>
          </w:p>
        </w:tc>
        <w:tc>
          <w:tcPr>
            <w:tcW w:w="286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keepNext w:val="true"/>
              <w:ind w:start="-113" w:end="-113"/>
              <w:jc w:val="center"/>
              <w:rPr>
                <w:rFonts w:ascii="Calibri" w:hAnsi="Calibri" w:cs="Calibri"/>
                <w:b/>
              </w:rPr>
            </w:pPr>
            <w:r>
              <w:rPr>
                <w:rFonts w:cs="Times New Roman CYR" w:ascii="Times New Roman CYR" w:hAnsi="Times New Roman CYR"/>
                <w:b/>
              </w:rPr>
              <w:t>Наименование товара</w:t>
            </w:r>
          </w:p>
        </w:tc>
        <w:tc>
          <w:tcPr>
            <w:tcW w:w="226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keepNext w:val="true"/>
              <w:ind w:start="-113" w:end="-113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cs="Times New Roman CYR" w:ascii="Times New Roman CYR" w:hAnsi="Times New Roman CYR"/>
                <w:b/>
              </w:rPr>
              <w:t>Количество</w:t>
            </w:r>
          </w:p>
        </w:tc>
        <w:tc>
          <w:tcPr>
            <w:tcW w:w="226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keepNext w:val="true"/>
              <w:ind w:start="-113" w:end="-113"/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cs="Times New Roman CYR" w:ascii="Times New Roman CYR" w:hAnsi="Times New Roman CYR"/>
                <w:b/>
              </w:rPr>
              <w:t>Фирменное наименование</w:t>
            </w:r>
          </w:p>
        </w:tc>
        <w:tc>
          <w:tcPr>
            <w:tcW w:w="632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keepNext w:val="true"/>
              <w:ind w:start="-113" w:end="-113"/>
              <w:jc w:val="center"/>
              <w:rPr>
                <w:rFonts w:ascii="Calibri" w:hAnsi="Calibri" w:cs="Calibri"/>
                <w:b/>
              </w:rPr>
            </w:pPr>
            <w:r>
              <w:rPr>
                <w:rFonts w:cs="Times New Roman CYR" w:ascii="Times New Roman CYR" w:hAnsi="Times New Roman CYR"/>
                <w:b/>
              </w:rPr>
              <w:t>Сведения о технических и функциональных характеристиках (потребительских свойствах) товара и его размерах</w:t>
            </w:r>
          </w:p>
        </w:tc>
      </w:tr>
      <w:tr>
        <w:trPr>
          <w:trHeight w:val="113" w:hRule="atLeast"/>
        </w:trPr>
        <w:tc>
          <w:tcPr>
            <w:tcW w:w="56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keepNext w:val="true"/>
              <w:ind w:start="-113" w:end="-113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286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keepNext w:val="true"/>
              <w:ind w:start="-113" w:end="-113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226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keepNext w:val="true"/>
              <w:ind w:start="-113" w:end="-11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keepNext w:val="true"/>
              <w:ind w:start="-113" w:end="-11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32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keepNext w:val="true"/>
              <w:ind w:start="-113" w:end="-113"/>
              <w:jc w:val="center"/>
              <w:rPr>
                <w:rFonts w:ascii="Calibri" w:hAnsi="Calibri" w:cs="Calibri"/>
                <w:b/>
              </w:rPr>
            </w:pPr>
            <w:r>
              <w:rPr>
                <w:b/>
              </w:rPr>
              <w:t>5</w:t>
            </w:r>
          </w:p>
        </w:tc>
      </w:tr>
      <w:tr>
        <w:trPr>
          <w:trHeight w:val="113" w:hRule="atLeast"/>
        </w:trPr>
        <w:tc>
          <w:tcPr>
            <w:tcW w:w="56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keepNext w:val="true"/>
              <w:ind w:end="-11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rFonts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/>
                <w:color w:val="000000"/>
                <w:sz w:val="20"/>
                <w:szCs w:val="20"/>
                <w:lang w:val="en-US"/>
              </w:rPr>
              <w:t>Коммутатор</w:t>
            </w:r>
          </w:p>
        </w:tc>
        <w:tc>
          <w:tcPr>
            <w:tcW w:w="226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rPr>
                <w:rFonts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rPr>
                <w:rFonts w:eastAsia="Calibri" w:eastAsia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Коммутатор Eltex MES5300-24</w:t>
            </w:r>
          </w:p>
        </w:tc>
        <w:tc>
          <w:tcPr>
            <w:tcW w:w="632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Интерфейсы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10/100/1000BASE-T (OOB) - 1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1000BASE-X (SFP)/10GBASE-R (SFP+) - 24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40GBASE-R4 (QSFP+)/100GBASE-R4 (QSFP28) - 6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USB 2.0 - 1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Консольный порт RS-232 (RJ-45) - 1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Общие параметры: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Пропускная способность - 1,68 Тбит/с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Производительность на пакетах длиной 64 байта - 593,7 MPPS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Объем буферной памяти - 6 Мбайт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Объем ОЗУ (DDR4) - 8 Гбайт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Объем ПЗУ (embedded uSSD) - 8 Гбайт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Таблица MAC-адресов – 32768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ARP-записей – 16317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Таблица VLAN – 4094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L2 Multicast-групп – 4092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правил SQinQ - 1320 (ingress), 1320 (egress)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правил MAC ACL1 – 2998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правил IPv4/IPv6 ACL - 2998/1499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маршрутов L3 IPv4 Unicast – 16351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маршрутов L3 IPv6 Unicast – 4086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маршрутов L3 IPv4 Multicast – 8174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маршрутов L3 IPv6 Multicast – 2040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VRRP-маршрутизаторов – 127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Максимальное количество ECMP-групп – 1024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Максимальное количество путей в ECMP-группе – 64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VRF - 251 (включая VRF по умолчанию)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L3-интерфейсов – 2050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Максимальное количество VXLAN – 2478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Link Aggregation Groups (LAG) 128,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до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8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портов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в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одном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LAG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Качество обслуживания QoS - 8 выходных очередей для каждого порта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Размер Jumbo-фреймов - 10240 байт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Стекирование до 8 устройств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Функциональные возможности: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Функции интерфейсов: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Защита от блокировки очереди (HOL)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обратного давления (Back pressure)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Auto MDI/MDIX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сверхдлинных кадров (Jumbo frames)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Управление потоком (IEEE 802.3X)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Зеркалирование портов (Port Mirroring)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Стекирование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Функции при работе с МAC-адресами: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Независимый режим обучения в каждой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VLAN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 многоадресной рассылки (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MAC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Multicast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Support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Регулируемое время хранения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MAC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-адресов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Статические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MAC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-адреса (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Static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MAC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Entries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Логирование событий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MAC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Flapping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Поддержка VLAN: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Voice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VLAN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IEEE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802.1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Q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Q-in-Q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Selective Q-in-Q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GVRP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Функции L2 Multicast: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профилей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Multicast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статических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Multicast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-групп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IGMP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Snooping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1,2,3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IGMP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Snooping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Fast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Leave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на основе хоста/порта – 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PIM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Snooping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авторизации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IGMP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через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RADIUS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MLD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Snooping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1,2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IGMP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Querier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Функции L2: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STP (Spanning Tree Protocol, IEEE 802.1d)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RSTP (Rapid Spanning Tree Protocol, IEEE 802.1w)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MSTP (Multiple Spanning Tree Protocol, IEEE 802.1s) 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Spanning Tree Fast Link option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STP Root Guard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BPDU Filtering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STP BPDU Guard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Loopback Detection (LBD)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ERPS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G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.8032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Flex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link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PVSTP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+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RPVSTP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+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Функции L3: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Статические маршруты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Протоколы динамической маршрутизации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RIPv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2, 1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OSPFv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2,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OSPFv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3,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IS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IS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BGP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IPv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4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Unicast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IPv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4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Multicast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Address Resolution Protocol (ARP)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протокола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VRRP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Протоколы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динамической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маршрутизации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мультикаста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PIM SM, PIM DM, IGMP Proxy, MSDP 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протокола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BFD (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для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BGP, OSPF, IS-IS)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функции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Unnumbered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технологии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VRF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lite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Технология EVPN/VXLAN: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сервисов L2VPN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 сервисов L3VPN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Функции Link Aggregation: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Создание групп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LAG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Объединение каналов с использованием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LACP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LAG Balancing Algorithm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Multi-Switch Link Aggregation Group (MLAG)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Поддержка IPv6: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Функциональность IРv6 Host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Совместное использование IРv6, IРv4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Сервисные функции: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Диагностика оптического трансивера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Функции обеспечения безопасности: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DHCP Snooping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Опция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82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протокола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DHCP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IP Source Guard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Dynamic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ARP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Inspection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sFlow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Проверка подлинности на основе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MAC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-адреса, ограничение количества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MAC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-адресов, статические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MAC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-адреса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Проверка подлинности на основе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IEEE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802.1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x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Guest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VLAN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Система предотвращения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DoS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-атак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Сегментация трафика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Фильтрация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DHCP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-клиентов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Предотвращение атак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BPDU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Фильтрация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NetBIOS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/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NetBEUI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Списки управления доступом ACL: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L2-L3-L4 ACL (Access Control List)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Time-Based ACL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v6 ACL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ACL на основе: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Порта коммутатора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Приоритета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IEEE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802.1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VLAN ID – EtherType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DSCP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Типа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IP-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протокола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Номера порта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TCP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/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UDP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Основные функциии качества обслуживания (QoS) и ограничение скорости: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Статистика QoS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Ограничение скорости на портах (Shaping, Policing)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класса обслуживания IEEE 802.1р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Защита от широковещательного шторма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Управление полосой пропускания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Обработка очередей по алгоритмам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Strict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Priority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Weighted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Round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Robin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WRR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Три цвета маркировки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Назначение меток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CoS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/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DSCP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на основании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ACL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Назначение меток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VLAN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 основании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ACL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Настройка приоритетов 802.1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для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VLAN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управления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Перемаркировка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DSCP to CoS, CoS to DSCP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Назначение меток 802.1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DSCP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для протокола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IGMP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OAM: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802.3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ah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Ethernet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Link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OAM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802.3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ah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Unidirectional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Link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Detection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(протокол обнаружения однонаправленных линков)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Основные функции управления: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Загрузка и выгрузка конфигурационного файла по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TFTP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/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SCP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/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SFTP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Протокол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SNMP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Интерфейс командной строки (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CLI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Web-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интерфейс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Syslog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Клиент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SNTP (Simple Network Time Protocol)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Клиент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NTP (Network Time Protocol), 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ервер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NTP,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одноранговый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узел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NTP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Traceroute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LLDP (802.1ab) + LLDP MED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LLDP (IEEE 802.1ab)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авторизации вводимых команд с помощью сервера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TACACS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+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Управление доступом к коммутатору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уровни привилегий для пользователей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Списки контроля доступа (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Management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ACL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Блокировка интерфейса управления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Локальная аутентификация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Фильтрация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-адресов для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SNMP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Клиент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RADIUS/TACACS+ (Terminal Access Controller Access Control System)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Сервер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SSH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Сервер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Telnet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SSL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Поддержка макрокоманд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Журналирование вводимых команд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Системный журнал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Автоматическая настройка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DHCP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DHCP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Relay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Option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82)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DHCP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Option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12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Сервер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DHCP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Команды отладки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Механизм ограничения трафика в сторону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CPU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Шифрование паролей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Восстановление пароля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Ping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IPv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4/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IPv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6)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Функции мониторинга: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Статистика интерфейсов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Удаленный мониторинг RMON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Мониторинг загрузки CPU по задачам и типу трафика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Мониторинг температуры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Мониторинг TCAM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MIB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1065, 1066, 1155, 1156, 2578 MIB Structure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1212 Concise MIB Definitions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1213 MIB II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RFC 1215 MIB Traps Convention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1493, 4188 Bridge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1157, 2571-2576 SNMP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1901-1908, 3418, 3636, 1442, 2578 SNMPv2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1271, 1757, 2819 RMON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2465 IPv6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2466 ICMPv6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2737 Entity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4293 IPv6 SNMP Mgmt Interface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Private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3289 DIFFSERV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2021 RMONv2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1398, 1643, 1650, 2358, 2665, 3635 Ether-like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2668 IEEE 802.3 MAU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2674, 4363 IEEE 802.1p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2233, 2863 IF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2618 RADIUS Authentication Client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4022 MIB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для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TCP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4113 MIB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для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UDP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3298 MIB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для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Diffserv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2620 RADIUS Accounting Client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2925 Ping &amp; Traceroute MIB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768 UDP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791 IP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792 ICMPv4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2463, 4443 ICMPv6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4884 Extended ICMP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для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поддержки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сообщений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Multi-Part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RFC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793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TCP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RFC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2474, 3260 Определение поля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DS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в заголовке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IPv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4 и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IPv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6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1321, 2284, 2865, 3580, 3748 Extensible Authentication Protocol (EAP)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2571-2574 SNMP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RFC 826 ARP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МЭК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61850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Физические характеристики и условия окружающей среды: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Питание: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100–240 В AC, 50–60 Гц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 два источника питания переменного тока с возможностью горячей замены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Максимальная потребляемая мощность: не более 118 Вт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Тепловыделение: 118 Вт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Аппаратная поддержка Dying Gasp: нет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Рабочая температура окружающей среды: от 0 до +45 °С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Температура хранения: от -50 до +70 °С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Относительная влажность при эксплуатации: не более 80 % (без образования конденсата)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Вентиляция: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Front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to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Back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, 4 вентилятора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Максимальный уровень акустического шума: 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 передней панели, max &lt; 62,8 дБ с задней панели, max &lt; 69,1 дБ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Габариты (Ш × В × Г): 440 × 44 × 309 мм</w:t>
            </w:r>
          </w:p>
          <w:p>
            <w:pPr>
              <w:pStyle w:val="NoSpacing"/>
              <w:tabs>
                <w:tab w:val="clear" w:pos="708"/>
                <w:tab w:val="left" w:pos="318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Масса: 6,11 кг</w:t>
            </w:r>
          </w:p>
        </w:tc>
      </w:tr>
      <w:tr>
        <w:trPr>
          <w:trHeight w:val="113" w:hRule="atLeast"/>
        </w:trPr>
        <w:tc>
          <w:tcPr>
            <w:tcW w:w="56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keepNext w:val="true"/>
              <w:ind w:end="-11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6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Маршрутизатор</w:t>
            </w:r>
          </w:p>
        </w:tc>
        <w:tc>
          <w:tcPr>
            <w:tcW w:w="226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226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Сервисный маршрутизатор Eltex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ESR-31</w:t>
            </w:r>
          </w:p>
        </w:tc>
        <w:tc>
          <w:tcPr>
            <w:tcW w:w="632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Интерфейсы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Ethernet 10/100/1000BASE-T (RJ-45) – 8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Ethernet 1000BASE-X (SFP) – 6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10GBASE-R (SFP+)/1000BASE-X (SFP) – 2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Последовательный порт RS-232 – 3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Консольный порт RS-232 (RJ-45) – 1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USB 2.0 – 1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USB 3.0 – 1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Слот для microSD-карт – 1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Количество CPU по ролям: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Управляющий CPU – 0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Сервисный CPU – 1-3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Коммутация: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bridge – 250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sub – 1024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QinQ – 1024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LLDP: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interfaces port policies – 8 network policies – 64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Коммутация по меткам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MPLS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LDP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neighbors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– 1024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pseudowires – 1024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pseudowire classes – 64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Ethernet over MPLS – 256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Системные характеристики: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Статические маршруты – 11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k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Максимальное количество конкурентных сессий – 3,26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M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Поддержка VLAN - до 4094 активных VLAN в соответствии с 802.1Q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Размер базы FIB - 1,4M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VRF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– 32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PBR - instances – 50 rules for all instances – 512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Object-groups: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Object-group network - instances – 500 ip prefixes in group – 1024 ip ranges in group – 1024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Object-group address:port - instances – 500 address:port in group – 64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Object-group service - instances – 500 ports ranges in group – 64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Object-group application - instances – 50 apps in group – 128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Object-group content filter - instances – 64 categories per vendor – 500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Object-group URL - instances – 31 plain URL in group – 128 regex URL in group – 128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Object-group MAC - instances – 500 macs in group – 64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BGP - instances – 64 networks in instance – 128 neighbors – 1k RIB – 2,5M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OSPFv3 - instance, neigbors in interface – 64 summaries in instance – 128 areas – 256 networks in area – 64 virtual links – 1024 RIB – 300k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IS-IS - instances, circuits – 64 RIB – 300k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RIP(ng) - neighbors – 16 summaries – 8 networks – 128 RIB – 10k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Качество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обслуживания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QoS: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Ограничения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QoS - class-maps – 256 policy-maps – 256 classes in policy-map – 768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Туннелирование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Количество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конфигурируемых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VPN-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туннелей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- IPIP – 250 GRE – 250 Ethernet over GRE – 250 GRE SUB – 250 SoftGRE – 500 L2TPv3 – 250 LT – 128 IPsec VTI – 256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Количество конфигурируемых IPsec VPN-туннелей - 256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Удаленный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доступ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Remote Access - L2TP tunnels (client) – 10 PPTP tunnels (client) – 10 OpenVPN tunnels (client) – 10 OpenVPN remote addresses per tunnel – 8 OpenVPN concurrent users – 64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WireGuard tunnel, RA - instance – 16 peers per instance – 128 local addresses – 1 addresses per peer (address-range &amp; obj-group) – 10k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Сервисы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Source NAT - ruleset – 512 rules in ruleset – 512 pool – 512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Destination NAT - ruleset – 512 rules in ruleset – 512 pool – 512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DHCP Server - pools – 100 pool size – 10k static address in pool – 1024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Безопасность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ACL - instances – 1533 rules – 1533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Firewall - zone – 128 zone-pair – 512 rules – 10k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IPS - user update servers – 32 ips-categories – 20 rules – 500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Наборы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шифров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IKE (v1/v2), IPsec (esp/ah):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Authentication - md5, sha1, sha2-256, sha2-384, sha2-512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Encryption - des, blowfish128, aes128, camellia128, aes128ctr (IKEv2 only), blowfish192, aes192, camellia192, 3des, aes192ctr (IKEv2 only), blowfish256, aes256, camellia256, aes256ctr (IKEv2 only)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Diffie Hellman - Regular Groups: 1, 2, 5, 14-18. Modulo Prime Groups with Prime Order Subgroup: 22-24. NIST Elliptic Curve Groups: 19-21, 25-26. Brainpool Elliptic Curve Groups: 27-30. Elliptic Curve 25519: 31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Физические характеристики: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RAM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- 4 ГБ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DDR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Flash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-память - 8 ГБ eMMC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Максимальная потребляемая мощность – 44 Вт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Питание - 100–240 В AC, 50–60 Гц; 36–72 В DC до двух источников питания с возможностью горячей замены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Интервал рабочих температур - от -10 до +45 °С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Интервал температуры хранения: от -40 до +70 °С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Относительная влажность при эксплуатации: не более 80 %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Относительная влажность при хранении: от 10 до 95 %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Габариты (Ш × В × Г) - 430 × 44 × 275 мм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Масса - 3,425 кг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Cрок службы - не менее 15 лет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Функциональные возможности: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Коммутация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До 4094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VLAN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(802.1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Q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Voice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VLAN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Q-in-Q (802.1ad)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MAC-based VLAN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Bridge-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домен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LAG/LACP(802.3ad)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Port-security, protected port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Jumbo-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кадры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Коммутация по меткам (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MPLS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Поддержка протокола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LDP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VPN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VPWS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VPN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VPLS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Martini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Mode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Kompella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Mode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Поддержка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L3VPN MP-BGP (Option A, B, C)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VPN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/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VPN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over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GRE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DMVPN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Прозрачная передача служебных протоколов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Маршрутизация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BGP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: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Семейство адресов: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IPv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4,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IPv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6,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VPNv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4,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VPN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IPv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4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label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unicast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Flow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spec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Возможность гибкого управления маршрутной информацией по атрибутам. Поддержка механизмов С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onditional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Advertisement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Route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Aggregation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и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Local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AS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Высокая ма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c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штабируемость и гибкость настройки: поддержка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peer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group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dynamic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neighbor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as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range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и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Route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reflector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Fall over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основе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протокола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BFD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Fast Error Peer Detection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Graceful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restart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Аутентификация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Гибкая редистрибьюция из/в процесс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BGP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маршрутов других протоколов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Возможность запуска до 64 процессов одновременно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ECMP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Поддержка маршрутизации на основе политик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OSPF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v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3):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Зоны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различных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типов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: Normal, Stub, Totally stub, NSSA, Totally NSS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Работа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различных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типах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сетей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: Broadcast, NBMA, Point-to-point, Point-to-multipoint, Point-to-multipoint non-broadcast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Суммаризация и фильтрация маршрутной информации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Аутентификация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ECMP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Пассивный интерфейс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Гибкая редистрибьюция из/в процесс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OSPF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маршрутов других протоколов – Возможность запуска до 6 процессов одновременно – Поддержка протокола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BFD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Механизм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Auto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cost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calculation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Поддержка маршрутизации на основе политик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IS-IS: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Работа в различных типах сетей: Broadcast, Point-to-point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Установка соседcтва L1-/L2-уровней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etric style: narrow, wide, transition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Аутентификация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Фильтрация маршрутной информации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Гибкая редистрибьюция из/в процесс IS-IS маршрутов других протоколов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Возможность запуска до 6 процессов одновременно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Поддержка маршрутизации на основе политик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RIP(ng):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Работа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режимах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(RIP only): Broadcast, Multicast, Unicast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Суммаризация и фильтрация маршрутной информации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Управление метрикой маршрута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Аутентификация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Пассивный интерфейс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Гибкая редистрибьюция из/в процесс RIP маршрутов других протоколов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Поддержка маршрутизации на основе политик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Static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: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Поддержка протокола BFD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Рекурсивный поиск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Управление метрикой маршрута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Возможность выбора варианта уведомления отправителю при блокировке трафика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Качество обслуживания (QoS)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До 8 приоритетных или взвешенных очередей на порт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2- и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3-приоритизация трафика (802.1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CoS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),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DSCP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Precedence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ToS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))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Иерархический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Q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Управление очередями: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RED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GRED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SFQ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CBQ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WFQ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WRR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DRR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Маркировка на входе и выходе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Управление полосой пропускания (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policing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shaping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)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IPsec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Режимы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«policy-based»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«route-based»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Режимы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инкапсуляции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: tunnel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transport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Виды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аутентификации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: pre-shared key, public key, xauth (ikev1 only), eap (ikev2)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mobike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ikev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only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Поддержка наборов ключей аутентификации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ike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kiering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Удаленный доступ (Remote Access)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Возможность удаленного доступа к корпоративной сети по PPTP, L2TP over IPsec, OpenVPN, WireGuard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Поддержка PPPoE-/PPTP-/L2TP-клиента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Аутентификация пользователей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Шифрование соединений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Безопасность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Поддержка списков контроля доступа (ACL) на базе L2-/L3-/L4-полей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Zone-based Firewall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двух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режимах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: stateful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stateless.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Логирование срабатывания правил, счетчики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Фильтрация по приложениям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Защита от DoS-/DDoS-/Spoof-атак и их логирование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Система обнаружения и предотвращения 1 вторжений (IPS/IDS) и их логирование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Сигнатурный анализ посредством IPS в двух режимах: анализ транзитного и зеркалированного 1 трафика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Взаимодействие с Eltex Distribution Manager для получения лицензируемого контента — наборы 2 правил, предоставляемые Kaspersky SafeStream II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Мониторинг и управление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Поддержка стандартных и расширенных SNMP MIB, RMONv1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Zabbix agent/proxy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Аутентификация пользователей по локальной базе средствами протоколов RADIUS, TACACS+, LDAP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Защита от ошибок конфигурирования, автоматическое восстановление конфигурации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Интерфейсы управления CLI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Syslog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Монитор использования системных ресурсов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Ping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monitor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traceroute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IPv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4/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IPv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6), вывод информации о пакетах в консоли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Обновление ПО, загрузка и выгрузка конфигурации по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TFTP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SCP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FTP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SFTP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HTTP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NTP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Netflow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5/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9/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10 (экспорт статистики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URL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для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HTTP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host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для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HTTPS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Локальное управление через консольный порт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RS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-232 (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RJ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-45)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Удаленное управление, протоколы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Telnet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SSH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IPv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4/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IPv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6)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LLDP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LLDP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MED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Локальное и удаленное сохранение конфигураций маршрутизатора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SLA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SLA-responder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для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Cisco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-SLA-agent – Eltex SLA: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Задержка (односторонняя/двусторонняя)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Jitter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(прямой/обратный)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Потеря пакетов (прямая/обратная/двусторонняя)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Обнаружение дублирующихся пакетов – Обнаружение нарушения последовательности доставки пакетов (прямое/обратноe/двустороннее)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Резервирование и кластеризация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VRRP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2,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Tracking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на основании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VRRP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- или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SLA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-теста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Управление параметрами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VRRP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Управление параметрами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PBR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Управление административным статусом интерфейса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Активация и деактивация статического маршрута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Управление атрибутом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AS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PATH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и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preference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в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route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map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DHCP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failover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для резервирования базы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-адресов, выданных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DCHP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-сервером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Firewall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failover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для резервирования сессий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Firewall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и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NAT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MultiWAN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Dual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Homing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Отказоустойчивый кластер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: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Простота администрирования и интеграции: синхронизация конфигураций, времени, версий, лицензий; Zero Touch Provisioning (ZTP)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Резервирование всех соединений в кластере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Резервирование маршрутизаторов (в текущей версии поддерживается резервирование по схеме «1 + 1»)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Сервисы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DHCP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-клиент, сервер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DHCP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Relay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Option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82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DNS resolver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NTP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TFTP-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сервер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E1/multilink,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модемы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BRAS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Терминация пользователей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Белые/черные списки URL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Квотирование по объёму трафика, по времени сессии, по сетевым приложениям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HTTP/HTTPS Proxy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HTTP/HTTPS Redirect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Аккаунтинг сессий по протоколу Netflow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Взаимодействие с серверами ААА, PCRF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Управление полосой пропускания по офисам и SSID, сессиям пользователей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Аутентификация пользователей по MAC или IP-адресам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DMVPN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Поддержка протокола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NHRP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DMVPN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phase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1,2,3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Per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Tunnel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QoS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Поддержка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IPsec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Туннелирование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IPoGRE, EoGRE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IPIP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L2TPv3 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LT (inter VRF routing)</w:t>
            </w:r>
          </w:p>
        </w:tc>
      </w:tr>
      <w:tr>
        <w:trPr>
          <w:trHeight w:val="113" w:hRule="atLeast"/>
        </w:trPr>
        <w:tc>
          <w:tcPr>
            <w:tcW w:w="56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keepNext w:val="true"/>
              <w:ind w:end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6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Лицензия</w:t>
            </w:r>
          </w:p>
        </w:tc>
        <w:tc>
          <w:tcPr>
            <w:tcW w:w="226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26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Лицензия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Eltex 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BGP</w:t>
            </w:r>
          </w:p>
        </w:tc>
        <w:tc>
          <w:tcPr>
            <w:tcW w:w="632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- Динамическая маршрутизация по протоколу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BGP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для коммутатора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MES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5300-24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56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keepNext w:val="true"/>
              <w:ind w:end="-11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86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Блок питания</w:t>
            </w:r>
          </w:p>
        </w:tc>
        <w:tc>
          <w:tcPr>
            <w:tcW w:w="226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6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Блок питания </w:t>
            </w:r>
            <w:r>
              <w:rPr>
                <w:rFonts w:eastAsia="Calibri"/>
                <w:sz w:val="20"/>
                <w:szCs w:val="20"/>
                <w:lang w:eastAsia="en-US"/>
              </w:rPr>
              <w:t>Eltex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PM160-220/12 </w:t>
            </w:r>
            <w:r>
              <w:rPr>
                <w:rFonts w:eastAsia="Calibri"/>
                <w:sz w:val="20"/>
                <w:szCs w:val="20"/>
                <w:lang w:eastAsia="en-US"/>
              </w:rPr>
              <w:t>(или модель новее)</w:t>
            </w:r>
          </w:p>
        </w:tc>
        <w:tc>
          <w:tcPr>
            <w:tcW w:w="632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Электротехнические параметры: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Максимальный диапазон входного напряжения АC90–264 В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Номинальный диапазон входного напряжения АС 100–240 В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Входная частота 47–63 Гц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Выходное напряжение 12 В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Максимальная выходная мощность 160 Вт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Пусковой ток 50 А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Физические характеристики и условия окружающей среды: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Рабочая температура окружающей среды: От -10 до +45 °С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Температура хранения: От -50 до +75 °С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Рабочая влажность при температуре +25 °С (без образования конденсата): До 80 %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Габариты (ШxВxГ): 86х44х156 мм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Масса, кг 0.5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Кабель питания: Евровилка-С13, 1.8м (входит в комплект)</w:t>
            </w:r>
          </w:p>
          <w:p>
            <w:pPr>
              <w:pStyle w:val="NoSpacing"/>
              <w:tabs>
                <w:tab w:val="clear" w:pos="708"/>
                <w:tab w:val="left" w:pos="176" w:leader="none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keepNext w:val="true"/>
        <w:tabs>
          <w:tab w:val="clear" w:pos="708"/>
          <w:tab w:val="left" w:pos="709" w:leader="none"/>
          <w:tab w:val="left" w:pos="1417" w:leader="none"/>
          <w:tab w:val="left" w:pos="2126" w:leader="none"/>
          <w:tab w:val="left" w:pos="2835" w:leader="none"/>
          <w:tab w:val="left" w:pos="3543" w:leader="none"/>
          <w:tab w:val="left" w:pos="4252" w:leader="none"/>
          <w:tab w:val="left" w:pos="4961" w:leader="none"/>
          <w:tab w:val="left" w:pos="5669" w:leader="none"/>
          <w:tab w:val="left" w:pos="6378" w:leader="none"/>
          <w:tab w:val="left" w:pos="7087" w:leader="none"/>
          <w:tab w:val="left" w:pos="7795" w:leader="none"/>
          <w:tab w:val="left" w:pos="8504" w:leader="none"/>
          <w:tab w:val="left" w:pos="9132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tabs>
          <w:tab w:val="clear" w:pos="708"/>
          <w:tab w:val="left" w:pos="709" w:leader="none"/>
          <w:tab w:val="left" w:pos="1417" w:leader="none"/>
          <w:tab w:val="left" w:pos="2126" w:leader="none"/>
          <w:tab w:val="left" w:pos="2835" w:leader="none"/>
          <w:tab w:val="left" w:pos="3543" w:leader="none"/>
          <w:tab w:val="left" w:pos="4252" w:leader="none"/>
          <w:tab w:val="left" w:pos="4961" w:leader="none"/>
          <w:tab w:val="left" w:pos="5669" w:leader="none"/>
          <w:tab w:val="left" w:pos="6378" w:leader="none"/>
          <w:tab w:val="left" w:pos="7087" w:leader="none"/>
          <w:tab w:val="left" w:pos="7795" w:leader="none"/>
          <w:tab w:val="left" w:pos="8504" w:leader="none"/>
          <w:tab w:val="left" w:pos="9132" w:leader="none"/>
        </w:tabs>
        <w:rPr>
          <w:b/>
          <w:bCs/>
        </w:rPr>
      </w:pPr>
      <w:r>
        <w:rPr>
          <w:b/>
          <w:bCs/>
        </w:rPr>
      </w:r>
    </w:p>
    <w:sectPr>
      <w:type w:val="nextPage"/>
      <w:pgSz w:orient="landscape" w:w="16838" w:h="11906"/>
      <w:pgMar w:left="1701" w:right="99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Helvetica">
    <w:altName w:val="Arial"/>
    <w:charset w:val="01" w:characterSet="utf-8"/>
    <w:family w:val="swiss"/>
    <w:pitch w:val="variable"/>
  </w:font>
  <w:font w:name="Times New Roman CYR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82b7b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e27532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21"/>
    <w:uiPriority w:val="9"/>
    <w:semiHidden/>
    <w:unhideWhenUsed/>
    <w:qFormat/>
    <w:rsid w:val="00622da8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8d1c86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uiPriority w:val="9"/>
    <w:unhideWhenUsed/>
    <w:qFormat/>
    <w:rsid w:val="00e05e29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e2753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ConsNormal" w:customStyle="1">
    <w:name w:val="ConsNormal Знак"/>
    <w:link w:val="ConsNormal1"/>
    <w:qFormat/>
    <w:rsid w:val="00622da8"/>
    <w:rPr>
      <w:rFonts w:ascii="Arial" w:hAnsi="Arial" w:eastAsia="ヒラギノ角ゴ Pro W3" w:cs="Times New Roman"/>
      <w:color w:val="000000"/>
      <w:kern w:val="2"/>
      <w:sz w:val="20"/>
      <w:szCs w:val="20"/>
      <w:lang w:eastAsia="hi-IN" w:bidi="hi-IN"/>
    </w:rPr>
  </w:style>
  <w:style w:type="character" w:styleId="Style10" w:customStyle="1">
    <w:name w:val="Пункты Знак"/>
    <w:link w:val="Style17"/>
    <w:qFormat/>
    <w:rsid w:val="00622da8"/>
    <w:rPr>
      <w:rFonts w:ascii="Times New Roman" w:hAnsi="Times New Roman" w:eastAsia="Times New Roman" w:cs="Times New Roman"/>
      <w:bCs/>
      <w:iCs/>
      <w:sz w:val="24"/>
      <w:szCs w:val="28"/>
      <w:lang w:val="x-none" w:eastAsia="x-none"/>
    </w:rPr>
  </w:style>
  <w:style w:type="character" w:styleId="2" w:customStyle="1">
    <w:name w:val="Основной текст 2 Знак"/>
    <w:basedOn w:val="DefaultParagraphFont"/>
    <w:link w:val="BodyText2"/>
    <w:qFormat/>
    <w:rsid w:val="00622da8"/>
    <w:rPr>
      <w:rFonts w:ascii="Arial" w:hAnsi="Arial" w:eastAsia="Times New Roman" w:cs="Times New Roman"/>
      <w:sz w:val="18"/>
      <w:szCs w:val="18"/>
      <w:lang w:val="x-none" w:eastAsia="x-none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622da8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character" w:styleId="Hyperlink">
    <w:name w:val="Hyperlink"/>
    <w:rsid w:val="00fa51d3"/>
    <w:rPr>
      <w:color w:val="000080"/>
      <w:u w:val="single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5804e6"/>
    <w:rPr>
      <w:rFonts w:ascii="Tahoma" w:hAnsi="Tahoma" w:eastAsia="Times New Roman" w:cs="Tahoma"/>
      <w:sz w:val="16"/>
      <w:szCs w:val="16"/>
      <w:lang w:eastAsia="ru-RU"/>
    </w:rPr>
  </w:style>
  <w:style w:type="character" w:styleId="apple-converted-space" w:customStyle="1">
    <w:name w:val="apple-converted-space"/>
    <w:basedOn w:val="DefaultParagraphFont"/>
    <w:qFormat/>
    <w:rsid w:val="006a0d63"/>
    <w:rPr/>
  </w:style>
  <w:style w:type="character" w:styleId="HTML" w:customStyle="1">
    <w:name w:val="Стандартный HTML Знак"/>
    <w:basedOn w:val="DefaultParagraphFont"/>
    <w:link w:val="HTMLPreformatted"/>
    <w:qFormat/>
    <w:rsid w:val="00070596"/>
    <w:rPr>
      <w:rFonts w:ascii="Courier New" w:hAnsi="Courier New" w:cs="Courier New"/>
      <w:sz w:val="20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2a6ac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e1151"/>
    <w:rPr>
      <w:sz w:val="16"/>
      <w:szCs w:val="16"/>
    </w:rPr>
  </w:style>
  <w:style w:type="character" w:styleId="Style12" w:customStyle="1">
    <w:name w:val="Текст примечания Знак"/>
    <w:basedOn w:val="DefaultParagraphFont"/>
    <w:uiPriority w:val="99"/>
    <w:semiHidden/>
    <w:qFormat/>
    <w:rsid w:val="003e1151"/>
    <w:rPr>
      <w:rFonts w:ascii="Arial" w:hAnsi="Arial" w:eastAsia="Times New Roman" w:cs="Arial"/>
      <w:sz w:val="20"/>
      <w:szCs w:val="20"/>
      <w:lang w:eastAsia="ru-RU"/>
    </w:rPr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sid w:val="003e1151"/>
    <w:rPr>
      <w:rFonts w:ascii="Arial" w:hAnsi="Arial" w:eastAsia="Times New Roman" w:cs="Arial"/>
      <w:b/>
      <w:bCs/>
      <w:sz w:val="20"/>
      <w:szCs w:val="20"/>
      <w:lang w:eastAsia="ru-RU"/>
    </w:rPr>
  </w:style>
  <w:style w:type="character" w:styleId="4" w:customStyle="1">
    <w:name w:val="Заголовок 4 Знак"/>
    <w:basedOn w:val="DefaultParagraphFont"/>
    <w:uiPriority w:val="9"/>
    <w:qFormat/>
    <w:rsid w:val="00e05e29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8d1c86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4"/>
      <w:szCs w:val="24"/>
      <w:lang w:eastAsia="ru-RU"/>
    </w:rPr>
  </w:style>
  <w:style w:type="character" w:styleId="PageNumber">
    <w:name w:val="page number"/>
    <w:basedOn w:val="DefaultParagraphFont"/>
    <w:rsid w:val="00573292"/>
    <w:rPr/>
  </w:style>
  <w:style w:type="character" w:styleId="Style14" w:customStyle="1">
    <w:name w:val="Абзац списка Знак"/>
    <w:link w:val="ListParagraph"/>
    <w:uiPriority w:val="34"/>
    <w:qFormat/>
    <w:locked/>
    <w:rsid w:val="00892ed9"/>
    <w:rPr>
      <w:rFonts w:eastAsia="" w:eastAsiaTheme="minorEastAsia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link w:val="Style14"/>
    <w:uiPriority w:val="34"/>
    <w:qFormat/>
    <w:rsid w:val="00d34f7a"/>
    <w:pPr>
      <w:spacing w:lineRule="auto" w:line="276" w:before="0" w:after="200"/>
      <w:ind w:start="720"/>
      <w:contextualSpacing/>
    </w:pPr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paragraph" w:styleId="NoSpacing">
    <w:name w:val="No Spacing"/>
    <w:uiPriority w:val="1"/>
    <w:qFormat/>
    <w:rsid w:val="00074e3e"/>
    <w:pPr>
      <w:widowControl w:val="false"/>
      <w:suppressAutoHyphens w:val="true"/>
      <w:bidi w:val="0"/>
      <w:spacing w:lineRule="auto" w:line="240" w:before="0" w:after="0"/>
      <w:jc w:val="star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622da8"/>
    <w:pPr>
      <w:widowControl w:val="false"/>
      <w:suppressAutoHyphens w:val="true"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622da8"/>
    <w:pPr>
      <w:widowControl w:val="false"/>
      <w:suppressAutoHyphens w:val="true"/>
      <w:bidi w:val="0"/>
      <w:spacing w:lineRule="auto" w:line="240" w:before="0" w:after="0"/>
      <w:jc w:val="start"/>
    </w:pPr>
    <w:rPr>
      <w:rFonts w:ascii="Arial" w:hAnsi="Arial" w:eastAsia="Times New Roman" w:cs="Arial"/>
      <w:b/>
      <w:bCs/>
      <w:color w:val="auto"/>
      <w:kern w:val="0"/>
      <w:sz w:val="18"/>
      <w:szCs w:val="18"/>
      <w:lang w:val="ru-RU" w:eastAsia="ru-RU" w:bidi="ar-SA"/>
    </w:rPr>
  </w:style>
  <w:style w:type="paragraph" w:styleId="ConsNormal1" w:customStyle="1">
    <w:name w:val="ConsNormal"/>
    <w:link w:val="ConsNormal"/>
    <w:qFormat/>
    <w:rsid w:val="00622da8"/>
    <w:pPr>
      <w:keepNext w:val="true"/>
      <w:keepLines/>
      <w:widowControl w:val="false"/>
      <w:suppressAutoHyphens w:val="true"/>
      <w:bidi w:val="0"/>
      <w:spacing w:lineRule="auto" w:line="240" w:before="0" w:after="0"/>
      <w:ind w:firstLine="720" w:end="19772"/>
      <w:jc w:val="start"/>
    </w:pPr>
    <w:rPr>
      <w:rFonts w:ascii="Arial" w:hAnsi="Arial" w:eastAsia="ヒラギノ角ゴ Pro W3" w:cs="Times New Roman"/>
      <w:color w:val="000000"/>
      <w:kern w:val="2"/>
      <w:sz w:val="20"/>
      <w:szCs w:val="20"/>
      <w:lang w:val="ru-RU" w:eastAsia="hi-IN" w:bidi="hi-IN"/>
    </w:rPr>
  </w:style>
  <w:style w:type="paragraph" w:styleId="Style17" w:customStyle="1">
    <w:name w:val="Пункты"/>
    <w:basedOn w:val="Heading2"/>
    <w:link w:val="Style10"/>
    <w:qFormat/>
    <w:rsid w:val="00622da8"/>
    <w:pPr>
      <w:keepLines w:val="false"/>
      <w:numPr>
        <w:ilvl w:val="1"/>
        <w:numId w:val="1"/>
      </w:numPr>
      <w:tabs>
        <w:tab w:val="clear" w:pos="708"/>
        <w:tab w:val="left" w:pos="1134" w:leader="none"/>
      </w:tabs>
      <w:spacing w:before="120" w:after="0"/>
      <w:jc w:val="both"/>
    </w:pPr>
    <w:rPr>
      <w:rFonts w:ascii="Times New Roman" w:hAnsi="Times New Roman" w:eastAsia="Times New Roman" w:cs="Times New Roman"/>
      <w:b w:val="false"/>
      <w:iCs/>
      <w:color w:val="auto"/>
      <w:sz w:val="24"/>
      <w:szCs w:val="28"/>
      <w:lang w:val="x-none" w:eastAsia="x-none"/>
    </w:rPr>
  </w:style>
  <w:style w:type="paragraph" w:styleId="BodyText2">
    <w:name w:val="Body Text 2"/>
    <w:basedOn w:val="Normal"/>
    <w:link w:val="2"/>
    <w:qFormat/>
    <w:rsid w:val="00622da8"/>
    <w:pPr>
      <w:spacing w:lineRule="auto" w:line="480" w:before="0" w:after="120"/>
    </w:pPr>
    <w:rPr>
      <w:lang w:val="x-none" w:eastAsia="x-none"/>
    </w:rPr>
  </w:style>
  <w:style w:type="paragraph" w:styleId="11" w:customStyle="1">
    <w:name w:val="Нижний колонтитул1"/>
    <w:qFormat/>
    <w:rsid w:val="00622da8"/>
    <w:pPr>
      <w:widowControl/>
      <w:tabs>
        <w:tab w:val="clear" w:pos="708"/>
        <w:tab w:val="center" w:pos="4677" w:leader="none"/>
        <w:tab w:val="right" w:pos="9355" w:leader="none"/>
      </w:tabs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ヒラギノ角ゴ Pro W3" w:cs="Times New Roman"/>
      <w:color w:val="000000"/>
      <w:kern w:val="0"/>
      <w:sz w:val="24"/>
      <w:szCs w:val="20"/>
      <w:lang w:val="en-US" w:eastAsia="ru-RU" w:bidi="ar-SA"/>
    </w:rPr>
  </w:style>
  <w:style w:type="paragraph" w:styleId="A" w:customStyle="1">
    <w:name w:val="Текстовый блок A"/>
    <w:qFormat/>
    <w:rsid w:val="00622da8"/>
    <w:pPr>
      <w:widowControl/>
      <w:suppressAutoHyphens w:val="true"/>
      <w:bidi w:val="0"/>
      <w:spacing w:lineRule="auto" w:line="240" w:before="0" w:after="0"/>
      <w:jc w:val="start"/>
    </w:pPr>
    <w:rPr>
      <w:rFonts w:ascii="Helvetica" w:hAnsi="Helvetica" w:eastAsia="ヒラギノ角ゴ Pro W3" w:cs="Times New Roman"/>
      <w:color w:val="000000"/>
      <w:kern w:val="0"/>
      <w:sz w:val="24"/>
      <w:szCs w:val="20"/>
      <w:lang w:val="ru-RU" w:eastAsia="ru-RU" w:bidi="ar-SA"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5804e6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8e4d40"/>
    <w:pPr>
      <w:spacing w:before="0" w:after="150"/>
    </w:pPr>
    <w:rPr/>
  </w:style>
  <w:style w:type="paragraph" w:styleId="HTMLPreformatted">
    <w:name w:val="HTML Preformatted"/>
    <w:basedOn w:val="Normal"/>
    <w:link w:val="HTML"/>
    <w:unhideWhenUsed/>
    <w:qFormat/>
    <w:rsid w:val="00070596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alibri" w:cs="Courier New" w:eastAsiaTheme="minorHAnsi"/>
      <w:sz w:val="20"/>
      <w:szCs w:val="20"/>
    </w:rPr>
  </w:style>
  <w:style w:type="paragraph" w:styleId="CommentText">
    <w:name w:val="annotation text"/>
    <w:basedOn w:val="Normal"/>
    <w:link w:val="Style12"/>
    <w:uiPriority w:val="99"/>
    <w:semiHidden/>
    <w:unhideWhenUsed/>
    <w:rsid w:val="003e115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3"/>
    <w:uiPriority w:val="99"/>
    <w:semiHidden/>
    <w:unhideWhenUsed/>
    <w:qFormat/>
    <w:rsid w:val="003e1151"/>
    <w:pPr/>
    <w:rPr>
      <w:b/>
      <w:bCs/>
    </w:rPr>
  </w:style>
  <w:style w:type="paragraph" w:styleId="user2">
    <w:name w:val="Содержимое врезки (user)"/>
    <w:basedOn w:val="Normal"/>
    <w:qFormat/>
    <w:pPr/>
    <w:rPr/>
  </w:style>
  <w:style w:type="paragraph" w:styleId="Style18">
    <w:name w:val="Содержимое врезки"/>
    <w:basedOn w:val="Normal"/>
    <w:qFormat/>
    <w:pPr/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2"/>
    <w:uiPriority w:val="59"/>
    <w:rsid w:val="000c77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2"/>
    <w:rsid w:val="00da597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5994D-F8B0-45B6-8329-C7EF2C05E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10544</TotalTime>
  <Application>LibreOffice/25.8.0.4$Linux_X86_64 LibreOffice_project/48f00303701489684e67c38c28aff00cd5929e67</Application>
  <AppVersion>15.0000</AppVersion>
  <Pages>13</Pages>
  <Words>2451</Words>
  <Characters>16048</Characters>
  <CharactersWithSpaces>18680</CharactersWithSpaces>
  <Paragraphs>497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2025-11-17T02:06:00Z</dcterms:created>
  <dc:creator>Врубляускас Михаил Ромасович</dc:creator>
  <dc:description/>
  <dc:language>ru-RU</dc:language>
  <cp:lastModifiedBy/>
  <cp:lastPrinted>2016-09-15T12:43:00Z</cp:lastPrinted>
  <dcterms:modified xsi:type="dcterms:W3CDTF">2026-02-18T16:32:47Z</dcterms:modified>
  <cp:revision>284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