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Default Extension="fntdata" ContentType="application/x-fontdata"/>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spacing w:before="101" w:after="0"/>
        <w:ind w:start="4962"/>
        <w:rPr>
          <w:sz w:val="26"/>
        </w:rPr>
      </w:pPr>
      <w:r>
        <w:rPr>
          <w:sz w:val="26"/>
        </w:rPr>
      </w:r>
    </w:p>
    <w:p>
      <w:pPr>
        <w:pStyle w:val="Normal"/>
        <w:widowControl/>
        <w:spacing w:lineRule="auto" w:line="276" w:before="101" w:after="0"/>
        <w:jc w:val="center"/>
        <w:rPr>
          <w:b/>
          <w:sz w:val="24"/>
          <w:szCs w:val="24"/>
        </w:rPr>
      </w:pPr>
      <w:r>
        <w:rPr>
          <w:b/>
          <w:sz w:val="24"/>
          <w:szCs w:val="24"/>
        </w:rPr>
        <w:t>ТЕХНИЧЕСКОЕ ЗАДАНИЕ</w:t>
      </w:r>
    </w:p>
    <w:p>
      <w:pPr>
        <w:pStyle w:val="Heading1"/>
        <w:widowControl w:val="false"/>
        <w:spacing w:before="0" w:after="0"/>
        <w:ind w:firstLine="567"/>
        <w:rPr>
          <w:rFonts w:ascii="Times New Roman" w:hAnsi="Times New Roman"/>
          <w:sz w:val="24"/>
          <w:szCs w:val="24"/>
        </w:rPr>
      </w:pPr>
      <w:r>
        <w:rPr>
          <w:rFonts w:ascii="Times New Roman" w:hAnsi="Times New Roman"/>
          <w:sz w:val="24"/>
          <w:szCs w:val="24"/>
        </w:rPr>
        <w:t>на выполнение работ по разработке и корректировке проектной и рабочей документации, проведение строительно-монтажных работ по объекту: «Устройство недостающего освещения на автомобильных дорогах регионального значения Пермского края»</w:t>
      </w:r>
    </w:p>
    <w:p>
      <w:pPr>
        <w:pStyle w:val="Normal"/>
        <w:widowControl/>
        <w:spacing w:lineRule="auto" w:line="276" w:before="101" w:after="0"/>
        <w:jc w:val="center"/>
        <w:rPr>
          <w:b/>
          <w:sz w:val="24"/>
          <w:szCs w:val="24"/>
        </w:rPr>
      </w:pPr>
      <w:r>
        <w:rPr>
          <w:b/>
          <w:sz w:val="24"/>
          <w:szCs w:val="24"/>
        </w:rPr>
      </w:r>
    </w:p>
    <w:p>
      <w:pPr>
        <w:pStyle w:val="Normal"/>
        <w:widowControl/>
        <w:spacing w:lineRule="auto" w:line="276" w:before="101" w:after="0"/>
        <w:jc w:val="center"/>
        <w:rPr>
          <w:b/>
          <w:sz w:val="24"/>
          <w:szCs w:val="24"/>
        </w:rPr>
      </w:pPr>
      <w:r>
        <w:rPr>
          <w:b/>
          <w:sz w:val="24"/>
          <w:szCs w:val="24"/>
        </w:rPr>
        <w:t>Термины</w:t>
      </w:r>
    </w:p>
    <w:p>
      <w:pPr>
        <w:pStyle w:val="Normal"/>
        <w:widowControl/>
        <w:spacing w:lineRule="auto" w:line="276" w:before="101" w:after="0"/>
        <w:rPr>
          <w:sz w:val="24"/>
          <w:szCs w:val="24"/>
        </w:rPr>
      </w:pPr>
      <w:r>
        <w:rPr>
          <w:b/>
          <w:sz w:val="24"/>
          <w:szCs w:val="24"/>
        </w:rPr>
        <w:t>АСУНО</w:t>
      </w:r>
      <w:r>
        <w:rPr>
          <w:sz w:val="24"/>
          <w:szCs w:val="24"/>
        </w:rPr>
        <w:t xml:space="preserve"> - автоматизированная система наружного освещения</w:t>
      </w:r>
    </w:p>
    <w:p>
      <w:pPr>
        <w:pStyle w:val="Normal"/>
        <w:widowControl/>
        <w:spacing w:lineRule="auto" w:line="276" w:before="101" w:after="0"/>
        <w:rPr>
          <w:b/>
          <w:bCs/>
        </w:rPr>
      </w:pPr>
      <w:r>
        <w:rPr>
          <w:b/>
          <w:sz w:val="24"/>
          <w:szCs w:val="24"/>
        </w:rPr>
        <w:t>КФВФ</w:t>
      </w:r>
      <w:r>
        <w:rPr>
          <w:sz w:val="24"/>
          <w:szCs w:val="24"/>
        </w:rPr>
        <w:t xml:space="preserve"> - комплекс фотовидеофиксации нарушений правил дорожного движения</w:t>
      </w:r>
    </w:p>
    <w:p>
      <w:pPr>
        <w:pStyle w:val="Normal"/>
        <w:widowControl/>
        <w:spacing w:lineRule="auto" w:line="276" w:before="101" w:after="0"/>
        <w:rPr>
          <w:sz w:val="24"/>
          <w:szCs w:val="24"/>
        </w:rPr>
      </w:pPr>
      <w:r>
        <w:rPr>
          <w:b/>
          <w:sz w:val="24"/>
          <w:szCs w:val="24"/>
        </w:rPr>
        <w:t xml:space="preserve">ШУНО - </w:t>
      </w:r>
      <w:r>
        <w:rPr>
          <w:szCs w:val="24"/>
        </w:rPr>
        <w:t>шкаф управления наружным освещением</w:t>
      </w:r>
    </w:p>
    <w:p>
      <w:pPr>
        <w:pStyle w:val="Normal"/>
        <w:widowControl/>
        <w:spacing w:lineRule="auto" w:line="276" w:before="101" w:after="0"/>
        <w:rPr>
          <w:sz w:val="24"/>
          <w:szCs w:val="24"/>
        </w:rPr>
      </w:pPr>
      <w:r>
        <w:rPr>
          <w:sz w:val="24"/>
          <w:szCs w:val="24"/>
        </w:rPr>
      </w:r>
    </w:p>
    <w:p>
      <w:pPr>
        <w:pStyle w:val="Normal"/>
        <w:widowControl/>
        <w:spacing w:lineRule="auto" w:line="276"/>
        <w:ind w:firstLine="709"/>
        <w:jc w:val="both"/>
        <w:rPr>
          <w:b/>
          <w:sz w:val="28"/>
        </w:rPr>
      </w:pPr>
      <w:r>
        <w:rPr>
          <w:b/>
          <w:sz w:val="28"/>
        </w:rPr>
        <w:t>Раздел 1: выполнение работ по разработке и корректировке проектной и рабочей документации</w:t>
      </w:r>
    </w:p>
    <w:p>
      <w:pPr>
        <w:pStyle w:val="Normal"/>
        <w:widowControl/>
        <w:spacing w:lineRule="auto" w:line="276"/>
        <w:jc w:val="center"/>
        <w:rPr>
          <w:b/>
          <w:sz w:val="24"/>
        </w:rPr>
      </w:pPr>
      <w:r>
        <w:rPr>
          <w:b/>
          <w:sz w:val="24"/>
        </w:rPr>
      </w:r>
    </w:p>
    <w:tbl>
      <w:tblPr>
        <w:tblW w:w="10288" w:type="dxa"/>
        <w:jc w:val="start"/>
        <w:tblInd w:w="168" w:type="dxa"/>
        <w:tblLayout w:type="fixed"/>
        <w:tblCellMar>
          <w:top w:w="0" w:type="dxa"/>
          <w:start w:w="108" w:type="dxa"/>
          <w:bottom w:w="0" w:type="dxa"/>
          <w:end w:w="108" w:type="dxa"/>
        </w:tblCellMar>
        <w:tblLook w:val="04a0" w:noHBand="0" w:noVBand="1" w:firstColumn="1" w:lastRow="0" w:lastColumn="0" w:firstRow="1"/>
      </w:tblPr>
      <w:tblGrid>
        <w:gridCol w:w="676"/>
        <w:gridCol w:w="3636"/>
        <w:gridCol w:w="5976"/>
      </w:tblGrid>
      <w:tr>
        <w:trPr/>
        <w:tc>
          <w:tcPr>
            <w:tcW w:w="67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 xml:space="preserve">№ </w:t>
            </w:r>
            <w:r>
              <w:rPr>
                <w:b/>
                <w:sz w:val="24"/>
              </w:rPr>
              <w:t>п/п</w:t>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 xml:space="preserve">Перечень основных </w:t>
            </w:r>
          </w:p>
          <w:p>
            <w:pPr>
              <w:pStyle w:val="Normal"/>
              <w:widowControl/>
              <w:spacing w:before="0" w:after="0"/>
              <w:contextualSpacing/>
              <w:jc w:val="center"/>
              <w:rPr>
                <w:b/>
                <w:sz w:val="24"/>
              </w:rPr>
            </w:pPr>
            <w:r>
              <w:rPr>
                <w:b/>
                <w:sz w:val="24"/>
              </w:rPr>
              <w:t>требований</w:t>
            </w:r>
          </w:p>
        </w:tc>
        <w:tc>
          <w:tcPr>
            <w:tcW w:w="597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Содержание требований</w:t>
            </w:r>
          </w:p>
        </w:tc>
      </w:tr>
      <w:tr>
        <w:trPr/>
        <w:tc>
          <w:tcPr>
            <w:tcW w:w="67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1</w:t>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2</w:t>
            </w:r>
          </w:p>
        </w:tc>
        <w:tc>
          <w:tcPr>
            <w:tcW w:w="5976"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3</w:t>
            </w:r>
          </w:p>
        </w:tc>
      </w:tr>
      <w:tr>
        <w:trPr>
          <w:trHeight w:val="340" w:hRule="atLeast"/>
        </w:trPr>
        <w:tc>
          <w:tcPr>
            <w:tcW w:w="10288" w:type="dxa"/>
            <w:gridSpan w:val="3"/>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center"/>
              <w:rPr>
                <w:sz w:val="24"/>
              </w:rPr>
            </w:pPr>
            <w:r>
              <w:rPr>
                <w:b/>
                <w:sz w:val="24"/>
              </w:rPr>
              <w:t>Общие данные</w:t>
            </w:r>
          </w:p>
        </w:tc>
      </w:tr>
      <w:tr>
        <w:trPr>
          <w:trHeight w:val="958" w:hRule="atLeast"/>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end="-165"/>
              <w:contextualSpacing/>
              <w:jc w:val="both"/>
              <w:rPr>
                <w:sz w:val="24"/>
              </w:rPr>
            </w:pPr>
            <w:r>
              <w:rPr>
                <w:sz w:val="24"/>
              </w:rPr>
              <w:t xml:space="preserve">Основание для проектирования </w:t>
            </w:r>
          </w:p>
        </w:tc>
        <w:tc>
          <w:tcPr>
            <w:tcW w:w="59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trike/>
                <w:sz w:val="24"/>
                <w:highlight w:val="yellow"/>
              </w:rPr>
            </w:pPr>
            <w:r>
              <w:rPr>
                <w:sz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 (с изм. и доп., вступающими в силу с 01.01.2025)</w:t>
            </w:r>
          </w:p>
        </w:tc>
      </w:tr>
      <w:tr>
        <w:trPr>
          <w:trHeight w:val="549" w:hRule="atLeast"/>
        </w:trPr>
        <w:tc>
          <w:tcPr>
            <w:tcW w:w="676" w:type="dxa"/>
            <w:vMerge w:val="restart"/>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rPr>
                <w:sz w:val="24"/>
                <w:szCs w:val="24"/>
              </w:rPr>
            </w:pPr>
            <w:r>
              <w:rPr>
                <w:sz w:val="24"/>
                <w:szCs w:val="24"/>
              </w:rPr>
              <w:t>Государственный Заказчик</w:t>
            </w:r>
          </w:p>
        </w:tc>
        <w:tc>
          <w:tcPr>
            <w:tcW w:w="5976" w:type="dxa"/>
            <w:tcBorders>
              <w:top w:val="single" w:sz="4" w:space="0" w:color="000000"/>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szCs w:val="24"/>
              </w:rPr>
              <w:t>КГБУ «Управление автомобильных дорог и транспорта» Пермского края</w:t>
            </w:r>
          </w:p>
        </w:tc>
      </w:tr>
      <w:tr>
        <w:trPr>
          <w:trHeight w:val="549" w:hRule="atLeast"/>
        </w:trPr>
        <w:tc>
          <w:tcPr>
            <w:tcW w:w="676" w:type="dxa"/>
            <w:vMerge w:val="continue"/>
            <w:tcBorders>
              <w:top w:val="single" w:sz="4" w:space="0" w:color="000000"/>
              <w:start w:val="single" w:sz="4" w:space="0" w:color="000000"/>
              <w:bottom w:val="single" w:sz="4" w:space="0" w:color="000000"/>
              <w:end w:val="single" w:sz="4" w:space="0" w:color="000000"/>
            </w:tcBorders>
          </w:tcPr>
          <w:p>
            <w:pPr>
              <w:pStyle w:val="ListParagraph1"/>
              <w:spacing w:before="0" w:after="0"/>
              <w:ind w:start="0"/>
              <w:contextualSpacing/>
              <w:jc w:val="center"/>
              <w:rPr>
                <w:sz w:val="24"/>
              </w:rPr>
            </w:pPr>
            <w:r>
              <w:rPr>
                <w:sz w:val="24"/>
              </w:rPr>
            </w:r>
          </w:p>
        </w:tc>
        <w:tc>
          <w:tcPr>
            <w:tcW w:w="3636" w:type="dxa"/>
            <w:tcBorders>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rPr>
                <w:sz w:val="24"/>
                <w:szCs w:val="24"/>
              </w:rPr>
            </w:pPr>
            <w:r>
              <w:rPr>
                <w:sz w:val="24"/>
                <w:szCs w:val="24"/>
              </w:rPr>
              <w:t>Генподрядчик</w:t>
            </w:r>
          </w:p>
        </w:tc>
        <w:tc>
          <w:tcPr>
            <w:tcW w:w="5976" w:type="dxa"/>
            <w:tcBorders>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t>Филиал «Мостоотряд № 123» АО «Уралмостострой»</w:t>
            </w:r>
          </w:p>
        </w:tc>
      </w:tr>
      <w:tr>
        <w:trPr>
          <w:trHeight w:val="549" w:hRule="atLeast"/>
        </w:trPr>
        <w:tc>
          <w:tcPr>
            <w:tcW w:w="676" w:type="dxa"/>
            <w:vMerge w:val="continue"/>
            <w:tcBorders>
              <w:top w:val="single" w:sz="4" w:space="0" w:color="000000"/>
              <w:start w:val="single" w:sz="4" w:space="0" w:color="000000"/>
              <w:bottom w:val="single" w:sz="4" w:space="0" w:color="000000"/>
              <w:end w:val="single" w:sz="4" w:space="0" w:color="000000"/>
            </w:tcBorders>
          </w:tcPr>
          <w:p>
            <w:pPr>
              <w:pStyle w:val="ListParagraph1"/>
              <w:spacing w:before="0" w:after="0"/>
              <w:ind w:start="0"/>
              <w:contextualSpacing/>
              <w:jc w:val="center"/>
              <w:rPr>
                <w:sz w:val="24"/>
              </w:rPr>
            </w:pPr>
            <w:r>
              <w:rPr>
                <w:sz w:val="24"/>
              </w:rPr>
            </w:r>
          </w:p>
        </w:tc>
        <w:tc>
          <w:tcPr>
            <w:tcW w:w="3636" w:type="dxa"/>
            <w:tcBorders>
              <w:start w:val="single" w:sz="4" w:space="0" w:color="000000"/>
              <w:bottom w:val="single" w:sz="4" w:space="0" w:color="000000"/>
              <w:end w:val="single" w:sz="4" w:space="0" w:color="000000"/>
            </w:tcBorders>
          </w:tcPr>
          <w:p>
            <w:pPr>
              <w:pStyle w:val="Normal"/>
              <w:widowControl/>
              <w:tabs>
                <w:tab w:val="clear" w:pos="708"/>
                <w:tab w:val="left" w:pos="55" w:leader="none"/>
                <w:tab w:val="left" w:pos="317" w:leader="none"/>
              </w:tabs>
              <w:spacing w:before="0" w:after="0"/>
              <w:contextualSpacing/>
              <w:jc w:val="both"/>
              <w:rPr>
                <w:sz w:val="24"/>
              </w:rPr>
            </w:pPr>
            <w:r>
              <w:rPr>
                <w:sz w:val="24"/>
              </w:rPr>
              <w:t>Заказчик</w:t>
            </w:r>
          </w:p>
        </w:tc>
        <w:tc>
          <w:tcPr>
            <w:tcW w:w="5976" w:type="dxa"/>
            <w:tcBorders>
              <w:start w:val="single" w:sz="4" w:space="0" w:color="000000"/>
              <w:bottom w:val="single" w:sz="4" w:space="0" w:color="000000"/>
              <w:end w:val="single" w:sz="4" w:space="0" w:color="000000"/>
            </w:tcBorders>
          </w:tcPr>
          <w:p>
            <w:pPr>
              <w:pStyle w:val="Style3111"/>
              <w:spacing w:lineRule="auto" w:line="240" w:before="0" w:after="0"/>
              <w:ind w:firstLine="7"/>
              <w:contextualSpacing/>
              <w:rPr>
                <w:szCs w:val="24"/>
              </w:rPr>
            </w:pPr>
            <w:r>
              <w:rPr>
                <w:szCs w:val="24"/>
              </w:rPr>
              <w:t>ПАО «Ростелеком»</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113" w:leader="none"/>
                <w:tab w:val="left" w:pos="317" w:leader="none"/>
              </w:tabs>
              <w:spacing w:before="0" w:after="0"/>
              <w:contextualSpacing/>
              <w:rPr>
                <w:sz w:val="24"/>
                <w:szCs w:val="24"/>
              </w:rPr>
            </w:pPr>
            <w:r>
              <w:rPr>
                <w:sz w:val="24"/>
                <w:szCs w:val="24"/>
              </w:rPr>
              <w:t>Подрядчик</w:t>
            </w:r>
          </w:p>
        </w:tc>
        <w:tc>
          <w:tcPr>
            <w:tcW w:w="5976" w:type="dxa"/>
            <w:tcBorders>
              <w:top w:val="single" w:sz="4" w:space="0" w:color="000000"/>
              <w:start w:val="single" w:sz="4" w:space="0" w:color="000000"/>
              <w:bottom w:val="single" w:sz="4" w:space="0" w:color="000000"/>
              <w:end w:val="single" w:sz="4" w:space="0" w:color="000000"/>
            </w:tcBorders>
          </w:tcPr>
          <w:p>
            <w:pPr>
              <w:pStyle w:val="Style3111"/>
              <w:spacing w:lineRule="auto" w:line="240" w:before="0" w:after="0"/>
              <w:ind w:firstLine="14"/>
              <w:contextualSpacing/>
              <w:rPr>
                <w:szCs w:val="24"/>
              </w:rPr>
            </w:pPr>
            <w:r>
              <w:rPr>
                <w:szCs w:val="24"/>
              </w:rPr>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5" w:leader="none"/>
                <w:tab w:val="left" w:pos="113" w:leader="none"/>
                <w:tab w:val="left" w:pos="317" w:leader="none"/>
              </w:tabs>
              <w:spacing w:before="0" w:after="0"/>
              <w:contextualSpacing/>
              <w:jc w:val="both"/>
              <w:rPr>
                <w:sz w:val="24"/>
              </w:rPr>
            </w:pPr>
            <w:r>
              <w:rPr>
                <w:sz w:val="24"/>
              </w:rPr>
              <w:t>Вид работ</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14"/>
              <w:contextualSpacing/>
              <w:rPr/>
            </w:pPr>
            <w:r>
              <w:rPr/>
              <w:t>Капитальный ремонт</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Технические условия на подключение объекта к сетям инженерно-технического обеспечения</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Запрашивает проектная организация (при необходимости с участием Заказчика)</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 xml:space="preserve">Требования к выделению этапов </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strike/>
              </w:rPr>
            </w:pPr>
            <w:r>
              <w:rPr/>
              <w:t>Дополнительное выделение этапов (при необходимости) согласовать с Заказчиком в процессе проектирования</w:t>
            </w:r>
          </w:p>
        </w:tc>
      </w:tr>
      <w:tr>
        <w:trPr>
          <w:trHeight w:val="359" w:hRule="atLeast"/>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Срок капитального ремонта</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Согласно календарного графика выполнения работ</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Требования к основным технико-экономическим показателям объекта</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rFonts w:eastAsia="Times New Roman" w:cs="Times New Roman"/>
                <w:sz w:val="24"/>
                <w:szCs w:val="24"/>
                <w:lang w:eastAsia="en-US" w:bidi="ar-SA"/>
              </w:rPr>
            </w:pPr>
            <w:r>
              <w:rPr>
                <w:rFonts w:eastAsia="Times New Roman" w:cs="Times New Roman"/>
                <w:sz w:val="24"/>
                <w:szCs w:val="24"/>
                <w:lang w:eastAsia="en-US" w:bidi="ar-SA"/>
              </w:rPr>
              <w:tab/>
              <w:t>Протяженность участков обустройства освещением – 21,66 км, в т.ч. корректировка проектной документации – 12,33 км, разработка новой проектной документации – 9,33 км (уточнить проектом, согласовать с Заказчиком).</w:t>
            </w:r>
          </w:p>
          <w:p>
            <w:pPr>
              <w:pStyle w:val="ListParagraph1"/>
              <w:tabs>
                <w:tab w:val="clear" w:pos="708"/>
                <w:tab w:val="left" w:pos="523" w:leader="none"/>
              </w:tabs>
              <w:spacing w:before="0" w:after="0"/>
              <w:ind w:start="0"/>
              <w:contextualSpacing/>
              <w:jc w:val="both"/>
              <w:rPr>
                <w:sz w:val="24"/>
              </w:rPr>
            </w:pPr>
            <w:r>
              <w:rPr>
                <w:sz w:val="24"/>
              </w:rPr>
              <w:t>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Идентификационные признаки объекта</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Назначение: по Общероссийскому классификатору основных фондов ОК 013-2014 (СНС 2008) – 220.42.11.10.121 «Дорога автомобильная с усовершенствованным капитальным типом дорожного покрытия»</w:t>
            </w:r>
          </w:p>
          <w:p>
            <w:pPr>
              <w:pStyle w:val="ListParagraph1"/>
              <w:tabs>
                <w:tab w:val="clear" w:pos="708"/>
                <w:tab w:val="left" w:pos="523" w:leader="none"/>
              </w:tabs>
              <w:spacing w:before="0" w:after="0"/>
              <w:ind w:start="0"/>
              <w:contextualSpacing/>
              <w:jc w:val="both"/>
              <w:rPr>
                <w:sz w:val="24"/>
              </w:rPr>
            </w:pPr>
            <w:r>
              <w:rPr>
                <w:sz w:val="24"/>
              </w:rPr>
              <w:t>Принадлежность к объектам транспортной инфраструктуры: объект относится к объектам транспортной инфраструктуры (федеральный закон №16-ФЗ от 09.02.2007).</w:t>
            </w:r>
          </w:p>
          <w:p>
            <w:pPr>
              <w:pStyle w:val="ListParagraph1"/>
              <w:tabs>
                <w:tab w:val="clear" w:pos="708"/>
                <w:tab w:val="left" w:pos="523" w:leader="none"/>
              </w:tabs>
              <w:spacing w:before="0" w:after="0"/>
              <w:ind w:start="0"/>
              <w:contextualSpacing/>
              <w:jc w:val="both"/>
              <w:rPr>
                <w:sz w:val="24"/>
              </w:rPr>
            </w:pPr>
            <w:r>
              <w:rPr>
                <w:sz w:val="24"/>
              </w:rPr>
              <w:t>Классификация в соответствии с Постановлением Правительства РФ от 28.09.2009 г. №767 «О классификации автомобильных дорог в РФ» - обычная дорога.</w:t>
            </w:r>
          </w:p>
          <w:p>
            <w:pPr>
              <w:pStyle w:val="ListParagraph1"/>
              <w:tabs>
                <w:tab w:val="clear" w:pos="708"/>
                <w:tab w:val="left" w:pos="523" w:leader="none"/>
              </w:tabs>
              <w:spacing w:before="0" w:after="0"/>
              <w:ind w:start="0"/>
              <w:contextualSpacing/>
              <w:jc w:val="both"/>
              <w:rPr>
                <w:sz w:val="24"/>
              </w:rPr>
            </w:pPr>
            <w:r>
              <w:rPr>
                <w:sz w:val="24"/>
              </w:rPr>
              <w:t>Возможность опасных природных процессов, явлений и техногенных воздействий – отсутствует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Принадлежность к опасным производственным объектам – в соответствии с п.1 ст. 48.1 Градостроительного кодекса РФ, сооружение не относится к опасным производственным объектам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Пожарная и взрывопожарная опасность отсутствует (уточняется при проектировании).</w:t>
            </w:r>
          </w:p>
          <w:p>
            <w:pPr>
              <w:pStyle w:val="ListParagraph1"/>
              <w:tabs>
                <w:tab w:val="clear" w:pos="708"/>
                <w:tab w:val="left" w:pos="523" w:leader="none"/>
              </w:tabs>
              <w:spacing w:before="0" w:after="0"/>
              <w:ind w:start="0"/>
              <w:contextualSpacing/>
              <w:jc w:val="both"/>
              <w:rPr>
                <w:sz w:val="24"/>
              </w:rPr>
            </w:pPr>
            <w:r>
              <w:rPr>
                <w:sz w:val="24"/>
              </w:rPr>
              <w:t>Наличие помещений с постоянным пребыванием людей не требуется.</w:t>
            </w:r>
          </w:p>
          <w:p>
            <w:pPr>
              <w:pStyle w:val="ListParagraph1"/>
              <w:tabs>
                <w:tab w:val="clear" w:pos="708"/>
                <w:tab w:val="left" w:pos="523" w:leader="none"/>
              </w:tabs>
              <w:spacing w:before="0" w:after="0"/>
              <w:ind w:start="0"/>
              <w:contextualSpacing/>
              <w:jc w:val="both"/>
              <w:rPr>
                <w:sz w:val="24"/>
              </w:rPr>
            </w:pPr>
            <w:r>
              <w:rPr>
                <w:sz w:val="24"/>
              </w:rPr>
              <w:t>Уровень ответственности - нормальный, класс сооружения КС-2 по ГОСТ 27751-2014.</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Требования к качеству, конкурентоспособности, экологичности и энергоэффективности проектных решений</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Проектная документация и принятые в ней решения должны соответствовать установленным требованиям:</w:t>
            </w:r>
          </w:p>
          <w:p>
            <w:pPr>
              <w:pStyle w:val="Normal"/>
              <w:widowControl/>
              <w:spacing w:before="0" w:after="0"/>
              <w:contextualSpacing/>
              <w:jc w:val="both"/>
              <w:rPr>
                <w:sz w:val="24"/>
              </w:rPr>
            </w:pPr>
            <w:r>
              <w:rPr>
                <w:sz w:val="24"/>
              </w:rPr>
              <w:t>- Земельный кодекс Российской Федерации от 25 октября 2001 года №136-ФЗ;</w:t>
            </w:r>
          </w:p>
          <w:p>
            <w:pPr>
              <w:pStyle w:val="Normal"/>
              <w:widowControl/>
              <w:spacing w:before="0" w:after="0"/>
              <w:contextualSpacing/>
              <w:jc w:val="both"/>
              <w:rPr>
                <w:sz w:val="24"/>
              </w:rPr>
            </w:pPr>
            <w:r>
              <w:rPr>
                <w:sz w:val="24"/>
              </w:rPr>
              <w:t>- Градостроительный кодекс Российской Федерации от 29 декабря 2004 г. №190-ФЗ;</w:t>
            </w:r>
          </w:p>
          <w:p>
            <w:pPr>
              <w:pStyle w:val="Normal"/>
              <w:widowControl/>
              <w:spacing w:before="0" w:after="0"/>
              <w:contextualSpacing/>
              <w:jc w:val="both"/>
              <w:rPr>
                <w:sz w:val="24"/>
              </w:rPr>
            </w:pPr>
            <w:r>
              <w:rPr>
                <w:sz w:val="24"/>
              </w:rPr>
              <w:t>- Федеральный закон от 17 ноября 1995 г. №169-ФЗ «Об архитектурной деятельности в Российской Федерации»;</w:t>
            </w:r>
          </w:p>
          <w:p>
            <w:pPr>
              <w:pStyle w:val="Normal"/>
              <w:widowControl/>
              <w:spacing w:before="0" w:after="0"/>
              <w:contextualSpacing/>
              <w:jc w:val="both"/>
              <w:rPr>
                <w:sz w:val="24"/>
              </w:rPr>
            </w:pPr>
            <w:r>
              <w:rPr>
                <w:sz w:val="24"/>
              </w:rPr>
              <w:t>- Федеральный закон №384-ФЗ Технический регламент о безопасности зданий и сооружений;</w:t>
            </w:r>
          </w:p>
          <w:p>
            <w:pPr>
              <w:pStyle w:val="Normal"/>
              <w:widowControl/>
              <w:spacing w:before="0" w:after="0"/>
              <w:contextualSpacing/>
              <w:jc w:val="both"/>
              <w:rPr>
                <w:sz w:val="24"/>
              </w:rPr>
            </w:pPr>
            <w:r>
              <w:rPr>
                <w:sz w:val="24"/>
              </w:rPr>
              <w:t>- Технический регламент таможенного союза ТР ТС 004/2011 «О безопасности низковольтного оборудования»;</w:t>
            </w:r>
          </w:p>
          <w:p>
            <w:pPr>
              <w:pStyle w:val="Normal"/>
              <w:widowControl/>
              <w:spacing w:before="0" w:after="0"/>
              <w:contextualSpacing/>
              <w:jc w:val="both"/>
              <w:rPr>
                <w:sz w:val="24"/>
              </w:rPr>
            </w:pPr>
            <w:r>
              <w:rPr>
                <w:sz w:val="24"/>
              </w:rPr>
              <w:t>- Технический регламент таможенного союза ТР ТС 020/2011 «Электромагнитная совместимость технических средств»;</w:t>
            </w:r>
          </w:p>
          <w:p>
            <w:pPr>
              <w:pStyle w:val="Normal"/>
              <w:widowControl/>
              <w:spacing w:before="0" w:after="0"/>
              <w:contextualSpacing/>
              <w:jc w:val="both"/>
              <w:rPr>
                <w:sz w:val="24"/>
              </w:rPr>
            </w:pPr>
            <w:r>
              <w:rPr>
                <w:sz w:val="24"/>
              </w:rPr>
              <w:t xml:space="preserve">- Постановление Правительства РФ от 16 февраля 2008 года №87 «О составе разделов проектной документации и требованиях к их содержанию»; </w:t>
            </w:r>
          </w:p>
          <w:p>
            <w:pPr>
              <w:pStyle w:val="Normal"/>
              <w:widowControl/>
              <w:spacing w:before="0" w:after="0"/>
              <w:contextualSpacing/>
              <w:jc w:val="both"/>
              <w:rPr>
                <w:sz w:val="24"/>
              </w:rPr>
            </w:pPr>
            <w:r>
              <w:rPr>
                <w:sz w:val="24"/>
              </w:rPr>
              <w:t>- Постановление Правительства РФ от 05.03.2007 №145 О порядке организации и проведения государственной экспертизы проектной документации и результатов инженерных изысканий;</w:t>
            </w:r>
          </w:p>
          <w:p>
            <w:pPr>
              <w:pStyle w:val="ListParagraph1"/>
              <w:tabs>
                <w:tab w:val="clear" w:pos="708"/>
                <w:tab w:val="left" w:pos="523" w:leader="none"/>
              </w:tabs>
              <w:spacing w:before="0" w:after="0"/>
              <w:ind w:start="0"/>
              <w:contextualSpacing/>
              <w:jc w:val="both"/>
              <w:rPr>
                <w:sz w:val="24"/>
              </w:rPr>
            </w:pPr>
            <w:r>
              <w:rPr>
                <w:sz w:val="24"/>
              </w:rPr>
              <w:t>- Постановление Правительства РФ от 06.05.2024 N589;</w:t>
            </w:r>
          </w:p>
          <w:p>
            <w:pPr>
              <w:pStyle w:val="ListParagraph1"/>
              <w:tabs>
                <w:tab w:val="clear" w:pos="708"/>
                <w:tab w:val="left" w:pos="523" w:leader="none"/>
              </w:tabs>
              <w:spacing w:before="0" w:after="0"/>
              <w:ind w:start="0"/>
              <w:contextualSpacing/>
              <w:jc w:val="both"/>
              <w:rPr>
                <w:sz w:val="24"/>
              </w:rPr>
            </w:pPr>
            <w:r>
              <w:rPr>
                <w:sz w:val="24"/>
              </w:rPr>
              <w:t>- СП 42.13330.2016 «Градостроительство. Планировка и застройка городских и сельских поселений»;</w:t>
            </w:r>
          </w:p>
          <w:p>
            <w:pPr>
              <w:pStyle w:val="ListParagraph1"/>
              <w:tabs>
                <w:tab w:val="clear" w:pos="708"/>
                <w:tab w:val="left" w:pos="523" w:leader="none"/>
              </w:tabs>
              <w:spacing w:before="0" w:after="0"/>
              <w:ind w:start="0"/>
              <w:contextualSpacing/>
              <w:jc w:val="both"/>
              <w:rPr>
                <w:sz w:val="24"/>
              </w:rPr>
            </w:pPr>
            <w:r>
              <w:rPr>
                <w:sz w:val="24"/>
              </w:rPr>
              <w:t>- Распоряжение Правительства РФ от 4 ноября 2017 г. №2438-р;</w:t>
            </w:r>
          </w:p>
          <w:p>
            <w:pPr>
              <w:pStyle w:val="ListParagraph1"/>
              <w:tabs>
                <w:tab w:val="clear" w:pos="708"/>
                <w:tab w:val="left" w:pos="523" w:leader="none"/>
              </w:tabs>
              <w:spacing w:before="0" w:after="0"/>
              <w:ind w:start="0"/>
              <w:contextualSpacing/>
              <w:jc w:val="both"/>
              <w:rPr>
                <w:sz w:val="24"/>
              </w:rPr>
            </w:pPr>
            <w:r>
              <w:rPr>
                <w:sz w:val="24"/>
              </w:rPr>
              <w:t>- Приказ Минтранса РФ №402 от 16 ноября 2012 г. «Об утверждении классификации работ по капитальному ремонту, ремонту и содержанию автомобильных дорог»;</w:t>
            </w:r>
          </w:p>
          <w:p>
            <w:pPr>
              <w:pStyle w:val="Normal"/>
              <w:widowControl/>
              <w:spacing w:before="0" w:after="0"/>
              <w:contextualSpacing/>
              <w:jc w:val="both"/>
              <w:rPr>
                <w:sz w:val="24"/>
              </w:rPr>
            </w:pPr>
            <w:r>
              <w:rPr>
                <w:sz w:val="24"/>
              </w:rPr>
              <w:t>- ГОСТ Р 21.101-2020 «Система проектной документации для строительства (СПДС). Основные требования к проектной и рабочей документации»;</w:t>
            </w:r>
          </w:p>
          <w:p>
            <w:pPr>
              <w:pStyle w:val="ListParagraph1"/>
              <w:tabs>
                <w:tab w:val="clear" w:pos="708"/>
                <w:tab w:val="left" w:pos="523" w:leader="none"/>
              </w:tabs>
              <w:spacing w:before="0" w:after="0"/>
              <w:ind w:start="0"/>
              <w:contextualSpacing/>
              <w:jc w:val="both"/>
              <w:rPr>
                <w:sz w:val="24"/>
              </w:rPr>
            </w:pPr>
            <w:r>
              <w:rPr>
                <w:sz w:val="24"/>
              </w:rPr>
              <w:t>- ГОСТ 2.702-2011 «Межгосударственный стандарт. Единая система конструкторской документации. Правила выполнения электрических схем», а также иные действующих на момент проектирования нормативные документы.</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Состав работ</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462" w:leader="none"/>
              </w:tabs>
              <w:spacing w:before="0" w:after="0"/>
              <w:ind w:start="0"/>
              <w:contextualSpacing/>
              <w:jc w:val="both"/>
              <w:rPr>
                <w:sz w:val="24"/>
              </w:rPr>
            </w:pPr>
            <w:r>
              <w:rPr>
                <w:sz w:val="24"/>
              </w:rPr>
              <w:t>Подготовка исходно-разрешительной документации.</w:t>
            </w:r>
          </w:p>
          <w:p>
            <w:pPr>
              <w:pStyle w:val="ListParagraph1"/>
              <w:tabs>
                <w:tab w:val="clear" w:pos="708"/>
                <w:tab w:val="left" w:pos="462" w:leader="none"/>
              </w:tabs>
              <w:spacing w:before="0" w:after="0"/>
              <w:ind w:start="0"/>
              <w:contextualSpacing/>
              <w:jc w:val="both"/>
              <w:rPr>
                <w:sz w:val="24"/>
              </w:rPr>
            </w:pPr>
            <w:r>
              <w:rPr>
                <w:sz w:val="24"/>
              </w:rPr>
              <w:t>Выполнение инженерных изысканий.</w:t>
            </w:r>
          </w:p>
          <w:p>
            <w:pPr>
              <w:pStyle w:val="ListParagraph1"/>
              <w:tabs>
                <w:tab w:val="clear" w:pos="708"/>
                <w:tab w:val="left" w:pos="462" w:leader="none"/>
              </w:tabs>
              <w:spacing w:before="0" w:after="0"/>
              <w:ind w:start="0"/>
              <w:contextualSpacing/>
              <w:jc w:val="both"/>
              <w:rPr>
                <w:sz w:val="24"/>
              </w:rPr>
            </w:pPr>
            <w:r>
              <w:rPr>
                <w:sz w:val="24"/>
              </w:rPr>
              <w:t>Разработка проектной документации.</w:t>
            </w:r>
          </w:p>
          <w:p>
            <w:pPr>
              <w:pStyle w:val="ListParagraph1"/>
              <w:tabs>
                <w:tab w:val="clear" w:pos="708"/>
                <w:tab w:val="left" w:pos="462" w:leader="none"/>
              </w:tabs>
              <w:spacing w:before="0" w:after="0"/>
              <w:ind w:start="0"/>
              <w:contextualSpacing/>
              <w:jc w:val="both"/>
              <w:rPr>
                <w:sz w:val="24"/>
              </w:rPr>
            </w:pPr>
            <w:r>
              <w:rPr>
                <w:sz w:val="24"/>
              </w:rPr>
              <w:t>Сопровождение при прохождении государственной экспертизы достоверности определения сметной стоимости.</w:t>
            </w:r>
          </w:p>
          <w:p>
            <w:pPr>
              <w:pStyle w:val="ListParagraph1"/>
              <w:tabs>
                <w:tab w:val="clear" w:pos="708"/>
                <w:tab w:val="left" w:pos="462" w:leader="none"/>
              </w:tabs>
              <w:spacing w:before="0" w:after="0"/>
              <w:ind w:start="0"/>
              <w:contextualSpacing/>
              <w:jc w:val="both"/>
              <w:rPr>
                <w:sz w:val="24"/>
              </w:rPr>
            </w:pPr>
            <w:r>
              <w:rPr>
                <w:sz w:val="24"/>
              </w:rPr>
              <w:t>Разработка рабочей документации.</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Система высот и координат</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7" w:leader="none"/>
              </w:tabs>
              <w:spacing w:before="0" w:after="0"/>
              <w:ind w:start="7"/>
              <w:contextualSpacing/>
              <w:rPr>
                <w:sz w:val="24"/>
              </w:rPr>
            </w:pPr>
            <w:r>
              <w:rPr>
                <w:sz w:val="24"/>
              </w:rPr>
              <w:t>Принять систему высот Балтийскую, систему координат МСК-59</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Сбор исходных данных и подготовка исходно-разрешительной документации</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382" w:leader="none"/>
              </w:tabs>
              <w:spacing w:before="0" w:after="0"/>
              <w:ind w:start="0"/>
              <w:contextualSpacing/>
              <w:jc w:val="both"/>
              <w:rPr>
                <w:sz w:val="24"/>
              </w:rPr>
            </w:pPr>
            <w:r>
              <w:rPr>
                <w:sz w:val="24"/>
              </w:rPr>
              <w:t xml:space="preserve">Сбор исходных данных осуществляется проектной организацией самостоятельно </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Выполнение инженерных изысканий</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 xml:space="preserve">Выполнить инженерные изыскания в объеме, необходимом для разработки проектной документации на участках нового проектирования, в объеме </w:t>
            </w:r>
            <w:r>
              <w:rPr>
                <w:sz w:val="24"/>
                <w:szCs w:val="24"/>
                <w:lang w:eastAsia="en-US"/>
              </w:rPr>
              <w:t>9,33</w:t>
            </w:r>
            <w:r>
              <w:rPr>
                <w:sz w:val="24"/>
              </w:rPr>
              <w:t xml:space="preserve"> </w:t>
            </w:r>
            <w:bookmarkStart w:id="0" w:name="_GoBack"/>
            <w:bookmarkEnd w:id="0"/>
            <w:r>
              <w:rPr>
                <w:sz w:val="24"/>
              </w:rPr>
              <w:t>км (уточнить при проектировании);</w:t>
            </w:r>
          </w:p>
          <w:p>
            <w:pPr>
              <w:pStyle w:val="ListParagraph1"/>
              <w:tabs>
                <w:tab w:val="clear" w:pos="708"/>
                <w:tab w:val="left" w:pos="523" w:leader="none"/>
              </w:tabs>
              <w:spacing w:before="0" w:after="0"/>
              <w:ind w:start="0"/>
              <w:contextualSpacing/>
              <w:jc w:val="both"/>
              <w:rPr>
                <w:sz w:val="24"/>
              </w:rPr>
            </w:pPr>
            <w:r>
              <w:rPr>
                <w:sz w:val="24"/>
              </w:rPr>
              <w:t>Требования к точности, составу, сдаче отчетов об изыскательских работах выполнить на основе положений:</w:t>
            </w:r>
          </w:p>
          <w:p>
            <w:pPr>
              <w:pStyle w:val="ListParagraph1"/>
              <w:tabs>
                <w:tab w:val="clear" w:pos="708"/>
                <w:tab w:val="left" w:pos="523" w:leader="none"/>
              </w:tabs>
              <w:spacing w:before="0" w:after="0"/>
              <w:ind w:start="0"/>
              <w:contextualSpacing/>
              <w:jc w:val="both"/>
              <w:rPr>
                <w:sz w:val="24"/>
              </w:rPr>
            </w:pPr>
            <w:r>
              <w:rPr>
                <w:sz w:val="24"/>
              </w:rPr>
              <w:t>- СП 47.13330.2016 Инженерные изыскания для строительства. Основные положения». Актуализированная редакция СНиП 11-02-96;</w:t>
            </w:r>
          </w:p>
          <w:p>
            <w:pPr>
              <w:pStyle w:val="ListParagraph1"/>
              <w:tabs>
                <w:tab w:val="clear" w:pos="708"/>
                <w:tab w:val="left" w:pos="523" w:leader="none"/>
              </w:tabs>
              <w:spacing w:before="0" w:after="0"/>
              <w:ind w:start="0"/>
              <w:contextualSpacing/>
              <w:jc w:val="both"/>
              <w:rPr>
                <w:sz w:val="24"/>
              </w:rPr>
            </w:pPr>
            <w:r>
              <w:rPr>
                <w:sz w:val="24"/>
              </w:rPr>
              <w:t>- СП126.13330.2017 «Геодезические работы в строительстве. Актуализированная редакция СНиП 3.01.03-84»,</w:t>
            </w:r>
          </w:p>
          <w:p>
            <w:pPr>
              <w:pStyle w:val="ListParagraph1"/>
              <w:tabs>
                <w:tab w:val="clear" w:pos="708"/>
                <w:tab w:val="left" w:pos="523" w:leader="none"/>
              </w:tabs>
              <w:spacing w:before="0" w:after="0"/>
              <w:ind w:start="0"/>
              <w:contextualSpacing/>
              <w:jc w:val="both"/>
              <w:rPr>
                <w:sz w:val="24"/>
              </w:rPr>
            </w:pPr>
            <w:r>
              <w:rPr>
                <w:sz w:val="24"/>
              </w:rPr>
              <w:t>- СП116.13330.2012 «Инженерная защита территорий, зданий и сооружений от опасных геологических процессов. Основные положения»;</w:t>
            </w:r>
          </w:p>
          <w:p>
            <w:pPr>
              <w:pStyle w:val="ListParagraph1"/>
              <w:tabs>
                <w:tab w:val="clear" w:pos="708"/>
                <w:tab w:val="left" w:pos="523" w:leader="none"/>
              </w:tabs>
              <w:spacing w:before="0" w:after="0"/>
              <w:ind w:start="0"/>
              <w:contextualSpacing/>
              <w:jc w:val="both"/>
              <w:rPr>
                <w:sz w:val="24"/>
              </w:rPr>
            </w:pPr>
            <w:r>
              <w:rPr>
                <w:sz w:val="24"/>
              </w:rPr>
              <w:t>- ГОСТ 32869-2014 «Дороги автомобильные общего пользования. Требования к проведению топографо-геодезических изысканий»;</w:t>
            </w:r>
          </w:p>
          <w:p>
            <w:pPr>
              <w:pStyle w:val="ListParagraph1"/>
              <w:tabs>
                <w:tab w:val="clear" w:pos="708"/>
                <w:tab w:val="left" w:pos="523" w:leader="none"/>
              </w:tabs>
              <w:spacing w:before="0" w:after="0"/>
              <w:ind w:start="0"/>
              <w:contextualSpacing/>
              <w:jc w:val="both"/>
              <w:rPr>
                <w:sz w:val="24"/>
              </w:rPr>
            </w:pPr>
            <w:r>
              <w:rPr>
                <w:sz w:val="24"/>
              </w:rPr>
              <w:t>- ГОСТ 59865-2022 «Дороги автомобильные общего пользования. Сети геодезические для проектирования и строительства».</w:t>
            </w:r>
          </w:p>
          <w:p>
            <w:pPr>
              <w:pStyle w:val="ListParagraph1"/>
              <w:tabs>
                <w:tab w:val="clear" w:pos="708"/>
                <w:tab w:val="left" w:pos="523" w:leader="none"/>
              </w:tabs>
              <w:spacing w:before="0" w:after="0"/>
              <w:ind w:start="0"/>
              <w:contextualSpacing/>
              <w:jc w:val="both"/>
              <w:rPr>
                <w:sz w:val="24"/>
              </w:rPr>
            </w:pPr>
            <w:r>
              <w:rPr>
                <w:sz w:val="24"/>
              </w:rPr>
              <w:t>Разработать и согласовать с Заказчиком Программы изыскательских работ;</w:t>
            </w:r>
          </w:p>
          <w:p>
            <w:pPr>
              <w:pStyle w:val="ListParagraph1"/>
              <w:tabs>
                <w:tab w:val="clear" w:pos="708"/>
                <w:tab w:val="left" w:pos="523" w:leader="none"/>
              </w:tabs>
              <w:spacing w:before="0" w:after="0"/>
              <w:ind w:start="0"/>
              <w:contextualSpacing/>
              <w:jc w:val="both"/>
              <w:rPr>
                <w:sz w:val="24"/>
              </w:rPr>
            </w:pPr>
            <w:r>
              <w:rPr>
                <w:sz w:val="24"/>
              </w:rPr>
              <w:t>В составе работ предусмотреть создание опорной геодезической сети (ОГС), согласно ГОСТ Р 59865-2022;</w:t>
            </w:r>
          </w:p>
          <w:p>
            <w:pPr>
              <w:pStyle w:val="ListParagraph1"/>
              <w:tabs>
                <w:tab w:val="clear" w:pos="708"/>
                <w:tab w:val="left" w:pos="523" w:leader="none"/>
              </w:tabs>
              <w:spacing w:before="0" w:after="0"/>
              <w:ind w:start="0"/>
              <w:contextualSpacing/>
              <w:jc w:val="both"/>
              <w:rPr>
                <w:sz w:val="24"/>
              </w:rPr>
            </w:pPr>
            <w:r>
              <w:rPr>
                <w:sz w:val="24"/>
              </w:rPr>
              <w:t>Закрепление ОГС выполнить согласно п. 6.3 ГОСТ Р 59865-2022;</w:t>
            </w:r>
          </w:p>
          <w:p>
            <w:pPr>
              <w:pStyle w:val="ListParagraph1"/>
              <w:tabs>
                <w:tab w:val="clear" w:pos="708"/>
                <w:tab w:val="left" w:pos="523" w:leader="none"/>
              </w:tabs>
              <w:spacing w:before="0" w:after="0"/>
              <w:ind w:start="0"/>
              <w:contextualSpacing/>
              <w:jc w:val="both"/>
              <w:rPr>
                <w:sz w:val="24"/>
              </w:rPr>
            </w:pPr>
            <w:r>
              <w:rPr>
                <w:sz w:val="24"/>
              </w:rPr>
              <w:t>При выполнении инженерно-геологических изысканий объемы работ назначить в соответствии с требованиями СП 446.1325800.2019 табл.7.2, п.7.2.18;</w:t>
            </w:r>
          </w:p>
          <w:p>
            <w:pPr>
              <w:pStyle w:val="ListParagraph1"/>
              <w:tabs>
                <w:tab w:val="clear" w:pos="708"/>
                <w:tab w:val="left" w:pos="523" w:leader="none"/>
              </w:tabs>
              <w:spacing w:before="0" w:after="0"/>
              <w:ind w:start="0"/>
              <w:contextualSpacing/>
              <w:jc w:val="both"/>
              <w:rPr>
                <w:sz w:val="24"/>
              </w:rPr>
            </w:pPr>
            <w:r>
              <w:rPr>
                <w:sz w:val="24"/>
              </w:rPr>
              <w:t>Проектной организации передать на местности Заказчику скважины (выработки) по акту передачи в соответствии с планом скважин (выработок), заранее известив Заказчика о готовности передачи телефонограммой или письмом;</w:t>
            </w:r>
          </w:p>
          <w:p>
            <w:pPr>
              <w:pStyle w:val="ListParagraph1"/>
              <w:tabs>
                <w:tab w:val="clear" w:pos="708"/>
                <w:tab w:val="left" w:pos="523" w:leader="none"/>
              </w:tabs>
              <w:spacing w:before="0" w:after="0"/>
              <w:ind w:start="0"/>
              <w:contextualSpacing/>
              <w:jc w:val="both"/>
              <w:rPr>
                <w:sz w:val="24"/>
              </w:rPr>
            </w:pPr>
            <w:r>
              <w:rPr>
                <w:sz w:val="24"/>
              </w:rPr>
              <w:t>Предоставить данные фотопроцесса бурения и отобранных образцов для лабораторных испытаний всех инженерно-геологических выработок с данными о номерах выработок.</w:t>
            </w:r>
          </w:p>
          <w:p>
            <w:pPr>
              <w:pStyle w:val="ListParagraph1"/>
              <w:tabs>
                <w:tab w:val="clear" w:pos="708"/>
                <w:tab w:val="left" w:pos="523" w:leader="none"/>
              </w:tabs>
              <w:spacing w:before="0" w:after="0"/>
              <w:ind w:start="0"/>
              <w:contextualSpacing/>
              <w:jc w:val="both"/>
              <w:rPr>
                <w:sz w:val="24"/>
              </w:rPr>
            </w:pPr>
            <w:r>
              <w:rPr>
                <w:sz w:val="24"/>
              </w:rPr>
              <w:t xml:space="preserve">Топографические планы выполнить в масштабе 1:500 с высотой сечения горизонталями через 0.5 метра; </w:t>
            </w:r>
          </w:p>
          <w:p>
            <w:pPr>
              <w:pStyle w:val="ListParagraph1"/>
              <w:tabs>
                <w:tab w:val="clear" w:pos="708"/>
                <w:tab w:val="left" w:pos="523" w:leader="none"/>
              </w:tabs>
              <w:spacing w:before="0" w:after="0"/>
              <w:ind w:start="0"/>
              <w:contextualSpacing/>
              <w:jc w:val="both"/>
              <w:rPr>
                <w:sz w:val="24"/>
              </w:rPr>
            </w:pPr>
            <w:r>
              <w:rPr>
                <w:sz w:val="24"/>
              </w:rPr>
              <w:t>Топографические планы на проектируемых участках автомобильных дорог согласовать с владельцами всех надземных и подземных инженерных коммуникаций в границах производства изысканий с целью уточнения местоположения коммуникаций и определения их характеристик;</w:t>
            </w:r>
          </w:p>
          <w:p>
            <w:pPr>
              <w:pStyle w:val="ListParagraph1"/>
              <w:tabs>
                <w:tab w:val="clear" w:pos="708"/>
                <w:tab w:val="left" w:pos="523" w:leader="none"/>
              </w:tabs>
              <w:spacing w:before="0" w:after="0"/>
              <w:ind w:start="0"/>
              <w:contextualSpacing/>
              <w:jc w:val="both"/>
              <w:rPr>
                <w:sz w:val="24"/>
              </w:rPr>
            </w:pPr>
            <w:r>
              <w:rPr>
                <w:sz w:val="24"/>
              </w:rPr>
              <w:t>1.11. Знаки геодезической основы передать Заказчику по акту после окончания инженерных изысканий.</w:t>
            </w:r>
          </w:p>
          <w:p>
            <w:pPr>
              <w:pStyle w:val="ListParagraph1"/>
              <w:tabs>
                <w:tab w:val="clear" w:pos="708"/>
                <w:tab w:val="left" w:pos="523" w:leader="none"/>
              </w:tabs>
              <w:spacing w:before="0" w:after="0"/>
              <w:ind w:start="0"/>
              <w:contextualSpacing/>
              <w:jc w:val="both"/>
              <w:rPr>
                <w:sz w:val="24"/>
              </w:rPr>
            </w:pPr>
            <w:r>
              <w:rPr>
                <w:sz w:val="24"/>
              </w:rPr>
              <w:t>1.12. Перечень участков, для которых необходимо произвести изыскания, указан в Приложении №3 к заданию</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Разработка проектной документации</w:t>
            </w:r>
          </w:p>
        </w:tc>
        <w:tc>
          <w:tcPr>
            <w:tcW w:w="5976" w:type="dxa"/>
            <w:tcBorders>
              <w:top w:val="single" w:sz="4" w:space="0" w:color="000000"/>
              <w:start w:val="single" w:sz="4" w:space="0" w:color="000000"/>
              <w:bottom w:val="single" w:sz="4" w:space="0" w:color="000000"/>
              <w:end w:val="single" w:sz="4" w:space="0" w:color="000000"/>
            </w:tcBorders>
          </w:tcPr>
          <w:p>
            <w:pPr>
              <w:pStyle w:val="Style311"/>
              <w:tabs>
                <w:tab w:val="clear" w:pos="708"/>
                <w:tab w:val="left" w:pos="5136" w:leader="none"/>
              </w:tabs>
              <w:spacing w:lineRule="auto" w:line="240" w:before="0" w:after="0"/>
              <w:ind w:end="34"/>
              <w:contextualSpacing/>
              <w:rPr/>
            </w:pPr>
            <w:r>
              <w:rPr/>
              <w:t>Разработать оптимальные, обоснованные, экономически целесообразные и эффективные инженерно-технические решения.</w:t>
            </w:r>
          </w:p>
          <w:p>
            <w:pPr>
              <w:pStyle w:val="Style311"/>
              <w:tabs>
                <w:tab w:val="clear" w:pos="708"/>
                <w:tab w:val="left" w:pos="5136" w:leader="none"/>
              </w:tabs>
              <w:spacing w:lineRule="auto" w:line="240" w:before="0" w:after="0"/>
              <w:ind w:end="34"/>
              <w:contextualSpacing/>
              <w:rPr/>
            </w:pPr>
            <w:r>
              <w:rPr/>
              <w:t>Произвести корректировку проектной документации, указанной в Приложении №2 к заданию.</w:t>
            </w:r>
          </w:p>
          <w:p>
            <w:pPr>
              <w:pStyle w:val="Style311"/>
              <w:tabs>
                <w:tab w:val="clear" w:pos="708"/>
                <w:tab w:val="left" w:pos="5136" w:leader="none"/>
              </w:tabs>
              <w:spacing w:lineRule="auto" w:line="240" w:before="0" w:after="0"/>
              <w:ind w:end="34"/>
              <w:contextualSpacing/>
              <w:rPr/>
            </w:pPr>
            <w:r>
              <w:rPr/>
              <w:t>Разработать проектную документацию для участков дорог, указанных в Приложении №3 к заданию.</w:t>
            </w:r>
          </w:p>
          <w:p>
            <w:pPr>
              <w:pStyle w:val="Style311"/>
              <w:tabs>
                <w:tab w:val="clear" w:pos="708"/>
                <w:tab w:val="left" w:pos="5136" w:leader="none"/>
              </w:tabs>
              <w:spacing w:lineRule="auto" w:line="240" w:before="0" w:after="0"/>
              <w:ind w:end="34"/>
              <w:contextualSpacing/>
              <w:rPr/>
            </w:pPr>
            <w:r>
              <w:rPr/>
              <w:t>В составе проектной документации предусмотреть разделы: пояснительная записка, проект полосы отвода, технологические и конструктивные решения линейного объекта, проект организации строительства, сметная документация.</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наружное освещение</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 предусмотреть наружное освещение участков автомобильной дороги;</w:t>
            </w:r>
          </w:p>
          <w:p>
            <w:pPr>
              <w:pStyle w:val="Style311"/>
              <w:spacing w:lineRule="auto" w:line="240" w:before="0" w:after="0"/>
              <w:contextualSpacing/>
              <w:rPr/>
            </w:pPr>
            <w:r>
              <w:rPr/>
              <w:t>- выбор нормируемых светотехнических показателей определить проектом исходя из категории автодороги согласно ГОСТ Р 55706-2023, ГОСТ Р 58107.1-2018, СП 52.13330.2016 и дополнительно согласовать с Заказчиком;</w:t>
            </w:r>
          </w:p>
          <w:p>
            <w:pPr>
              <w:pStyle w:val="Style311"/>
              <w:spacing w:lineRule="auto" w:line="240" w:before="0" w:after="0"/>
              <w:ind w:firstLine="7"/>
              <w:contextualSpacing/>
              <w:rPr/>
            </w:pPr>
            <w:r>
              <w:rPr/>
              <w:t>- тип опор металлические оцинкованные фланцевые, согласовать с Заказчиком;</w:t>
            </w:r>
          </w:p>
          <w:p>
            <w:pPr>
              <w:pStyle w:val="Style311"/>
              <w:spacing w:lineRule="auto" w:line="240" w:before="0" w:after="0"/>
              <w:ind w:firstLine="7"/>
              <w:contextualSpacing/>
              <w:rPr/>
            </w:pPr>
            <w:r>
              <w:rPr/>
              <w:t>- светильники применить светодиодные, тип и мощность определить проектом, согласовать с Заказчиком;</w:t>
            </w:r>
          </w:p>
          <w:p>
            <w:pPr>
              <w:pStyle w:val="Style311"/>
              <w:spacing w:lineRule="auto" w:line="240" w:before="0" w:after="0"/>
              <w:ind w:firstLine="7"/>
              <w:contextualSpacing/>
              <w:rPr/>
            </w:pPr>
            <w:r>
              <w:rPr/>
              <w:t>- применить светильники со следующими характеристиками:</w:t>
            </w:r>
          </w:p>
          <w:p>
            <w:pPr>
              <w:pStyle w:val="ListParagraph1"/>
              <w:keepNext w:val="true"/>
              <w:keepLines/>
              <w:numPr>
                <w:ilvl w:val="0"/>
                <w:numId w:val="2"/>
              </w:numPr>
              <w:spacing w:before="0" w:after="200"/>
              <w:contextualSpacing/>
              <w:jc w:val="both"/>
              <w:rPr>
                <w:sz w:val="24"/>
              </w:rPr>
            </w:pPr>
            <w:r>
              <w:rPr>
                <w:sz w:val="24"/>
              </w:rPr>
              <w:t>световой поток: 14 500 лм и более;</w:t>
            </w:r>
          </w:p>
          <w:p>
            <w:pPr>
              <w:pStyle w:val="ListParagraph1"/>
              <w:keepNext w:val="true"/>
              <w:keepLines/>
              <w:numPr>
                <w:ilvl w:val="0"/>
                <w:numId w:val="2"/>
              </w:numPr>
              <w:spacing w:before="0" w:after="200"/>
              <w:contextualSpacing/>
              <w:jc w:val="both"/>
              <w:rPr>
                <w:sz w:val="24"/>
              </w:rPr>
            </w:pPr>
            <w:r>
              <w:rPr>
                <w:sz w:val="24"/>
              </w:rPr>
              <w:t>цветовая температура: 4000К;</w:t>
            </w:r>
          </w:p>
          <w:p>
            <w:pPr>
              <w:pStyle w:val="ListParagraph1"/>
              <w:keepNext w:val="true"/>
              <w:keepLines/>
              <w:numPr>
                <w:ilvl w:val="0"/>
                <w:numId w:val="2"/>
              </w:numPr>
              <w:spacing w:before="0" w:after="200"/>
              <w:contextualSpacing/>
              <w:jc w:val="both"/>
              <w:rPr>
                <w:sz w:val="24"/>
              </w:rPr>
            </w:pPr>
            <w:r>
              <w:rPr>
                <w:sz w:val="24"/>
              </w:rPr>
              <w:t>контрастная цветовая температура при освещении нерегулируемых пешеходных переходов: 3000К и менее или 5000 К и более</w:t>
            </w:r>
          </w:p>
          <w:p>
            <w:pPr>
              <w:pStyle w:val="ListParagraph1"/>
              <w:keepNext w:val="true"/>
              <w:keepLines/>
              <w:numPr>
                <w:ilvl w:val="0"/>
                <w:numId w:val="2"/>
              </w:numPr>
              <w:spacing w:before="0" w:after="200"/>
              <w:contextualSpacing/>
              <w:jc w:val="both"/>
              <w:rPr>
                <w:sz w:val="24"/>
              </w:rPr>
            </w:pPr>
            <w:r>
              <w:rPr>
                <w:sz w:val="24"/>
              </w:rPr>
              <w:t xml:space="preserve">коэффициент пульсации: не более 5%; </w:t>
            </w:r>
          </w:p>
          <w:p>
            <w:pPr>
              <w:pStyle w:val="ListParagraph1"/>
              <w:keepNext w:val="true"/>
              <w:keepLines/>
              <w:numPr>
                <w:ilvl w:val="0"/>
                <w:numId w:val="2"/>
              </w:numPr>
              <w:spacing w:before="0" w:after="200"/>
              <w:contextualSpacing/>
              <w:jc w:val="both"/>
              <w:rPr>
                <w:sz w:val="24"/>
              </w:rPr>
            </w:pPr>
            <w:r>
              <w:rPr>
                <w:sz w:val="24"/>
              </w:rPr>
              <w:t>эффективность не менее 130 лм/Вт;</w:t>
            </w:r>
          </w:p>
          <w:p>
            <w:pPr>
              <w:pStyle w:val="ListParagraph1"/>
              <w:keepNext w:val="true"/>
              <w:keepLines/>
              <w:numPr>
                <w:ilvl w:val="0"/>
                <w:numId w:val="2"/>
              </w:numPr>
              <w:spacing w:before="0" w:after="200"/>
              <w:contextualSpacing/>
              <w:jc w:val="both"/>
              <w:rPr>
                <w:sz w:val="24"/>
              </w:rPr>
            </w:pPr>
            <w:r>
              <w:rPr>
                <w:sz w:val="24"/>
              </w:rPr>
              <w:t xml:space="preserve">материал рассеивателя: закаленное стекло  </w:t>
            </w:r>
          </w:p>
          <w:p>
            <w:pPr>
              <w:pStyle w:val="ListParagraph1"/>
              <w:keepNext w:val="true"/>
              <w:keepLines/>
              <w:numPr>
                <w:ilvl w:val="0"/>
                <w:numId w:val="2"/>
              </w:numPr>
              <w:spacing w:before="0" w:after="200"/>
              <w:contextualSpacing/>
              <w:jc w:val="both"/>
              <w:rPr>
                <w:sz w:val="24"/>
              </w:rPr>
            </w:pPr>
            <w:r>
              <w:rPr>
                <w:sz w:val="24"/>
              </w:rPr>
              <w:t xml:space="preserve">степень пыле- и влагозащиты не менее IP66; </w:t>
            </w:r>
          </w:p>
          <w:p>
            <w:pPr>
              <w:pStyle w:val="ListParagraph1"/>
              <w:keepNext w:val="true"/>
              <w:keepLines/>
              <w:numPr>
                <w:ilvl w:val="0"/>
                <w:numId w:val="2"/>
              </w:numPr>
              <w:spacing w:before="0" w:after="200"/>
              <w:contextualSpacing/>
              <w:jc w:val="both"/>
              <w:rPr>
                <w:sz w:val="24"/>
              </w:rPr>
            </w:pPr>
            <w:r>
              <w:rPr>
                <w:sz w:val="24"/>
              </w:rPr>
              <w:t xml:space="preserve">степень защиты корпуса от механических ударов IK08 и более; </w:t>
            </w:r>
          </w:p>
          <w:p>
            <w:pPr>
              <w:pStyle w:val="ListParagraph1"/>
              <w:keepNext w:val="true"/>
              <w:keepLines/>
              <w:numPr>
                <w:ilvl w:val="0"/>
                <w:numId w:val="2"/>
              </w:numPr>
              <w:spacing w:before="0" w:after="200"/>
              <w:contextualSpacing/>
              <w:jc w:val="both"/>
              <w:rPr>
                <w:sz w:val="24"/>
              </w:rPr>
            </w:pPr>
            <w:r>
              <w:rPr>
                <w:sz w:val="24"/>
              </w:rPr>
              <w:t>гарантийный срок на светильники: не менее 5 лет;</w:t>
            </w:r>
          </w:p>
          <w:p>
            <w:pPr>
              <w:pStyle w:val="ListParagraph1"/>
              <w:keepNext w:val="true"/>
              <w:keepLines/>
              <w:numPr>
                <w:ilvl w:val="0"/>
                <w:numId w:val="2"/>
              </w:numPr>
              <w:spacing w:before="0" w:after="200"/>
              <w:contextualSpacing/>
              <w:jc w:val="both"/>
              <w:rPr>
                <w:sz w:val="24"/>
              </w:rPr>
            </w:pPr>
            <w:r>
              <w:rPr>
                <w:sz w:val="24"/>
              </w:rPr>
              <w:t>CRI≥70;</w:t>
            </w:r>
          </w:p>
          <w:p>
            <w:pPr>
              <w:pStyle w:val="ListParagraph1"/>
              <w:keepNext w:val="true"/>
              <w:keepLines/>
              <w:numPr>
                <w:ilvl w:val="0"/>
                <w:numId w:val="2"/>
              </w:numPr>
              <w:spacing w:before="0" w:after="200"/>
              <w:contextualSpacing/>
              <w:jc w:val="both"/>
              <w:rPr>
                <w:sz w:val="24"/>
              </w:rPr>
            </w:pPr>
            <w:r>
              <w:rPr>
                <w:sz w:val="24"/>
              </w:rPr>
              <w:t>корпус изготовлен из литого под давлением алюминиевого сплава.</w:t>
            </w:r>
          </w:p>
          <w:p>
            <w:pPr>
              <w:pStyle w:val="ListParagraph1"/>
              <w:keepNext w:val="true"/>
              <w:keepLines/>
              <w:numPr>
                <w:ilvl w:val="0"/>
                <w:numId w:val="2"/>
              </w:numPr>
              <w:spacing w:lineRule="auto" w:line="276" w:before="0" w:after="200"/>
              <w:contextualSpacing/>
              <w:jc w:val="both"/>
              <w:rPr>
                <w:sz w:val="24"/>
              </w:rPr>
            </w:pPr>
            <w:r>
              <w:rPr>
                <w:sz w:val="24"/>
              </w:rPr>
              <w:t>светильники должны быть оснащены Модуль индивидуального управления и мониторинга работоспособности светильников</w:t>
            </w:r>
          </w:p>
          <w:p>
            <w:pPr>
              <w:pStyle w:val="Style311"/>
              <w:spacing w:lineRule="auto" w:line="240" w:before="0" w:after="0"/>
              <w:ind w:firstLine="7"/>
              <w:contextualSpacing/>
              <w:rPr/>
            </w:pPr>
            <w:r>
              <w:rPr/>
              <w:t>- расстановку опор со светильниками выполнить по результатам светотехнических расчетов;</w:t>
            </w:r>
          </w:p>
          <w:p>
            <w:pPr>
              <w:pStyle w:val="Style311"/>
              <w:spacing w:lineRule="auto" w:line="240" w:before="0" w:after="0"/>
              <w:ind w:firstLine="7"/>
              <w:contextualSpacing/>
              <w:rPr/>
            </w:pPr>
            <w:r>
              <w:rPr/>
              <w:t>- предусмотреть устройство вертикальной разметки опор согласно ГОСТ Р 52289-2019 «Технические средства организации дорожного движения. Правила применения дорожных знаков, разметки, светофоров, дорожных ограждений и направляющих устройств»;</w:t>
            </w:r>
          </w:p>
          <w:p>
            <w:pPr>
              <w:pStyle w:val="Style311"/>
              <w:spacing w:lineRule="auto" w:line="240" w:before="0" w:after="0"/>
              <w:ind w:firstLine="7"/>
              <w:contextualSpacing/>
              <w:rPr/>
            </w:pPr>
            <w:r>
              <w:rPr/>
              <w:t>- способ устройства кабельных линий питания энергопотребляющих устройств согласовать с Заказчиком;</w:t>
            </w:r>
          </w:p>
          <w:p>
            <w:pPr>
              <w:pStyle w:val="Style311"/>
              <w:spacing w:lineRule="auto" w:line="240" w:before="0" w:after="0"/>
              <w:ind w:firstLine="7"/>
              <w:contextualSpacing/>
              <w:rPr/>
            </w:pPr>
            <w:r>
              <w:rPr/>
              <w:t>- тип и марку проводов и кабелей определить проектом, сечение проводов и кабелей принять по результатам расчетов;</w:t>
            </w:r>
          </w:p>
          <w:p>
            <w:pPr>
              <w:pStyle w:val="Style311"/>
              <w:spacing w:lineRule="auto" w:line="240" w:before="0" w:after="0"/>
              <w:ind w:firstLine="7"/>
              <w:contextualSpacing/>
              <w:rPr/>
            </w:pPr>
            <w:r>
              <w:rPr/>
              <w:t>- совместно с Заказчиком оформить заявку на технологическое присоединение к электрическим сетям. Величину нагрузки принять в соответствии с проектом. Категорию надежности электроснабжения определить в процессе проектирования;</w:t>
            </w:r>
          </w:p>
          <w:p>
            <w:pPr>
              <w:pStyle w:val="Style311"/>
              <w:spacing w:lineRule="auto" w:line="240" w:before="0" w:after="0"/>
              <w:ind w:firstLine="7"/>
              <w:contextualSpacing/>
              <w:rPr/>
            </w:pPr>
            <w:r>
              <w:rPr/>
              <w:t>- предусмотреть мероприятия, обеспечивающие электробезопасность установки и защиту распределительной сети наружного электроосвещения в соответствии с требованиями нормативно-технической документации;</w:t>
            </w:r>
          </w:p>
          <w:p>
            <w:pPr>
              <w:pStyle w:val="Normal"/>
              <w:widowControl/>
              <w:spacing w:before="0" w:after="0"/>
              <w:contextualSpacing/>
              <w:jc w:val="both"/>
              <w:rPr>
                <w:sz w:val="24"/>
              </w:rPr>
            </w:pPr>
            <w:r>
              <w:rPr>
                <w:sz w:val="24"/>
              </w:rPr>
              <w:t>- расстояние от опор и сетей наружного электроосвещения до сетей, сооружений и коммуникаций других владельцев выполнить согласно требованиям ПУЭ изд. 7, ГОСТ Р 52766-2007, согласовать проектные решения с владельцами этих коммуникаций в части соответствия требований технических регламентов;</w:t>
            </w:r>
          </w:p>
          <w:p>
            <w:pPr>
              <w:pStyle w:val="ListParagraph1"/>
              <w:tabs>
                <w:tab w:val="clear" w:pos="708"/>
                <w:tab w:val="left" w:pos="406" w:leader="none"/>
              </w:tabs>
              <w:spacing w:before="0" w:after="0"/>
              <w:ind w:start="16"/>
              <w:contextualSpacing/>
              <w:jc w:val="both"/>
              <w:rPr>
                <w:sz w:val="24"/>
              </w:rPr>
            </w:pPr>
            <w:r>
              <w:rPr>
                <w:sz w:val="24"/>
              </w:rPr>
              <w:t>- выполнить проектирование внешнего электроснабжения от точки подключения электрических сетей до участка работ;</w:t>
            </w:r>
          </w:p>
          <w:p>
            <w:pPr>
              <w:pStyle w:val="ListParagraph1"/>
              <w:tabs>
                <w:tab w:val="clear" w:pos="708"/>
                <w:tab w:val="left" w:pos="406" w:leader="none"/>
              </w:tabs>
              <w:spacing w:before="0" w:after="0"/>
              <w:ind w:start="16"/>
              <w:contextualSpacing/>
              <w:jc w:val="both"/>
              <w:rPr>
                <w:sz w:val="24"/>
              </w:rPr>
            </w:pPr>
            <w:r>
              <w:rPr>
                <w:sz w:val="24"/>
              </w:rPr>
              <w:t>- графическая часть тома «Наружное освещение» должна включать:</w:t>
            </w:r>
          </w:p>
          <w:p>
            <w:pPr>
              <w:pStyle w:val="ListParagraph1"/>
              <w:numPr>
                <w:ilvl w:val="0"/>
                <w:numId w:val="2"/>
              </w:numPr>
              <w:tabs>
                <w:tab w:val="clear" w:pos="708"/>
                <w:tab w:val="left" w:pos="320" w:leader="none"/>
              </w:tabs>
              <w:spacing w:before="0" w:after="0"/>
              <w:contextualSpacing/>
              <w:jc w:val="both"/>
              <w:rPr>
                <w:sz w:val="24"/>
              </w:rPr>
            </w:pPr>
            <w:r>
              <w:rPr>
                <w:sz w:val="24"/>
              </w:rPr>
              <w:t>план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ведомость опор с установленными на них осветительными приборами и электрооборудованием;</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питания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магистральных и групповых щитков освещения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принципиальные схемы управления освещением территории;</w:t>
            </w:r>
          </w:p>
          <w:p>
            <w:pPr>
              <w:pStyle w:val="ListParagraph1"/>
              <w:numPr>
                <w:ilvl w:val="0"/>
                <w:numId w:val="2"/>
              </w:numPr>
              <w:tabs>
                <w:tab w:val="clear" w:pos="708"/>
                <w:tab w:val="left" w:pos="320" w:leader="none"/>
              </w:tabs>
              <w:spacing w:before="0" w:after="0"/>
              <w:contextualSpacing/>
              <w:jc w:val="both"/>
              <w:rPr>
                <w:sz w:val="24"/>
              </w:rPr>
            </w:pPr>
            <w:r>
              <w:rPr>
                <w:sz w:val="24"/>
              </w:rPr>
              <w:t>кабельный журнал для сети освещения;</w:t>
            </w:r>
          </w:p>
          <w:p>
            <w:pPr>
              <w:pStyle w:val="ListParagraph1"/>
              <w:numPr>
                <w:ilvl w:val="0"/>
                <w:numId w:val="2"/>
              </w:numPr>
              <w:tabs>
                <w:tab w:val="clear" w:pos="708"/>
                <w:tab w:val="left" w:pos="320" w:leader="none"/>
              </w:tabs>
              <w:spacing w:before="0" w:after="0"/>
              <w:contextualSpacing/>
              <w:jc w:val="both"/>
              <w:rPr>
                <w:sz w:val="24"/>
              </w:rPr>
            </w:pPr>
            <w:r>
              <w:rPr>
                <w:sz w:val="24"/>
              </w:rPr>
              <w:t>чертежи узлов установки осветительных приборов и электрооборудования;</w:t>
            </w:r>
          </w:p>
          <w:p>
            <w:pPr>
              <w:pStyle w:val="ListParagraph1"/>
              <w:numPr>
                <w:ilvl w:val="0"/>
                <w:numId w:val="2"/>
              </w:numPr>
              <w:tabs>
                <w:tab w:val="clear" w:pos="708"/>
                <w:tab w:val="left" w:pos="320" w:leader="none"/>
              </w:tabs>
              <w:spacing w:before="0" w:after="0"/>
              <w:contextualSpacing/>
              <w:jc w:val="both"/>
              <w:rPr>
                <w:sz w:val="24"/>
              </w:rPr>
            </w:pPr>
            <w:r>
              <w:rPr>
                <w:sz w:val="24"/>
              </w:rPr>
              <w:t>поопорную схему сети наружного освещения;</w:t>
            </w:r>
          </w:p>
          <w:p>
            <w:pPr>
              <w:pStyle w:val="ListParagraph1"/>
              <w:numPr>
                <w:ilvl w:val="0"/>
                <w:numId w:val="2"/>
              </w:numPr>
              <w:tabs>
                <w:tab w:val="clear" w:pos="708"/>
                <w:tab w:val="left" w:pos="320" w:leader="none"/>
              </w:tabs>
              <w:spacing w:before="0" w:after="0"/>
              <w:contextualSpacing/>
              <w:jc w:val="both"/>
              <w:rPr>
                <w:sz w:val="24"/>
              </w:rPr>
            </w:pPr>
            <w:r>
              <w:rPr>
                <w:sz w:val="24"/>
              </w:rPr>
              <w:t>спецификацию оборудования, изделий и материалов согласно ГОСТ 21.110-2013 СПДС. Спецификация оборудования, изделий и материалов;</w:t>
            </w:r>
          </w:p>
          <w:p>
            <w:pPr>
              <w:pStyle w:val="ListParagraph1"/>
              <w:numPr>
                <w:ilvl w:val="0"/>
                <w:numId w:val="2"/>
              </w:numPr>
              <w:tabs>
                <w:tab w:val="clear" w:pos="708"/>
                <w:tab w:val="left" w:pos="320" w:leader="none"/>
              </w:tabs>
              <w:spacing w:before="0" w:after="0"/>
              <w:contextualSpacing/>
              <w:jc w:val="both"/>
              <w:rPr>
                <w:sz w:val="24"/>
              </w:rPr>
            </w:pPr>
            <w:r>
              <w:rPr>
                <w:sz w:val="24"/>
              </w:rPr>
              <w:t>ведомость объемов работ.</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фотовидеофиксация нарушений правил дорожного движения</w:t>
            </w:r>
          </w:p>
        </w:tc>
        <w:tc>
          <w:tcPr>
            <w:tcW w:w="59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 предусмотреть КФВФ в количестве 9 шт. (уточнить при проектировании).</w:t>
            </w:r>
          </w:p>
          <w:p>
            <w:pPr>
              <w:pStyle w:val="Normal"/>
              <w:widowControl/>
              <w:spacing w:before="0" w:after="0"/>
              <w:contextualSpacing/>
              <w:jc w:val="both"/>
              <w:rPr>
                <w:sz w:val="24"/>
              </w:rPr>
            </w:pPr>
            <w:r>
              <w:rPr>
                <w:sz w:val="24"/>
              </w:rPr>
              <w:t>- места установки КФВФ и типы фиксируемых нарушений определить при проектировании и согласовать включения КФВФ в дислокацию с Центром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ГУ МВД России по Пермскому краю.</w:t>
            </w:r>
          </w:p>
          <w:p>
            <w:pPr>
              <w:pStyle w:val="Style311"/>
              <w:spacing w:lineRule="auto" w:line="240" w:before="0" w:after="0"/>
              <w:ind w:firstLine="7"/>
              <w:contextualSpacing/>
              <w:rPr/>
            </w:pPr>
            <w:r>
              <w:rPr/>
              <w:t>- технологическое присоединение к электрическим сетям КФВФ выполнить от шкафов управления наружным освещением (ШУНО) с установкой отдельных приборов учёта. Величину нагрузки принять в соответствии с проектом. Категория надежности электроснабжения – 3;</w:t>
            </w:r>
          </w:p>
          <w:p>
            <w:pPr>
              <w:pStyle w:val="ListParagraph1"/>
              <w:tabs>
                <w:tab w:val="clear" w:pos="708"/>
                <w:tab w:val="left" w:pos="406" w:leader="none"/>
              </w:tabs>
              <w:spacing w:before="0" w:after="0"/>
              <w:ind w:start="16"/>
              <w:contextualSpacing/>
              <w:jc w:val="both"/>
              <w:rPr>
                <w:sz w:val="24"/>
              </w:rPr>
            </w:pPr>
            <w:r>
              <w:rPr>
                <w:sz w:val="24"/>
              </w:rPr>
              <w:t>- графическая часть тома «Фотовидеофиксация нарушений правил дорожного движения» должна включать:</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план установки оборудования и прокладки кабельных линий;</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принципиальные схемы питания;</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кабельный журнал;</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чертежи узлов установки электрооборудования;</w:t>
            </w:r>
          </w:p>
          <w:p>
            <w:pPr>
              <w:pStyle w:val="ListParagraph1"/>
              <w:numPr>
                <w:ilvl w:val="0"/>
                <w:numId w:val="3"/>
              </w:numPr>
              <w:tabs>
                <w:tab w:val="clear" w:pos="708"/>
                <w:tab w:val="left" w:pos="320" w:leader="none"/>
              </w:tabs>
              <w:spacing w:before="0" w:after="0"/>
              <w:ind w:hanging="0" w:start="0"/>
              <w:contextualSpacing/>
              <w:jc w:val="both"/>
              <w:rPr>
                <w:sz w:val="24"/>
              </w:rPr>
            </w:pPr>
            <w:r>
              <w:rPr>
                <w:sz w:val="24"/>
              </w:rPr>
              <w:t>спецификацию оборудования, изделий и материалов согласно ГОСТ 21.110-2013 СПДС. Спецификация оборудования, изделий и материалов;</w:t>
            </w:r>
          </w:p>
          <w:p>
            <w:pPr>
              <w:pStyle w:val="Style311"/>
              <w:spacing w:lineRule="auto" w:line="240" w:before="0" w:after="0"/>
              <w:ind w:firstLine="7"/>
              <w:contextualSpacing/>
              <w:rPr/>
            </w:pPr>
            <w:r>
              <w:rPr/>
              <w:t>ведомость объемов работ.</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проект организации строительства объекта</w:t>
            </w:r>
          </w:p>
        </w:tc>
        <w:tc>
          <w:tcPr>
            <w:tcW w:w="597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23" w:leader="none"/>
              </w:tabs>
              <w:spacing w:before="0" w:after="0"/>
              <w:contextualSpacing/>
              <w:jc w:val="both"/>
              <w:rPr>
                <w:sz w:val="24"/>
              </w:rPr>
            </w:pPr>
            <w:r>
              <w:rPr>
                <w:sz w:val="24"/>
              </w:rPr>
              <w:t>- предусмотреть оптимальные решения по организации строительства, включая календарный график, обоснование размеров и оснащения площадок для размещения производственных баз, вахтовых городков, складирования материалов. При необходимости предусмотреть мероприятия по зимней заготовке материалов, временные объезды на участках ремонта водопропускных труб;</w:t>
            </w:r>
          </w:p>
          <w:p>
            <w:pPr>
              <w:pStyle w:val="Normal"/>
              <w:widowControl/>
              <w:tabs>
                <w:tab w:val="clear" w:pos="708"/>
                <w:tab w:val="left" w:pos="523" w:leader="none"/>
              </w:tabs>
              <w:spacing w:before="0" w:after="0"/>
              <w:contextualSpacing/>
              <w:jc w:val="both"/>
              <w:rPr>
                <w:sz w:val="24"/>
              </w:rPr>
            </w:pPr>
            <w:r>
              <w:rPr>
                <w:sz w:val="24"/>
              </w:rPr>
              <w:t>- разработать транспортную схему поставки основных строительных материалов. Приложить официальный ответ о возможности поставки материала в необходимом для выполнения проектных решений объеме;</w:t>
            </w:r>
          </w:p>
          <w:p>
            <w:pPr>
              <w:pStyle w:val="Normal"/>
              <w:widowControl/>
              <w:tabs>
                <w:tab w:val="clear" w:pos="708"/>
                <w:tab w:val="left" w:pos="523" w:leader="none"/>
              </w:tabs>
              <w:spacing w:before="0" w:after="0"/>
              <w:contextualSpacing/>
              <w:jc w:val="both"/>
              <w:rPr>
                <w:sz w:val="24"/>
              </w:rPr>
            </w:pPr>
            <w:r>
              <w:rPr>
                <w:sz w:val="24"/>
              </w:rPr>
              <w:t>- представить графическую схему транспортировки материалов;</w:t>
            </w:r>
          </w:p>
          <w:p>
            <w:pPr>
              <w:pStyle w:val="Normal"/>
              <w:widowControl/>
              <w:tabs>
                <w:tab w:val="clear" w:pos="708"/>
                <w:tab w:val="left" w:pos="523" w:leader="none"/>
              </w:tabs>
              <w:spacing w:before="0" w:after="0"/>
              <w:contextualSpacing/>
              <w:jc w:val="both"/>
              <w:rPr>
                <w:sz w:val="24"/>
              </w:rPr>
            </w:pPr>
            <w:r>
              <w:rPr>
                <w:sz w:val="24"/>
              </w:rPr>
              <w:t>- согласовать места складирования излишков грунта и пр.</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обеспечению доступа инвалидов к объекту</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Не предусматривать</w:t>
            </w:r>
          </w:p>
          <w:p>
            <w:pPr>
              <w:pStyle w:val="Style311"/>
              <w:spacing w:lineRule="auto" w:line="240" w:before="0" w:after="0"/>
              <w:ind w:firstLine="7"/>
              <w:contextualSpacing/>
              <w:rPr/>
            </w:pPr>
            <w:r>
              <w:rPr/>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охране окружающей среды</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ind w:firstLine="7"/>
              <w:contextualSpacing/>
              <w:rPr/>
            </w:pPr>
            <w:r>
              <w:rPr/>
              <w:t>Не предусматривать</w:t>
            </w:r>
          </w:p>
          <w:p>
            <w:pPr>
              <w:pStyle w:val="Style311"/>
              <w:spacing w:lineRule="auto" w:line="240" w:before="0" w:after="0"/>
              <w:ind w:firstLine="7"/>
              <w:contextualSpacing/>
              <w:rPr/>
            </w:pPr>
            <w:r>
              <w:rPr/>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мероприятия по обеспечению пожарной безопасности</w:t>
            </w:r>
          </w:p>
        </w:tc>
        <w:tc>
          <w:tcPr>
            <w:tcW w:w="5976" w:type="dxa"/>
            <w:tcBorders>
              <w:top w:val="single" w:sz="4" w:space="0" w:color="000000"/>
              <w:start w:val="single" w:sz="4" w:space="0" w:color="000000"/>
              <w:bottom w:val="single" w:sz="4" w:space="0" w:color="000000"/>
              <w:end w:val="single" w:sz="4" w:space="0" w:color="000000"/>
            </w:tcBorders>
          </w:tcPr>
          <w:p>
            <w:pPr>
              <w:pStyle w:val="Style311"/>
              <w:spacing w:lineRule="auto" w:line="240" w:before="0" w:after="0"/>
              <w:contextualSpacing/>
              <w:rPr/>
            </w:pPr>
            <w:r>
              <w:rPr/>
              <w:t>Не предусматривать</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разработка сметной документации</w:t>
            </w:r>
          </w:p>
        </w:tc>
        <w:tc>
          <w:tcPr>
            <w:tcW w:w="5976" w:type="dxa"/>
            <w:tcBorders>
              <w:top w:val="single" w:sz="4" w:space="0" w:color="000000"/>
              <w:start w:val="single" w:sz="4" w:space="0" w:color="000000"/>
              <w:bottom w:val="single" w:sz="4" w:space="0" w:color="000000"/>
              <w:end w:val="single" w:sz="4" w:space="0" w:color="000000"/>
            </w:tcBorders>
            <w:vAlign w:val="center"/>
          </w:tcPr>
          <w:p>
            <w:pPr>
              <w:pStyle w:val="Style311"/>
              <w:spacing w:lineRule="auto" w:line="240" w:before="0" w:after="0"/>
              <w:contextualSpacing/>
              <w:jc w:val="start"/>
              <w:rPr/>
            </w:pPr>
            <w:r>
              <w:rPr/>
              <w:t>Выполнить согласно Приложения №1 к Техническому заданию</w:t>
            </w:r>
          </w:p>
        </w:tc>
      </w:tr>
      <w:tr>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отвод и оформление земельных участков для размещения объекта капитального строительства</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40"/>
              <w:contextualSpacing/>
              <w:jc w:val="both"/>
              <w:rPr>
                <w:sz w:val="24"/>
              </w:rPr>
            </w:pPr>
            <w:r>
              <w:rPr>
                <w:sz w:val="24"/>
              </w:rPr>
              <w:t>- проектирование выполнить в границах существующей полосы отвода автомобильной дороги;</w:t>
            </w:r>
          </w:p>
          <w:p>
            <w:pPr>
              <w:pStyle w:val="ListParagraph1"/>
              <w:tabs>
                <w:tab w:val="clear" w:pos="708"/>
                <w:tab w:val="left" w:pos="523" w:leader="none"/>
              </w:tabs>
              <w:spacing w:before="0" w:after="0"/>
              <w:ind w:start="40"/>
              <w:contextualSpacing/>
              <w:jc w:val="both"/>
              <w:rPr>
                <w:sz w:val="24"/>
              </w:rPr>
            </w:pPr>
            <w:r>
              <w:rPr>
                <w:sz w:val="24"/>
              </w:rPr>
              <w:t>- в случае размещения конструктивных элементов автомобильной дороги за границами отведенных земель, обеспечить подготовку схемы расположения земельного участка или земельных участков на кадастровом плане территории, утверждение данной схемы и подготовку межевого плана для постановки недостающего земельного участка на государственный кадастровый учет;</w:t>
            </w:r>
          </w:p>
          <w:p>
            <w:pPr>
              <w:pStyle w:val="ListParagraph1"/>
              <w:tabs>
                <w:tab w:val="clear" w:pos="708"/>
                <w:tab w:val="left" w:pos="523" w:leader="none"/>
              </w:tabs>
              <w:spacing w:before="0" w:after="0"/>
              <w:ind w:start="40"/>
              <w:contextualSpacing/>
              <w:jc w:val="both"/>
              <w:rPr>
                <w:sz w:val="24"/>
              </w:rPr>
            </w:pPr>
            <w:r>
              <w:rPr>
                <w:sz w:val="24"/>
              </w:rPr>
              <w:t>- обеспечить получение разрешения на использование земель или земельного участка для размещения временных площадок;</w:t>
            </w:r>
          </w:p>
          <w:p>
            <w:pPr>
              <w:pStyle w:val="ListParagraph1"/>
              <w:tabs>
                <w:tab w:val="clear" w:pos="708"/>
                <w:tab w:val="left" w:pos="523" w:leader="none"/>
              </w:tabs>
              <w:spacing w:before="0" w:after="0"/>
              <w:ind w:start="40"/>
              <w:contextualSpacing/>
              <w:jc w:val="both"/>
              <w:rPr>
                <w:sz w:val="24"/>
              </w:rPr>
            </w:pPr>
            <w:r>
              <w:rPr>
                <w:sz w:val="24"/>
              </w:rPr>
              <w:t>- для размещения временных площадок отвод земельных участков осуществить из муниципальных или государственных земель, не обремененных правами третьих лиц, для использования которых не потребуется рекультивация земель или подготовка проекта освоения лесов (по возможности)</w:t>
            </w:r>
          </w:p>
        </w:tc>
      </w:tr>
      <w:tr>
        <w:trPr>
          <w:trHeight w:val="6653" w:hRule="atLeast"/>
        </w:trPr>
        <w:tc>
          <w:tcPr>
            <w:tcW w:w="676" w:type="dxa"/>
            <w:tcBorders>
              <w:top w:val="single" w:sz="4" w:space="0" w:color="000000"/>
              <w:start w:val="single" w:sz="4" w:space="0" w:color="000000"/>
              <w:bottom w:val="single" w:sz="4" w:space="0" w:color="000000"/>
              <w:end w:val="single" w:sz="4" w:space="0" w:color="000000"/>
            </w:tcBorders>
          </w:tcPr>
          <w:p>
            <w:pPr>
              <w:pStyle w:val="Normal"/>
              <w:widowControl/>
              <w:spacing w:before="0" w:after="0"/>
              <w:ind w:start="36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vAlign w:val="center"/>
          </w:tcPr>
          <w:p>
            <w:pPr>
              <w:pStyle w:val="Style311"/>
              <w:tabs>
                <w:tab w:val="clear" w:pos="708"/>
                <w:tab w:val="left" w:pos="175" w:leader="none"/>
                <w:tab w:val="left" w:pos="459" w:leader="none"/>
              </w:tabs>
              <w:spacing w:lineRule="auto" w:line="240" w:before="0" w:after="0"/>
              <w:ind w:start="176"/>
              <w:contextualSpacing/>
              <w:jc w:val="start"/>
              <w:rPr/>
            </w:pPr>
            <w:r>
              <w:rPr/>
              <w:t>- дополнительные требования</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40"/>
              <w:contextualSpacing/>
              <w:jc w:val="both"/>
              <w:rPr>
                <w:sz w:val="24"/>
              </w:rPr>
            </w:pPr>
            <w:r>
              <w:rPr>
                <w:sz w:val="24"/>
              </w:rPr>
              <w:t>- исключить указание в проектной документации конкретного производителя согласно требованиям федерального закона «О контрактной системе в сфере закупок товаров, работ, услуг для обеспечения государственных и муниципальных нужд» от 05.04.2013 № 44-ФЗ. Допустимо использование фразы «или аналог» с обязательным определением максимальных и минимальных характеристик;</w:t>
            </w:r>
          </w:p>
          <w:p>
            <w:pPr>
              <w:pStyle w:val="ListParagraph1"/>
              <w:tabs>
                <w:tab w:val="clear" w:pos="708"/>
                <w:tab w:val="left" w:pos="523" w:leader="none"/>
              </w:tabs>
              <w:spacing w:before="0" w:after="0"/>
              <w:ind w:start="40"/>
              <w:contextualSpacing/>
              <w:jc w:val="both"/>
              <w:rPr>
                <w:sz w:val="24"/>
              </w:rPr>
            </w:pPr>
            <w:r>
              <w:rPr>
                <w:sz w:val="24"/>
              </w:rPr>
              <w:t>- сводную ведомость объемов работ дополнительно представить в составе проектной документации отдельным томом;</w:t>
            </w:r>
          </w:p>
          <w:p>
            <w:pPr>
              <w:pStyle w:val="ListParagraph1"/>
              <w:tabs>
                <w:tab w:val="clear" w:pos="708"/>
                <w:tab w:val="left" w:pos="523" w:leader="none"/>
              </w:tabs>
              <w:spacing w:before="0" w:after="0"/>
              <w:ind w:start="40"/>
              <w:contextualSpacing/>
              <w:jc w:val="both"/>
              <w:rPr>
                <w:sz w:val="24"/>
              </w:rPr>
            </w:pPr>
            <w:r>
              <w:rPr>
                <w:sz w:val="24"/>
              </w:rPr>
              <w:t>- в проектной документации в обязательном порядке все объемы из сводной ведомости объемов работ необходимо подтвердить ведомостями подсчетов объемов работ с указанием всех размеров, видов грунтов, толщин и прочее;</w:t>
            </w:r>
          </w:p>
          <w:p>
            <w:pPr>
              <w:pStyle w:val="ListParagraph1"/>
              <w:tabs>
                <w:tab w:val="clear" w:pos="708"/>
                <w:tab w:val="left" w:pos="523" w:leader="none"/>
              </w:tabs>
              <w:spacing w:before="0" w:after="0"/>
              <w:ind w:start="40"/>
              <w:contextualSpacing/>
              <w:jc w:val="both"/>
              <w:rPr>
                <w:sz w:val="24"/>
              </w:rPr>
            </w:pPr>
            <w:r>
              <w:rPr>
                <w:sz w:val="24"/>
              </w:rPr>
              <w:t>- проектную документацию согласовать со всеми заинтересованными организациями, согласование проектной документации осуществляется силами и за счет средств проектной организации;</w:t>
            </w:r>
          </w:p>
          <w:p>
            <w:pPr>
              <w:pStyle w:val="ListParagraph1"/>
              <w:tabs>
                <w:tab w:val="clear" w:pos="708"/>
                <w:tab w:val="left" w:pos="523" w:leader="none"/>
              </w:tabs>
              <w:spacing w:before="0" w:after="0"/>
              <w:ind w:start="40"/>
              <w:contextualSpacing/>
              <w:jc w:val="both"/>
              <w:rPr>
                <w:sz w:val="24"/>
              </w:rPr>
            </w:pPr>
            <w:r>
              <w:rPr>
                <w:sz w:val="24"/>
              </w:rPr>
              <w:t>- проектная и рабочая документация предоставляется Заказчику после получения всех необходимых согласований.</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Прохождение государственной экспертизы</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numPr>
                <w:ilvl w:val="1"/>
                <w:numId w:val="4"/>
              </w:numPr>
              <w:tabs>
                <w:tab w:val="clear" w:pos="708"/>
                <w:tab w:val="left" w:pos="523" w:leader="none"/>
              </w:tabs>
              <w:spacing w:before="0" w:after="0"/>
              <w:ind w:hanging="0" w:start="0"/>
              <w:contextualSpacing/>
              <w:jc w:val="both"/>
              <w:rPr>
                <w:sz w:val="24"/>
              </w:rPr>
            </w:pPr>
            <w:r>
              <w:rPr>
                <w:sz w:val="24"/>
              </w:rPr>
              <w:t>Заявителем на Государственную экспертизу является Заказчик.</w:t>
            </w:r>
          </w:p>
          <w:p>
            <w:pPr>
              <w:pStyle w:val="ListParagraph1"/>
              <w:numPr>
                <w:ilvl w:val="1"/>
                <w:numId w:val="4"/>
              </w:numPr>
              <w:tabs>
                <w:tab w:val="clear" w:pos="708"/>
                <w:tab w:val="left" w:pos="523" w:leader="none"/>
              </w:tabs>
              <w:spacing w:before="0" w:after="0"/>
              <w:ind w:hanging="0" w:start="0"/>
              <w:contextualSpacing/>
              <w:jc w:val="both"/>
              <w:rPr>
                <w:sz w:val="24"/>
              </w:rPr>
            </w:pPr>
            <w:r>
              <w:rPr>
                <w:sz w:val="24"/>
              </w:rPr>
              <w:t>Сопровождение при прохождении государственной экспертизы в части проверки достоверности определения сметной стоимости выполняется проектной организацией.</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Разработка рабочей документации</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Требуется</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Требования к сдаче документации</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8"/>
              <w:contextualSpacing/>
              <w:jc w:val="both"/>
              <w:rPr>
                <w:sz w:val="24"/>
              </w:rPr>
            </w:pPr>
            <w:r>
              <w:rPr>
                <w:sz w:val="24"/>
              </w:rPr>
              <w:t>1.1. Технический отчет об инженерных изысканиях передается Заказчику для проверки на электронном носителе в 1-ом экземпляре, для приемки на электронном носителе в 1-ом экземпляре и на бумажном носителе в 3-х экземплярах.</w:t>
            </w:r>
          </w:p>
          <w:p>
            <w:pPr>
              <w:pStyle w:val="ListParagraph1"/>
              <w:tabs>
                <w:tab w:val="clear" w:pos="708"/>
                <w:tab w:val="left" w:pos="523" w:leader="none"/>
              </w:tabs>
              <w:spacing w:before="0" w:after="0"/>
              <w:ind w:start="8"/>
              <w:contextualSpacing/>
              <w:jc w:val="both"/>
              <w:rPr>
                <w:sz w:val="24"/>
              </w:rPr>
            </w:pPr>
            <w:r>
              <w:rPr>
                <w:sz w:val="24"/>
              </w:rPr>
              <w:t>1.2. Передать материалы инженерных изысканий в редактируемом формате на электронном носителе в 1-ом экземпляре. В состав передаваемых материалов включить ЦМР в формате Land xml.</w:t>
            </w:r>
          </w:p>
          <w:p>
            <w:pPr>
              <w:pStyle w:val="ListParagraph1"/>
              <w:tabs>
                <w:tab w:val="clear" w:pos="708"/>
                <w:tab w:val="left" w:pos="523" w:leader="none"/>
              </w:tabs>
              <w:spacing w:before="0" w:after="0"/>
              <w:ind w:start="8"/>
              <w:contextualSpacing/>
              <w:jc w:val="both"/>
              <w:rPr>
                <w:sz w:val="24"/>
              </w:rPr>
            </w:pPr>
            <w:r>
              <w:rPr>
                <w:sz w:val="24"/>
              </w:rPr>
              <w:t>1.3. Проектная документации передается Заказчику для проверки на электронном носителе в 1-ом экземпляре (по требованию Заказчика предоставляется на бумажном носителе). Для приемки на электронном носителе в 1-ом экземпляре и на бумажном носителе в 4-х экземплярах.</w:t>
            </w:r>
          </w:p>
          <w:p>
            <w:pPr>
              <w:pStyle w:val="ListParagraph1"/>
              <w:tabs>
                <w:tab w:val="clear" w:pos="708"/>
                <w:tab w:val="left" w:pos="523" w:leader="none"/>
              </w:tabs>
              <w:spacing w:before="0" w:after="0"/>
              <w:ind w:start="8"/>
              <w:contextualSpacing/>
              <w:jc w:val="both"/>
              <w:rPr>
                <w:sz w:val="24"/>
              </w:rPr>
            </w:pPr>
            <w:r>
              <w:rPr>
                <w:sz w:val="24"/>
              </w:rPr>
              <w:t>1.4. Сметная документация передается Заказчику для проверки на электронном носителе в 2-х экземплярах и на бумажном носителе в 2-х экземплярах, для приемки на электронном носителе в 2-х экземплярах и на бумажном носителе в 3-х экземплярах. На электронном носителе сметную документацию представить совместно с проектной документацией и ведомостью объемов работ.</w:t>
            </w:r>
          </w:p>
          <w:p>
            <w:pPr>
              <w:pStyle w:val="ListParagraph1"/>
              <w:tabs>
                <w:tab w:val="clear" w:pos="708"/>
                <w:tab w:val="left" w:pos="523" w:leader="none"/>
              </w:tabs>
              <w:spacing w:before="0" w:after="0"/>
              <w:ind w:start="8"/>
              <w:contextualSpacing/>
              <w:jc w:val="both"/>
              <w:rPr>
                <w:sz w:val="24"/>
              </w:rPr>
            </w:pPr>
            <w:r>
              <w:rPr>
                <w:sz w:val="24"/>
              </w:rPr>
              <w:t>1.5. Электронная версия проектной документации должна быть выполнена в полном соответствии с бумажной версией в нередактируемом и редактируемом форматах по принципу:</w:t>
            </w:r>
          </w:p>
          <w:p>
            <w:pPr>
              <w:pStyle w:val="Normal"/>
              <w:widowControl/>
              <w:spacing w:before="0" w:after="0"/>
              <w:ind w:hanging="8" w:start="8"/>
              <w:contextualSpacing/>
              <w:jc w:val="both"/>
              <w:rPr>
                <w:sz w:val="24"/>
              </w:rPr>
            </w:pPr>
            <w:r>
              <w:rPr>
                <w:sz w:val="24"/>
              </w:rPr>
              <w:t>Каталог - «Наименование объекта» электронная версия в формате «*.pdf» с разбивкой по составу проекта и содержанию томов.</w:t>
            </w:r>
          </w:p>
          <w:p>
            <w:pPr>
              <w:pStyle w:val="ListParagraph1"/>
              <w:tabs>
                <w:tab w:val="clear" w:pos="708"/>
                <w:tab w:val="left" w:pos="523" w:leader="none"/>
              </w:tabs>
              <w:spacing w:before="0" w:after="0"/>
              <w:ind w:hanging="8" w:start="8"/>
              <w:contextualSpacing/>
              <w:jc w:val="both"/>
              <w:rPr>
                <w:sz w:val="24"/>
              </w:rPr>
            </w:pPr>
            <w:r>
              <w:rPr>
                <w:sz w:val="24"/>
              </w:rPr>
              <w:t>Каталог - «Наименование объекта» - электронная версия всех документов в редактируемом формате с разбивкой по составу проекта и содержанию томов.</w:t>
            </w:r>
          </w:p>
          <w:p>
            <w:pPr>
              <w:pStyle w:val="ListParagraph1"/>
              <w:tabs>
                <w:tab w:val="clear" w:pos="708"/>
                <w:tab w:val="left" w:pos="523" w:leader="none"/>
              </w:tabs>
              <w:spacing w:before="0" w:after="0"/>
              <w:ind w:start="8"/>
              <w:contextualSpacing/>
              <w:jc w:val="both"/>
              <w:rPr>
                <w:sz w:val="24"/>
              </w:rPr>
            </w:pPr>
            <w:r>
              <w:rPr>
                <w:sz w:val="24"/>
              </w:rPr>
              <w:t>1.6. Электронная версия документации для приемки должна быть представлена в 2-х видах:</w:t>
            </w:r>
          </w:p>
          <w:p>
            <w:pPr>
              <w:pStyle w:val="ListParagraph1"/>
              <w:tabs>
                <w:tab w:val="clear" w:pos="708"/>
                <w:tab w:val="left" w:pos="240" w:leader="none"/>
              </w:tabs>
              <w:spacing w:before="0" w:after="0"/>
              <w:ind w:start="8"/>
              <w:contextualSpacing/>
              <w:jc w:val="both"/>
              <w:rPr>
                <w:sz w:val="24"/>
              </w:rPr>
            </w:pPr>
            <w:r>
              <w:rPr>
                <w:sz w:val="24"/>
              </w:rPr>
              <w:t>- с цветными подписями и печатями на титулах и всех листах документации, где это необходимо;</w:t>
            </w:r>
          </w:p>
          <w:p>
            <w:pPr>
              <w:pStyle w:val="ListParagraph1"/>
              <w:tabs>
                <w:tab w:val="clear" w:pos="708"/>
                <w:tab w:val="left" w:pos="523" w:leader="none"/>
              </w:tabs>
              <w:spacing w:before="0" w:after="0"/>
              <w:ind w:hanging="8" w:start="8"/>
              <w:contextualSpacing/>
              <w:jc w:val="both"/>
              <w:rPr>
                <w:sz w:val="24"/>
              </w:rPr>
            </w:pPr>
            <w:r>
              <w:rPr>
                <w:sz w:val="24"/>
              </w:rPr>
              <w:t>- без подписей и печатей, с информационно-удостоверяющими листами к каждому тому, содержащими подписи всех разработчиков, и электронной цифровой подписью руководителя организации на всех томах и информационно-удостоверяющих листах.</w:t>
            </w:r>
          </w:p>
          <w:p>
            <w:pPr>
              <w:pStyle w:val="ListParagraph1"/>
              <w:tabs>
                <w:tab w:val="clear" w:pos="708"/>
                <w:tab w:val="left" w:pos="523" w:leader="none"/>
              </w:tabs>
              <w:spacing w:before="0" w:after="0"/>
              <w:ind w:start="8"/>
              <w:contextualSpacing/>
              <w:jc w:val="both"/>
              <w:rPr>
                <w:sz w:val="24"/>
              </w:rPr>
            </w:pPr>
            <w:r>
              <w:rPr>
                <w:sz w:val="24"/>
              </w:rPr>
              <w:t>1.7. Вся проектная документация должна быть пронумерована.</w:t>
            </w:r>
          </w:p>
          <w:p>
            <w:pPr>
              <w:pStyle w:val="ListParagraph1"/>
              <w:tabs>
                <w:tab w:val="clear" w:pos="708"/>
                <w:tab w:val="left" w:pos="523" w:leader="none"/>
              </w:tabs>
              <w:spacing w:before="0" w:after="0"/>
              <w:ind w:start="8"/>
              <w:contextualSpacing/>
              <w:jc w:val="both"/>
              <w:rPr>
                <w:sz w:val="24"/>
              </w:rPr>
            </w:pPr>
            <w:r>
              <w:rPr>
                <w:sz w:val="24"/>
              </w:rPr>
              <w:t>1.8. Копии документов и согласований приложить в отсканированном виде в цвете.</w:t>
            </w:r>
          </w:p>
          <w:p>
            <w:pPr>
              <w:pStyle w:val="ListParagraph1"/>
              <w:tabs>
                <w:tab w:val="clear" w:pos="708"/>
                <w:tab w:val="left" w:pos="523" w:leader="none"/>
              </w:tabs>
              <w:spacing w:before="0" w:after="0"/>
              <w:ind w:start="8"/>
              <w:contextualSpacing/>
              <w:jc w:val="both"/>
              <w:rPr>
                <w:sz w:val="24"/>
              </w:rPr>
            </w:pPr>
            <w:r>
              <w:rPr>
                <w:sz w:val="24"/>
              </w:rPr>
              <w:t>1.9. Электронную версию проектной документации передать Заказчику на CD или DVD дисках.</w:t>
            </w:r>
          </w:p>
        </w:tc>
      </w:tr>
      <w:tr>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Перечень согласований с Заказчиком</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tabs>
                <w:tab w:val="clear" w:pos="708"/>
                <w:tab w:val="left" w:pos="523" w:leader="none"/>
              </w:tabs>
              <w:spacing w:before="0" w:after="0"/>
              <w:ind w:start="0"/>
              <w:contextualSpacing/>
              <w:jc w:val="both"/>
              <w:rPr>
                <w:sz w:val="24"/>
              </w:rPr>
            </w:pPr>
            <w:r>
              <w:rPr>
                <w:sz w:val="24"/>
              </w:rPr>
              <w:t>1.1. Задания на производство инженерных изысканий, программы инженерных изысканий.</w:t>
            </w:r>
          </w:p>
          <w:p>
            <w:pPr>
              <w:pStyle w:val="ListParagraph1"/>
              <w:tabs>
                <w:tab w:val="clear" w:pos="708"/>
                <w:tab w:val="left" w:pos="523" w:leader="none"/>
              </w:tabs>
              <w:spacing w:before="0" w:after="0"/>
              <w:ind w:start="0"/>
              <w:contextualSpacing/>
              <w:jc w:val="both"/>
              <w:rPr>
                <w:sz w:val="24"/>
              </w:rPr>
            </w:pPr>
            <w:r>
              <w:rPr>
                <w:sz w:val="24"/>
              </w:rPr>
              <w:t>1.2. Ведомость дефектов.</w:t>
            </w:r>
          </w:p>
          <w:p>
            <w:pPr>
              <w:pStyle w:val="ListParagraph1"/>
              <w:tabs>
                <w:tab w:val="clear" w:pos="708"/>
                <w:tab w:val="left" w:pos="523" w:leader="none"/>
              </w:tabs>
              <w:spacing w:before="0" w:after="0"/>
              <w:ind w:start="0"/>
              <w:contextualSpacing/>
              <w:jc w:val="both"/>
              <w:rPr>
                <w:sz w:val="24"/>
              </w:rPr>
            </w:pPr>
            <w:r>
              <w:rPr>
                <w:sz w:val="24"/>
              </w:rPr>
              <w:t>1.3. Основные проектные решения в плане.</w:t>
            </w:r>
          </w:p>
          <w:p>
            <w:pPr>
              <w:pStyle w:val="ListParagraph1"/>
              <w:tabs>
                <w:tab w:val="clear" w:pos="708"/>
                <w:tab w:val="left" w:pos="523" w:leader="none"/>
              </w:tabs>
              <w:spacing w:before="0" w:after="0"/>
              <w:ind w:start="0"/>
              <w:contextualSpacing/>
              <w:jc w:val="both"/>
              <w:rPr>
                <w:sz w:val="24"/>
              </w:rPr>
            </w:pPr>
            <w:r>
              <w:rPr>
                <w:sz w:val="24"/>
              </w:rPr>
              <w:t>1.4. Ведомость поставки основных материалов.</w:t>
            </w:r>
          </w:p>
          <w:p>
            <w:pPr>
              <w:pStyle w:val="ListParagraph1"/>
              <w:tabs>
                <w:tab w:val="clear" w:pos="708"/>
                <w:tab w:val="left" w:pos="523" w:leader="none"/>
              </w:tabs>
              <w:spacing w:before="0" w:after="0"/>
              <w:ind w:start="0"/>
              <w:contextualSpacing/>
              <w:jc w:val="both"/>
              <w:rPr>
                <w:sz w:val="24"/>
              </w:rPr>
            </w:pPr>
            <w:r>
              <w:rPr>
                <w:sz w:val="24"/>
              </w:rPr>
              <w:t>1.5. Схема организации движения на период строительства.</w:t>
            </w:r>
          </w:p>
        </w:tc>
      </w:tr>
      <w:tr>
        <w:trPr>
          <w:trHeight w:val="1125" w:hRule="atLeast"/>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К заданию на проектирование прилагается</w:t>
            </w:r>
          </w:p>
        </w:tc>
        <w:tc>
          <w:tcPr>
            <w:tcW w:w="5976" w:type="dxa"/>
            <w:tcBorders>
              <w:top w:val="single" w:sz="4" w:space="0" w:color="000000"/>
              <w:start w:val="single" w:sz="4" w:space="0" w:color="000000"/>
              <w:bottom w:val="single" w:sz="4" w:space="0" w:color="000000"/>
              <w:end w:val="single" w:sz="4" w:space="0" w:color="000000"/>
            </w:tcBorders>
          </w:tcPr>
          <w:p>
            <w:pPr>
              <w:pStyle w:val="ListParagraph1"/>
              <w:numPr>
                <w:ilvl w:val="1"/>
                <w:numId w:val="5"/>
              </w:numPr>
              <w:tabs>
                <w:tab w:val="clear" w:pos="708"/>
                <w:tab w:val="left" w:pos="523" w:leader="none"/>
              </w:tabs>
              <w:spacing w:before="0" w:after="0"/>
              <w:ind w:hanging="0" w:start="37"/>
              <w:contextualSpacing/>
              <w:jc w:val="both"/>
              <w:rPr>
                <w:sz w:val="24"/>
              </w:rPr>
            </w:pPr>
            <w:r>
              <w:rPr>
                <w:sz w:val="24"/>
              </w:rPr>
              <w:t>Правоустанавливающие документы на земельный участок и объект недвижимости (после заключения договора).</w:t>
            </w:r>
          </w:p>
          <w:p>
            <w:pPr>
              <w:pStyle w:val="ListParagraph1"/>
              <w:numPr>
                <w:ilvl w:val="1"/>
                <w:numId w:val="5"/>
              </w:numPr>
              <w:tabs>
                <w:tab w:val="clear" w:pos="708"/>
                <w:tab w:val="left" w:pos="523" w:leader="none"/>
              </w:tabs>
              <w:spacing w:before="0" w:after="0"/>
              <w:ind w:hanging="0" w:start="37"/>
              <w:contextualSpacing/>
              <w:jc w:val="both"/>
              <w:rPr>
                <w:sz w:val="24"/>
              </w:rPr>
            </w:pPr>
            <w:r>
              <w:rPr>
                <w:sz w:val="24"/>
              </w:rPr>
              <w:t>Проектная документация (при наличии, предоставляется Подрядчику после заключения договора).</w:t>
            </w:r>
          </w:p>
        </w:tc>
      </w:tr>
      <w:tr>
        <w:trPr>
          <w:trHeight w:val="1125" w:hRule="atLeast"/>
        </w:trPr>
        <w:tc>
          <w:tcPr>
            <w:tcW w:w="6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widowControl/>
              <w:tabs>
                <w:tab w:val="clear" w:pos="708"/>
                <w:tab w:val="left" w:pos="317" w:leader="none"/>
                <w:tab w:val="left" w:pos="459" w:leader="none"/>
              </w:tabs>
              <w:spacing w:before="0" w:after="0"/>
              <w:contextualSpacing/>
              <w:jc w:val="both"/>
              <w:rPr>
                <w:sz w:val="24"/>
              </w:rPr>
            </w:pPr>
            <w:r>
              <w:rPr>
                <w:sz w:val="24"/>
              </w:rPr>
              <w:t>Сроки выполнения работ</w:t>
            </w:r>
          </w:p>
        </w:tc>
        <w:tc>
          <w:tcPr>
            <w:tcW w:w="5976" w:type="dxa"/>
            <w:tcBorders>
              <w:top w:val="single" w:sz="4" w:space="0" w:color="000000"/>
              <w:start w:val="single" w:sz="4" w:space="0" w:color="000000"/>
              <w:bottom w:val="single" w:sz="4" w:space="0" w:color="000000"/>
              <w:end w:val="single" w:sz="4" w:space="0" w:color="000000"/>
            </w:tcBorders>
            <w:shd w:color="auto" w:fill="FFFFFF" w:themeFill="background1" w:val="clear"/>
          </w:tcPr>
          <w:p>
            <w:pPr>
              <w:pStyle w:val="Normal"/>
              <w:widowControl/>
              <w:tabs>
                <w:tab w:val="clear" w:pos="708"/>
                <w:tab w:val="left" w:pos="523" w:leader="none"/>
              </w:tabs>
              <w:spacing w:before="0" w:after="0"/>
              <w:contextualSpacing/>
              <w:jc w:val="both"/>
              <w:rPr>
                <w:sz w:val="24"/>
              </w:rPr>
            </w:pPr>
            <w:r>
              <w:rPr>
                <w:sz w:val="24"/>
              </w:rPr>
              <w:t>Начало проектирования – с даты заключения договора</w:t>
            </w:r>
          </w:p>
          <w:p>
            <w:pPr>
              <w:pStyle w:val="Normal"/>
              <w:widowControl/>
              <w:tabs>
                <w:tab w:val="clear" w:pos="708"/>
                <w:tab w:val="left" w:pos="523" w:leader="none"/>
              </w:tabs>
              <w:spacing w:before="0" w:after="0"/>
              <w:contextualSpacing/>
              <w:jc w:val="both"/>
              <w:rPr>
                <w:sz w:val="24"/>
              </w:rPr>
            </w:pPr>
            <w:r>
              <w:rPr>
                <w:sz w:val="24"/>
              </w:rPr>
              <w:t>Завершение проектирования – 30.05.2026 г.</w:t>
            </w:r>
          </w:p>
        </w:tc>
      </w:tr>
      <w:tr>
        <w:trPr>
          <w:trHeight w:val="1125" w:hRule="atLeast"/>
        </w:trPr>
        <w:tc>
          <w:tcPr>
            <w:tcW w:w="676" w:type="dxa"/>
            <w:tcBorders>
              <w:top w:val="single" w:sz="4" w:space="0" w:color="000000"/>
              <w:start w:val="single" w:sz="4" w:space="0" w:color="000000"/>
              <w:bottom w:val="single" w:sz="4" w:space="0" w:color="000000"/>
              <w:end w:val="single" w:sz="4" w:space="0" w:color="000000"/>
            </w:tcBorders>
          </w:tcPr>
          <w:p>
            <w:pPr>
              <w:pStyle w:val="ListParagraph1"/>
              <w:numPr>
                <w:ilvl w:val="0"/>
                <w:numId w:val="1"/>
              </w:numPr>
              <w:spacing w:before="0" w:after="0"/>
              <w:ind w:hanging="0" w:start="0"/>
              <w:contextualSpacing/>
              <w:jc w:val="center"/>
              <w:rPr>
                <w:sz w:val="24"/>
              </w:rPr>
            </w:pPr>
            <w:r>
              <w:rPr>
                <w:sz w:val="24"/>
              </w:rPr>
            </w:r>
          </w:p>
        </w:tc>
        <w:tc>
          <w:tcPr>
            <w:tcW w:w="363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317" w:leader="none"/>
                <w:tab w:val="left" w:pos="459" w:leader="none"/>
              </w:tabs>
              <w:spacing w:before="0" w:after="0"/>
              <w:contextualSpacing/>
              <w:jc w:val="both"/>
              <w:rPr>
                <w:sz w:val="24"/>
              </w:rPr>
            </w:pPr>
            <w:r>
              <w:rPr>
                <w:sz w:val="24"/>
              </w:rPr>
              <w:t>Приложения к техническому заданию на выполнение работ по разработке и корректировке проектной и рабочей документации</w:t>
            </w:r>
          </w:p>
        </w:tc>
        <w:tc>
          <w:tcPr>
            <w:tcW w:w="5976"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523" w:leader="none"/>
              </w:tabs>
              <w:spacing w:before="0" w:after="0"/>
              <w:contextualSpacing/>
              <w:jc w:val="both"/>
              <w:rPr>
                <w:sz w:val="24"/>
              </w:rPr>
            </w:pPr>
            <w:r>
              <w:rPr>
                <w:sz w:val="24"/>
              </w:rPr>
              <w:t>1.</w:t>
              <w:tab/>
              <w:t>Приложение №1. Исходные данные для расчета сметной стоимости по объекту;</w:t>
            </w:r>
          </w:p>
          <w:p>
            <w:pPr>
              <w:pStyle w:val="Normal"/>
              <w:widowControl/>
              <w:tabs>
                <w:tab w:val="clear" w:pos="708"/>
                <w:tab w:val="left" w:pos="523" w:leader="none"/>
              </w:tabs>
              <w:spacing w:before="0" w:after="0"/>
              <w:contextualSpacing/>
              <w:jc w:val="both"/>
              <w:rPr>
                <w:sz w:val="24"/>
              </w:rPr>
            </w:pPr>
            <w:r>
              <w:rPr>
                <w:sz w:val="24"/>
              </w:rPr>
              <w:t>2.</w:t>
              <w:tab/>
              <w:t>Приложение №2. Перечень объектов, для которых необходима корректировка проектной документации;</w:t>
            </w:r>
          </w:p>
          <w:p>
            <w:pPr>
              <w:pStyle w:val="Normal"/>
              <w:widowControl/>
              <w:tabs>
                <w:tab w:val="clear" w:pos="708"/>
                <w:tab w:val="left" w:pos="523" w:leader="none"/>
              </w:tabs>
              <w:spacing w:before="0" w:after="0"/>
              <w:contextualSpacing/>
              <w:jc w:val="both"/>
              <w:rPr>
                <w:sz w:val="24"/>
              </w:rPr>
            </w:pPr>
            <w:r>
              <w:rPr>
                <w:sz w:val="24"/>
              </w:rPr>
              <w:t>3.</w:t>
              <w:tab/>
              <w:t>Приложение №3. Перечень объектов, для которых необходимо произвести изыскания и проектирование;</w:t>
            </w:r>
          </w:p>
          <w:p>
            <w:pPr>
              <w:pStyle w:val="Normal"/>
              <w:widowControl/>
              <w:tabs>
                <w:tab w:val="clear" w:pos="708"/>
                <w:tab w:val="left" w:pos="523" w:leader="none"/>
              </w:tabs>
              <w:spacing w:before="0" w:after="0"/>
              <w:contextualSpacing/>
              <w:jc w:val="both"/>
              <w:rPr>
                <w:sz w:val="24"/>
              </w:rPr>
            </w:pPr>
            <w:r>
              <w:rPr>
                <w:sz w:val="24"/>
              </w:rPr>
              <w:t>4. Приложение №4. Требования к товару, используемому в процессе выполнения работ.</w:t>
            </w:r>
          </w:p>
        </w:tc>
      </w:tr>
    </w:tbl>
    <w:p>
      <w:pPr>
        <w:pStyle w:val="Normal"/>
        <w:widowControl/>
        <w:tabs>
          <w:tab w:val="clear" w:pos="708"/>
          <w:tab w:val="left" w:pos="2400" w:leader="none"/>
        </w:tabs>
        <w:spacing w:lineRule="exact" w:line="300"/>
        <w:jc w:val="both"/>
        <w:rPr>
          <w:sz w:val="24"/>
        </w:rPr>
      </w:pPr>
      <w:r>
        <w:rPr>
          <w:sz w:val="24"/>
        </w:rPr>
      </w:r>
      <w:r>
        <w:br w:type="page"/>
      </w:r>
    </w:p>
    <w:p>
      <w:pPr>
        <w:pStyle w:val="Normal"/>
        <w:widowControl/>
        <w:spacing w:lineRule="auto" w:line="276" w:before="0" w:after="0"/>
        <w:ind w:firstLine="709"/>
        <w:jc w:val="both"/>
        <w:rPr>
          <w:b/>
          <w:sz w:val="24"/>
        </w:rPr>
      </w:pPr>
      <w:r>
        <w:rPr>
          <w:b/>
          <w:sz w:val="28"/>
        </w:rPr>
        <w:t>Раздел 2: требования к выполнению строительно-монтажных работ по объекту</w:t>
      </w:r>
    </w:p>
    <w:p>
      <w:pPr>
        <w:pStyle w:val="Normal"/>
        <w:widowControl/>
        <w:jc w:val="both"/>
        <w:rPr>
          <w:spacing w:val="-6"/>
          <w:sz w:val="24"/>
        </w:rPr>
      </w:pPr>
      <w:r>
        <w:rPr>
          <w:spacing w:val="-6"/>
          <w:sz w:val="24"/>
        </w:rPr>
      </w:r>
    </w:p>
    <w:tbl>
      <w:tblPr>
        <w:tblW w:w="9274" w:type="dxa"/>
        <w:jc w:val="center"/>
        <w:tblInd w:w="0" w:type="dxa"/>
        <w:tblLayout w:type="fixed"/>
        <w:tblCellMar>
          <w:top w:w="0" w:type="dxa"/>
          <w:start w:w="108" w:type="dxa"/>
          <w:bottom w:w="0" w:type="dxa"/>
          <w:end w:w="108" w:type="dxa"/>
        </w:tblCellMar>
        <w:tblLook w:val="04a0" w:noHBand="0" w:noVBand="1" w:firstColumn="1" w:lastRow="0" w:lastColumn="0" w:firstRow="1"/>
      </w:tblPr>
      <w:tblGrid>
        <w:gridCol w:w="702"/>
        <w:gridCol w:w="2554"/>
        <w:gridCol w:w="6018"/>
      </w:tblGrid>
      <w:tr>
        <w:trPr/>
        <w:tc>
          <w:tcPr>
            <w:tcW w:w="702"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 xml:space="preserve">№ </w:t>
            </w:r>
            <w:r>
              <w:rPr>
                <w:b/>
                <w:sz w:val="24"/>
              </w:rPr>
              <w:t>п/п</w:t>
            </w:r>
          </w:p>
        </w:tc>
        <w:tc>
          <w:tcPr>
            <w:tcW w:w="2554"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Перечень основных требований</w:t>
            </w:r>
          </w:p>
        </w:tc>
        <w:tc>
          <w:tcPr>
            <w:tcW w:w="6018" w:type="dxa"/>
            <w:tcBorders>
              <w:top w:val="single" w:sz="4" w:space="0" w:color="000000"/>
              <w:start w:val="single" w:sz="4" w:space="0" w:color="000000"/>
              <w:bottom w:val="single" w:sz="4" w:space="0" w:color="000000"/>
              <w:end w:val="single" w:sz="4" w:space="0" w:color="000000"/>
            </w:tcBorders>
            <w:vAlign w:val="center"/>
          </w:tcPr>
          <w:p>
            <w:pPr>
              <w:pStyle w:val="Normal"/>
              <w:keepLines/>
              <w:widowControl/>
              <w:jc w:val="center"/>
              <w:rPr>
                <w:b/>
                <w:sz w:val="24"/>
              </w:rPr>
            </w:pPr>
            <w:r>
              <w:rPr>
                <w:b/>
                <w:sz w:val="24"/>
              </w:rPr>
              <w:t>Содержание основных требований</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Основание для выполнения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color w:val="auto"/>
                <w:sz w:val="24"/>
                <w:szCs w:val="24"/>
              </w:rPr>
            </w:pPr>
            <w:r>
              <w:rPr>
                <w:color w:val="auto"/>
                <w:sz w:val="24"/>
                <w:szCs w:val="24"/>
              </w:rPr>
              <w:t>Постановление Правительства Пермского края от 03.10.2013 N 1323-п (ред. от 18.12.2024) «Об утверждении государственной программы Пермского края «Развитие транспортной системы»</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2</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Наименование объекта:</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«Устройство недостающего освещения на автомобильных дорогах регионального значения Пермского края»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3</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Месторасположение объекта и характеристика земельного участка:</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tabs>
                <w:tab w:val="clear" w:pos="708"/>
                <w:tab w:val="left" w:pos="207" w:leader="none"/>
              </w:tabs>
              <w:jc w:val="both"/>
              <w:rPr>
                <w:sz w:val="24"/>
              </w:rPr>
            </w:pPr>
            <w:r>
              <w:rPr>
                <w:sz w:val="24"/>
              </w:rPr>
              <w:t xml:space="preserve">Пермский край, участки автомобильных дорог согласно Приложениям №2, №3 к Техническому заданию на </w:t>
            </w:r>
            <w:r>
              <w:rPr>
                <w:rFonts w:eastAsia="Calibri"/>
                <w:color w:val="auto"/>
                <w:sz w:val="24"/>
                <w:szCs w:val="24"/>
                <w:lang w:eastAsia="en-US"/>
              </w:rPr>
              <w:t>выполнение проектно-изыскательских работ</w:t>
            </w:r>
            <w:r>
              <w:rPr>
                <w:sz w:val="24"/>
              </w:rPr>
              <w:t xml:space="preserve"> по объекту: «Устройство недостающего освещения на автомобильных дорогах регионального значения Пермского края».</w:t>
            </w:r>
          </w:p>
          <w:p>
            <w:pPr>
              <w:pStyle w:val="Normal"/>
              <w:keepLines/>
              <w:widowControl/>
              <w:tabs>
                <w:tab w:val="clear" w:pos="708"/>
                <w:tab w:val="left" w:pos="207" w:leader="none"/>
              </w:tabs>
              <w:jc w:val="both"/>
              <w:rPr>
                <w:sz w:val="24"/>
              </w:rPr>
            </w:pPr>
            <w:r>
              <w:rPr>
                <w:sz w:val="24"/>
              </w:rPr>
              <w:t>Земельный участок с кадастровым номером – уточняется на этапе проектно-изыскательских работ</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4</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Государственный Заказчик:</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Краевое государственное бюджетное учреждение «Управление автомобильных дорог и транспорта» Пермского края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5</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Вид строительства</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Устройство недостающего освещения на автомобильных дорогах</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6</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Источник финансирования</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highlight w:val="yellow"/>
              </w:rPr>
            </w:pPr>
            <w:r>
              <w:rPr>
                <w:sz w:val="24"/>
              </w:rPr>
              <w:t>Краевой бюджет</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7</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Обязательства по Договору:</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Выполнение полного комплекса строительно-монтажных и пуско-наладочных работ на основании выполненной проектно-сметной документации стадии «Проект» (П), включая:</w:t>
            </w:r>
          </w:p>
          <w:p>
            <w:pPr>
              <w:pStyle w:val="Normal"/>
              <w:keepLines/>
              <w:widowControl/>
              <w:jc w:val="both"/>
              <w:rPr>
                <w:sz w:val="24"/>
              </w:rPr>
            </w:pPr>
            <w:r>
              <w:rPr>
                <w:sz w:val="24"/>
              </w:rPr>
              <w:t>1. Все необходимые подготовительные работы (временные проезды и площадки, ограждение стройплощадки, ограждение мест производства работ, временные подключения к инженерным сетям);</w:t>
            </w:r>
          </w:p>
          <w:p>
            <w:pPr>
              <w:pStyle w:val="Normal"/>
              <w:keepLines/>
              <w:widowControl/>
              <w:jc w:val="both"/>
              <w:rPr>
                <w:sz w:val="24"/>
              </w:rPr>
            </w:pPr>
            <w:r>
              <w:rPr>
                <w:sz w:val="24"/>
              </w:rPr>
              <w:t>-все необходимые строительно-монтажные работы и пуско-наладочные работы в соответствии с разработанными чертежами проектной документации, согласованной с Государственным Заказчиком и автором проекта;</w:t>
            </w:r>
          </w:p>
          <w:p>
            <w:pPr>
              <w:pStyle w:val="Normal"/>
              <w:keepLines/>
              <w:widowControl/>
              <w:jc w:val="both"/>
              <w:rPr>
                <w:sz w:val="24"/>
              </w:rPr>
            </w:pPr>
            <w:r>
              <w:rPr>
                <w:sz w:val="24"/>
              </w:rPr>
              <w:t>- сети инженерно-технического обеспечения (внутренние и наружные инженерные сети согласно полученным ТУ);</w:t>
            </w:r>
          </w:p>
          <w:p>
            <w:pPr>
              <w:pStyle w:val="Normal"/>
              <w:keepLines/>
              <w:widowControl/>
              <w:jc w:val="both"/>
              <w:rPr>
                <w:sz w:val="24"/>
              </w:rPr>
            </w:pPr>
            <w:r>
              <w:rPr>
                <w:sz w:val="24"/>
              </w:rPr>
              <w:t>- благоустройство территории;</w:t>
            </w:r>
          </w:p>
          <w:p>
            <w:pPr>
              <w:pStyle w:val="Normal"/>
              <w:keepLines/>
              <w:widowControl/>
              <w:jc w:val="both"/>
              <w:rPr>
                <w:sz w:val="24"/>
              </w:rPr>
            </w:pPr>
            <w:r>
              <w:rPr>
                <w:sz w:val="24"/>
              </w:rPr>
              <w:t>- устройство комплексов фото-видео фиксации.</w:t>
            </w:r>
          </w:p>
          <w:p>
            <w:pPr>
              <w:pStyle w:val="Normal"/>
              <w:keepLines/>
              <w:widowControl/>
              <w:jc w:val="both"/>
              <w:rPr>
                <w:sz w:val="24"/>
              </w:rPr>
            </w:pPr>
            <w:r>
              <w:rPr>
                <w:sz w:val="24"/>
              </w:rPr>
              <w:t>2. Иные работы, необходимые для ввода объекта в эксплуатацию.</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8</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Сроки выполнения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color w:val="auto"/>
                <w:sz w:val="24"/>
                <w:szCs w:val="24"/>
              </w:rPr>
            </w:pPr>
            <w:r>
              <w:rPr>
                <w:sz w:val="24"/>
              </w:rPr>
              <w:t xml:space="preserve">Участки автомобильных дорог, входящие в этап, определяются согласно Приложению №2 и №3 к Техническому заданию </w:t>
            </w:r>
            <w:r>
              <w:rPr>
                <w:rFonts w:eastAsia="Calibri"/>
                <w:color w:val="auto"/>
                <w:sz w:val="24"/>
                <w:szCs w:val="24"/>
                <w:lang w:eastAsia="en-US"/>
              </w:rPr>
              <w:t>выполнение проектно-изыскательских работ по объекту:</w:t>
            </w:r>
          </w:p>
          <w:p>
            <w:pPr>
              <w:pStyle w:val="Normal"/>
              <w:keepLines/>
              <w:widowControl/>
              <w:tabs>
                <w:tab w:val="clear" w:pos="708"/>
                <w:tab w:val="left" w:pos="207" w:leader="none"/>
              </w:tabs>
              <w:rPr>
                <w:rFonts w:eastAsia="Calibri"/>
                <w:color w:val="auto"/>
                <w:sz w:val="24"/>
                <w:szCs w:val="24"/>
                <w:lang w:eastAsia="en-US"/>
              </w:rPr>
            </w:pPr>
            <w:r>
              <w:rPr>
                <w:rFonts w:eastAsia="Calibri"/>
                <w:color w:val="auto"/>
                <w:sz w:val="24"/>
                <w:szCs w:val="24"/>
                <w:lang w:eastAsia="en-US"/>
              </w:rPr>
              <w:t>«Устройство недостающего освещения на автомобильных дорогах регионального значения Пермского края».</w:t>
            </w:r>
          </w:p>
          <w:p>
            <w:pPr>
              <w:pStyle w:val="Normal"/>
              <w:keepLines/>
              <w:widowControl/>
              <w:jc w:val="both"/>
              <w:rPr>
                <w:sz w:val="24"/>
              </w:rPr>
            </w:pPr>
            <w:r>
              <w:rPr>
                <w:sz w:val="24"/>
                <w:shd w:fill="FFFFFF" w:val="clear"/>
              </w:rPr>
              <w:t>Продолжительность строительно-монтажных работ 30.05.2026-30.05.2027 – уточняется по результатам разработки проектно-сметной документации</w:t>
            </w:r>
          </w:p>
        </w:tc>
      </w:tr>
      <w:tr>
        <w:trPr>
          <w:trHeight w:val="99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9</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Технико-экономические показатели</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tabs>
                <w:tab w:val="clear" w:pos="708"/>
                <w:tab w:val="left" w:pos="207" w:leader="none"/>
              </w:tabs>
              <w:jc w:val="both"/>
              <w:rPr>
                <w:sz w:val="24"/>
              </w:rPr>
            </w:pPr>
            <w:r>
              <w:rPr>
                <w:sz w:val="24"/>
              </w:rPr>
              <w:t>В соответствии с утвержденной проектной документацией</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10</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Особые условия выполнения строительных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Определяются на основании выполненной проектно-сметной документации стадии «Проект» (П).</w:t>
            </w:r>
          </w:p>
          <w:p>
            <w:pPr>
              <w:pStyle w:val="Normal"/>
              <w:keepLines/>
              <w:widowControl/>
              <w:jc w:val="both"/>
              <w:rPr>
                <w:sz w:val="24"/>
              </w:rPr>
            </w:pPr>
            <w:r>
              <w:rPr>
                <w:sz w:val="24"/>
              </w:rPr>
              <w:t>Объемы работ определены в соответствии с объектом-аналогом «Устройство недостающего электрического освещения и тротуаров на автомобильных дорогах общего пользования регионального или межмуниципального значения Пермского края» 2 этап. Устройство стационарного электрического освещения и тротуаров на автомобильных дорогах: ул. 8 марта, ул. Свободы, Усолье-Сороковая (уч. Усолье -Березовка), «Кунгур-Соликамск» - мост через р. Кама.», по которому получено положительное заключение государственной экспертизы №59-1-1-2- 036676-2022 от 08.06.2025 и завершены строительно-монтажные работы. Выбранный аналог имеет схожие характеристики, в частности, применение металлических опор освещения и светодиодных светильников при однорядном размещении.</w:t>
            </w:r>
          </w:p>
        </w:tc>
      </w:tr>
      <w:tr>
        <w:trPr>
          <w:trHeight w:val="983"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11</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Производство строительно-монтажных работ и пуско-наладочных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sz w:val="24"/>
              </w:rPr>
            </w:pPr>
            <w:r>
              <w:rPr>
                <w:sz w:val="24"/>
              </w:rPr>
              <w:t>Работы производить в строгом соответствии с проектной документацией.</w:t>
            </w:r>
          </w:p>
          <w:p>
            <w:pPr>
              <w:pStyle w:val="Normal"/>
              <w:keepLines/>
              <w:widowControl/>
              <w:jc w:val="both"/>
              <w:rPr>
                <w:sz w:val="24"/>
              </w:rPr>
            </w:pPr>
            <w:r>
              <w:rPr>
                <w:sz w:val="24"/>
              </w:rPr>
              <w:t>Работы должны выполняться в соответствии с проектом организации строительства объекта, требованиями соответствующих разделов проекта, а также строительными, санитарными и другими обязательными для исполнения нормами, с составлением актов освидетельствования скрытых работ, ответственных конструкций.</w:t>
            </w:r>
          </w:p>
          <w:p>
            <w:pPr>
              <w:pStyle w:val="Normal"/>
              <w:keepLines/>
              <w:widowControl/>
              <w:jc w:val="both"/>
              <w:rPr>
                <w:sz w:val="24"/>
              </w:rPr>
            </w:pPr>
            <w:r>
              <w:rPr>
                <w:sz w:val="24"/>
              </w:rPr>
              <w:t>Законченный строительством объект должен соответствовать проектной документации, а также требованиям технических регламентов:</w:t>
            </w:r>
          </w:p>
          <w:p>
            <w:pPr>
              <w:pStyle w:val="Normal"/>
              <w:keepLines/>
              <w:widowControl/>
              <w:jc w:val="both"/>
              <w:rPr>
                <w:sz w:val="24"/>
              </w:rPr>
            </w:pPr>
            <w:r>
              <w:rPr>
                <w:sz w:val="24"/>
              </w:rPr>
              <w:t>-требованиям ТР ТС 014/2011 Технический регламент таможенного союза «Безопасность автомобильных дорог»</w:t>
            </w:r>
          </w:p>
          <w:p>
            <w:pPr>
              <w:pStyle w:val="Normal"/>
              <w:keepLines/>
              <w:widowControl/>
              <w:jc w:val="both"/>
              <w:rPr>
                <w:sz w:val="24"/>
              </w:rPr>
            </w:pPr>
            <w:r>
              <w:rPr>
                <w:sz w:val="24"/>
              </w:rPr>
              <w:t>-требованиям федерального закона от 30.12.2009 г. №384-ФЗ «Технический регламент о безопасности зданий и сооружений»;</w:t>
            </w:r>
          </w:p>
          <w:p>
            <w:pPr>
              <w:pStyle w:val="Normal"/>
              <w:keepLines/>
              <w:widowControl/>
              <w:jc w:val="both"/>
              <w:rPr>
                <w:sz w:val="24"/>
              </w:rPr>
            </w:pPr>
            <w:r>
              <w:rPr>
                <w:sz w:val="24"/>
              </w:rPr>
              <w:t>-иным техническим регламентам;</w:t>
            </w:r>
          </w:p>
          <w:p>
            <w:pPr>
              <w:pStyle w:val="Normal"/>
              <w:keepLines/>
              <w:widowControl/>
              <w:jc w:val="both"/>
              <w:rPr>
                <w:sz w:val="24"/>
              </w:rPr>
            </w:pPr>
            <w:r>
              <w:rPr>
                <w:sz w:val="24"/>
              </w:rPr>
              <w:t>-обязательным требованиям в области охраны окружающей среды;</w:t>
            </w:r>
          </w:p>
          <w:p>
            <w:pPr>
              <w:pStyle w:val="Normal"/>
              <w:keepLines/>
              <w:widowControl/>
              <w:jc w:val="both"/>
              <w:rPr>
                <w:sz w:val="24"/>
              </w:rPr>
            </w:pPr>
            <w:r>
              <w:rPr>
                <w:sz w:val="24"/>
              </w:rPr>
              <w:t>-требованиям энергетической эффективности и оснащенности объекта приборами учета используемых энергетических ресурсов.</w:t>
            </w:r>
          </w:p>
          <w:p>
            <w:pPr>
              <w:pStyle w:val="Normal"/>
              <w:keepLines/>
              <w:widowControl/>
              <w:numPr>
                <w:ilvl w:val="0"/>
                <w:numId w:val="0"/>
              </w:numPr>
              <w:tabs>
                <w:tab w:val="clear" w:pos="708"/>
                <w:tab w:val="left" w:pos="576" w:leader="none"/>
              </w:tabs>
              <w:jc w:val="both"/>
              <w:outlineLvl w:val="1"/>
              <w:rPr>
                <w:sz w:val="24"/>
              </w:rPr>
            </w:pPr>
            <w:r>
              <w:rPr>
                <w:sz w:val="24"/>
              </w:rPr>
              <w:t>Вынос границ объекта осей в натуру осуществляется организациями, имеющими допуске к работам. Работы по выносу осей оформляются актом. Оси объекта, при переносе их в натуру закрепляются специальными знаками, геодезические работы в строительстве должны выполняться в соответствии с требованиями СП 126.13330.2017«Геодезические работы в строительстве» по ППГР, разработанному специализированной организацией.</w:t>
            </w:r>
          </w:p>
          <w:p>
            <w:pPr>
              <w:pStyle w:val="Normal"/>
              <w:keepLines/>
              <w:widowControl/>
              <w:numPr>
                <w:ilvl w:val="0"/>
                <w:numId w:val="0"/>
              </w:numPr>
              <w:tabs>
                <w:tab w:val="clear" w:pos="708"/>
                <w:tab w:val="left" w:pos="576" w:leader="none"/>
              </w:tabs>
              <w:jc w:val="both"/>
              <w:outlineLvl w:val="1"/>
              <w:rPr>
                <w:sz w:val="24"/>
              </w:rPr>
            </w:pPr>
            <w:r>
              <w:rPr>
                <w:sz w:val="24"/>
              </w:rPr>
              <w:t>Все работы на объекте производить в соответствии с:</w:t>
            </w:r>
          </w:p>
          <w:p>
            <w:pPr>
              <w:pStyle w:val="Normal"/>
              <w:keepLines/>
              <w:widowControl/>
              <w:tabs>
                <w:tab w:val="clear" w:pos="708"/>
                <w:tab w:val="left" w:pos="6597" w:leader="none"/>
              </w:tabs>
              <w:jc w:val="both"/>
              <w:rPr>
                <w:sz w:val="24"/>
              </w:rPr>
            </w:pPr>
            <w:r>
              <w:rPr>
                <w:sz w:val="24"/>
              </w:rPr>
              <w:t>- СНиП 12-03-2001 «Безопасность труда в строительстве», часть 1;</w:t>
            </w:r>
          </w:p>
          <w:p>
            <w:pPr>
              <w:pStyle w:val="Normal"/>
              <w:keepLines/>
              <w:widowControl/>
              <w:tabs>
                <w:tab w:val="clear" w:pos="708"/>
                <w:tab w:val="left" w:pos="6597" w:leader="none"/>
              </w:tabs>
              <w:jc w:val="both"/>
              <w:rPr>
                <w:sz w:val="24"/>
              </w:rPr>
            </w:pPr>
            <w:r>
              <w:rPr>
                <w:sz w:val="24"/>
              </w:rPr>
              <w:t>- СНиП 12-04-2002 «Безопасность труда в строительстве», часть 2;</w:t>
            </w:r>
          </w:p>
          <w:p>
            <w:pPr>
              <w:pStyle w:val="Normal"/>
              <w:keepLines/>
              <w:widowControl/>
              <w:tabs>
                <w:tab w:val="clear" w:pos="708"/>
                <w:tab w:val="left" w:pos="6597" w:leader="none"/>
              </w:tabs>
              <w:jc w:val="both"/>
              <w:rPr>
                <w:sz w:val="24"/>
              </w:rPr>
            </w:pPr>
            <w:r>
              <w:rPr>
                <w:sz w:val="24"/>
              </w:rPr>
              <w:t>- СП 45.13330.2017 «Земляные сооружения, основания и фундаменты»;</w:t>
            </w:r>
          </w:p>
          <w:p>
            <w:pPr>
              <w:pStyle w:val="Normal"/>
              <w:keepLines/>
              <w:widowControl/>
              <w:tabs>
                <w:tab w:val="clear" w:pos="708"/>
                <w:tab w:val="left" w:pos="6597" w:leader="none"/>
              </w:tabs>
              <w:jc w:val="both"/>
              <w:rPr>
                <w:sz w:val="24"/>
              </w:rPr>
            </w:pPr>
            <w:r>
              <w:rPr>
                <w:sz w:val="24"/>
              </w:rPr>
              <w:t>- СП 70.13330.2012 «Несущие и ограждающие конструкции»;</w:t>
            </w:r>
          </w:p>
          <w:p>
            <w:pPr>
              <w:pStyle w:val="Normal"/>
              <w:keepLines/>
              <w:widowControl/>
              <w:tabs>
                <w:tab w:val="clear" w:pos="708"/>
                <w:tab w:val="left" w:pos="6597" w:leader="none"/>
              </w:tabs>
              <w:jc w:val="both"/>
              <w:rPr>
                <w:sz w:val="24"/>
                <w:highlight w:val="white"/>
              </w:rPr>
            </w:pPr>
            <w:r>
              <w:rPr>
                <w:sz w:val="24"/>
                <w:highlight w:val="white"/>
              </w:rPr>
              <w:t>- СП 48.13330.2019 «Организация строительства»;</w:t>
            </w:r>
          </w:p>
          <w:p>
            <w:pPr>
              <w:pStyle w:val="Normal"/>
              <w:keepLines/>
              <w:widowControl/>
              <w:tabs>
                <w:tab w:val="clear" w:pos="708"/>
                <w:tab w:val="left" w:pos="6597" w:leader="none"/>
              </w:tabs>
              <w:jc w:val="both"/>
              <w:rPr>
                <w:sz w:val="24"/>
                <w:highlight w:val="white"/>
              </w:rPr>
            </w:pPr>
            <w:r>
              <w:rPr>
                <w:sz w:val="24"/>
                <w:highlight w:val="white"/>
              </w:rPr>
              <w:t>- СП 52.13330.2016 «Естественное и искусственное освещение»;</w:t>
            </w:r>
          </w:p>
          <w:p>
            <w:pPr>
              <w:pStyle w:val="Normal"/>
              <w:keepLines/>
              <w:widowControl/>
              <w:tabs>
                <w:tab w:val="clear" w:pos="708"/>
                <w:tab w:val="left" w:pos="6597" w:leader="none"/>
              </w:tabs>
              <w:jc w:val="both"/>
              <w:rPr>
                <w:sz w:val="24"/>
                <w:highlight w:val="white"/>
              </w:rPr>
            </w:pPr>
            <w:r>
              <w:rPr>
                <w:sz w:val="24"/>
                <w:highlight w:val="white"/>
              </w:rPr>
              <w:t>- ГОСТ Р 55706-2023 «Освещение наружное утилитарное. Классификация и нормы»;</w:t>
            </w:r>
          </w:p>
          <w:p>
            <w:pPr>
              <w:pStyle w:val="Normal"/>
              <w:keepLines/>
              <w:widowControl/>
              <w:tabs>
                <w:tab w:val="clear" w:pos="708"/>
                <w:tab w:val="left" w:pos="6597" w:leader="none"/>
              </w:tabs>
              <w:jc w:val="both"/>
              <w:rPr>
                <w:sz w:val="24"/>
                <w:highlight w:val="white"/>
              </w:rPr>
            </w:pPr>
            <w:r>
              <w:rPr>
                <w:sz w:val="24"/>
                <w:highlight w:val="white"/>
              </w:rPr>
              <w:t>- ГОСТ Р 52766-2007 «Дороги автомобильные общего пользования. Элементы обустройства. Общие требования»;</w:t>
            </w:r>
          </w:p>
          <w:p>
            <w:pPr>
              <w:pStyle w:val="Normal"/>
              <w:keepLines/>
              <w:widowControl/>
              <w:tabs>
                <w:tab w:val="clear" w:pos="708"/>
                <w:tab w:val="left" w:pos="6597" w:leader="none"/>
              </w:tabs>
              <w:jc w:val="both"/>
              <w:rPr>
                <w:sz w:val="24"/>
                <w:highlight w:val="white"/>
              </w:rPr>
            </w:pPr>
            <w:r>
              <w:rPr>
                <w:sz w:val="24"/>
                <w:highlight w:val="white"/>
              </w:rPr>
              <w:t>- ГОСТ Р 57144-2016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Общие технические требования»;</w:t>
            </w:r>
          </w:p>
          <w:p>
            <w:pPr>
              <w:pStyle w:val="Normal"/>
              <w:keepLines/>
              <w:widowControl/>
              <w:tabs>
                <w:tab w:val="clear" w:pos="708"/>
                <w:tab w:val="left" w:pos="6597" w:leader="none"/>
              </w:tabs>
              <w:jc w:val="both"/>
              <w:rPr>
                <w:sz w:val="24"/>
              </w:rPr>
            </w:pPr>
            <w:r>
              <w:rPr>
                <w:sz w:val="24"/>
                <w:highlight w:val="white"/>
              </w:rPr>
              <w:t>- ГОСТ Р 57145-2016 «Специальные технические средства, работающие в автоматическом режиме и имеющие функции фото- и киносъемки, видеозаписи, для обеспечения контроля за дорожным движением. Правила применения».</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12</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Требования к качеству материалов и оборудования применяемых при производстве строительно-монтажных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rPr>
            </w:pPr>
            <w:r>
              <w:rPr>
                <w:sz w:val="24"/>
              </w:rPr>
              <w:t>При выполнении работ необходимо применять современные строительные материалы и другие установочные изделия.</w:t>
            </w:r>
          </w:p>
          <w:p>
            <w:pPr>
              <w:pStyle w:val="Normal"/>
              <w:keepLines/>
              <w:widowControl/>
              <w:ind w:firstLine="493"/>
              <w:jc w:val="both"/>
              <w:rPr>
                <w:sz w:val="24"/>
              </w:rPr>
            </w:pPr>
            <w:r>
              <w:rPr>
                <w:sz w:val="24"/>
              </w:rPr>
              <w:t>Все применяемые материалы должны быть новыми, не бывшими в эксплуатации, не восстановленными, соответствовать ГОСТам и нормативным документам.</w:t>
            </w:r>
          </w:p>
          <w:p>
            <w:pPr>
              <w:pStyle w:val="Normal"/>
              <w:keepLines/>
              <w:widowControl/>
              <w:ind w:firstLine="493"/>
              <w:jc w:val="both"/>
              <w:rPr>
                <w:sz w:val="24"/>
              </w:rPr>
            </w:pPr>
            <w:r>
              <w:rPr>
                <w:sz w:val="24"/>
              </w:rPr>
              <w:t>Все используемые для проведения работ материалы и оборудование должны иметь соответствующие сертификаты качества, пожарные сертификаты, технические паспорта и другие документы, удостоверяющие их качество.</w:t>
            </w:r>
          </w:p>
          <w:p>
            <w:pPr>
              <w:pStyle w:val="Normal"/>
              <w:keepLines/>
              <w:widowControl/>
              <w:ind w:firstLine="493"/>
              <w:jc w:val="both"/>
              <w:rPr>
                <w:sz w:val="24"/>
              </w:rPr>
            </w:pPr>
            <w:r>
              <w:rPr>
                <w:sz w:val="24"/>
              </w:rPr>
              <w:t>Подрядчик несет ответственность за ненадлежащее качество предоставленных им материалов и оборудования.</w:t>
            </w:r>
          </w:p>
          <w:p>
            <w:pPr>
              <w:pStyle w:val="Normal"/>
              <w:keepLines/>
              <w:widowControl/>
              <w:ind w:firstLine="493"/>
              <w:jc w:val="both"/>
              <w:rPr>
                <w:sz w:val="24"/>
              </w:rPr>
            </w:pPr>
            <w:r>
              <w:rPr>
                <w:sz w:val="24"/>
              </w:rPr>
              <w:t>Все необходимые для производства работ материалы включены в стоимость выполнения работ и предоставляются Подрядчиком.</w:t>
            </w:r>
          </w:p>
          <w:p>
            <w:pPr>
              <w:pStyle w:val="Normal"/>
              <w:keepLines/>
              <w:widowControl/>
              <w:ind w:firstLine="493"/>
              <w:jc w:val="both"/>
              <w:rPr>
                <w:sz w:val="24"/>
              </w:rPr>
            </w:pPr>
            <w:r>
              <w:rPr>
                <w:sz w:val="24"/>
              </w:rPr>
              <w:t>Указанные в проектно-сметной документации и (или) приложениях к ней товарный знак (его словесное обозначение) (при наличии), знак обслуживания (при наличии), фирменное наименование (при наличии), патент (при наличии), полезная модель (при наличии), промышленный образец (при наличии), наименование страны происхождения товара читать в сочетании со словами «или эквивалент».</w:t>
            </w:r>
          </w:p>
        </w:tc>
      </w:tr>
      <w:tr>
        <w:trPr>
          <w:trHeight w:val="40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13</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Исполнительная документация:</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highlight w:val="white"/>
              </w:rPr>
            </w:pPr>
            <w:r>
              <w:rPr>
                <w:sz w:val="24"/>
                <w:highlight w:val="white"/>
              </w:rPr>
              <w:t>Подрядчик несет полную ответственность за оформление и ведение исполнительной документации, включая журналы общего и специального журнала учёта выполнения работ в строительстве.</w:t>
            </w:r>
          </w:p>
          <w:p>
            <w:pPr>
              <w:pStyle w:val="Normal"/>
              <w:widowControl/>
              <w:ind w:firstLine="30"/>
              <w:jc w:val="both"/>
              <w:rPr>
                <w:sz w:val="24"/>
                <w:highlight w:val="white"/>
              </w:rPr>
            </w:pPr>
            <w:r>
              <w:rPr>
                <w:sz w:val="24"/>
                <w:highlight w:val="white"/>
              </w:rPr>
              <w:t>Акт освидетельствования скрытых работ должен составляться на завершенный процесс, выполненный самостоятельным подразделением исполнителей в соответствии с СП</w:t>
            </w:r>
            <w:r>
              <w:rPr>
                <w:sz w:val="24"/>
              </w:rPr>
              <w:t xml:space="preserve"> 78.13330.2012 Свод правил.  Автомобильные дороги. Актуализированная редакция. СНиП 3.06.03-85, СП 35.13330.2011 Свод правил Мосты и трубы. Актуализированная редакция СНиП 2.05.03-84*, СП 126.13330.2017 Свод правил.  Геодезические работы в строительстве. Актуализированная редакция СНиП 3.01.03-84, СП 72.13330.2016 Защита строительных конструкций и сооружений от коррозии. Актуализированная редакция.  СНиП 3.04.03-85, СП 52.13330.2016 Свод правил. Естественное и искусственное освещение. Актуализированная редакция СНиП 23-05-95*, </w:t>
            </w:r>
            <w:r>
              <w:rPr>
                <w:sz w:val="24"/>
                <w:highlight w:val="white"/>
              </w:rPr>
              <w:t>СП-104-34-96 «Производство земляных работ»; «Бетонные и железобетонные конструкции. Основные положения СП 63.13330.2018; ГОСТ 10180-2012 «Бетоны. Методы определения прочности по контрольным образцам».</w:t>
            </w:r>
          </w:p>
          <w:p>
            <w:pPr>
              <w:pStyle w:val="Normal"/>
              <w:keepLines/>
              <w:widowControl/>
              <w:ind w:firstLine="493"/>
              <w:jc w:val="both"/>
              <w:rPr>
                <w:sz w:val="24"/>
                <w:highlight w:val="white"/>
              </w:rPr>
            </w:pPr>
            <w:r>
              <w:rPr>
                <w:sz w:val="24"/>
                <w:highlight w:val="white"/>
              </w:rPr>
              <w:t>Освидетельствование скрытых работ и составление акта в случаях, когда последующие работы должны начинаться после перерыва, производить непосредственно перед производством последующих работ.</w:t>
            </w:r>
          </w:p>
          <w:p>
            <w:pPr>
              <w:pStyle w:val="Normal"/>
              <w:keepLines/>
              <w:widowControl/>
              <w:ind w:firstLine="493"/>
              <w:jc w:val="both"/>
              <w:rPr>
                <w:sz w:val="24"/>
                <w:highlight w:val="white"/>
              </w:rPr>
            </w:pPr>
            <w:r>
              <w:rPr>
                <w:sz w:val="24"/>
                <w:highlight w:val="white"/>
              </w:rPr>
              <w:t>Запрещается выполнение последующих работ при отсутствии актов освидетельствования предшествующих скрытых работ во всех случаях.</w:t>
            </w:r>
          </w:p>
          <w:p>
            <w:pPr>
              <w:pStyle w:val="Normal"/>
              <w:keepLines/>
              <w:widowControl/>
              <w:ind w:firstLine="493"/>
              <w:jc w:val="both"/>
              <w:rPr>
                <w:sz w:val="24"/>
              </w:rPr>
            </w:pPr>
            <w:r>
              <w:rPr>
                <w:sz w:val="24"/>
                <w:highlight w:val="white"/>
              </w:rPr>
              <w:t>Дополнительно для подтверждения выполненных скрытых работ Подрядчик обязан предоставить фото-видео фиксацию.</w:t>
            </w:r>
          </w:p>
        </w:tc>
      </w:tr>
      <w:tr>
        <w:trPr>
          <w:trHeight w:val="40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keepLines/>
              <w:widowControl/>
              <w:jc w:val="center"/>
              <w:rPr>
                <w:b/>
                <w:sz w:val="24"/>
              </w:rPr>
            </w:pPr>
            <w:r>
              <w:rPr>
                <w:b/>
                <w:sz w:val="24"/>
              </w:rPr>
              <w:t>14</w:t>
            </w:r>
          </w:p>
        </w:tc>
        <w:tc>
          <w:tcPr>
            <w:tcW w:w="2554" w:type="dxa"/>
            <w:tcBorders>
              <w:top w:val="single" w:sz="4" w:space="0" w:color="000000"/>
              <w:start w:val="single" w:sz="4" w:space="0" w:color="000000"/>
              <w:bottom w:val="single" w:sz="4" w:space="0" w:color="000000"/>
              <w:end w:val="single" w:sz="4" w:space="0" w:color="000000"/>
            </w:tcBorders>
          </w:tcPr>
          <w:p>
            <w:pPr>
              <w:pStyle w:val="Normal"/>
              <w:keepLines/>
              <w:widowControl/>
              <w:jc w:val="both"/>
              <w:rPr>
                <w:b/>
                <w:sz w:val="24"/>
              </w:rPr>
            </w:pPr>
            <w:r>
              <w:rPr>
                <w:b/>
                <w:sz w:val="24"/>
              </w:rPr>
              <w:t>Порядок контроля и приемки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keepLines/>
              <w:widowControl/>
              <w:ind w:firstLine="493"/>
              <w:jc w:val="both"/>
              <w:rPr>
                <w:sz w:val="24"/>
                <w:highlight w:val="white"/>
              </w:rPr>
            </w:pPr>
            <w:r>
              <w:rPr>
                <w:sz w:val="24"/>
                <w:highlight w:val="white"/>
              </w:rPr>
              <w:t>Заказчик назначает своего представителя для обеспечения выполнения строительного контроля в процессе строительно-монтажных работ, который осуществляется в целях:</w:t>
            </w:r>
          </w:p>
          <w:p>
            <w:pPr>
              <w:pStyle w:val="Normal"/>
              <w:keepLines/>
              <w:widowControl/>
              <w:jc w:val="both"/>
              <w:rPr>
                <w:sz w:val="24"/>
                <w:highlight w:val="white"/>
              </w:rPr>
            </w:pPr>
            <w:r>
              <w:rPr>
                <w:sz w:val="24"/>
                <w:highlight w:val="white"/>
              </w:rPr>
              <w:t>-обеспечения выполнения всех видов работ в полном соответствии проектной, нормативно-технической документации;</w:t>
            </w:r>
          </w:p>
          <w:p>
            <w:pPr>
              <w:pStyle w:val="Normal"/>
              <w:keepLines/>
              <w:widowControl/>
              <w:jc w:val="both"/>
              <w:rPr>
                <w:sz w:val="24"/>
                <w:highlight w:val="white"/>
              </w:rPr>
            </w:pPr>
            <w:r>
              <w:rPr>
                <w:sz w:val="24"/>
                <w:highlight w:val="white"/>
              </w:rPr>
              <w:t>-обеспечения соответствия применяемых материалов и изделий требованиям проекта, технических условий, стандартов и других нормативных документов;</w:t>
            </w:r>
          </w:p>
          <w:p>
            <w:pPr>
              <w:pStyle w:val="Normal"/>
              <w:keepLines/>
              <w:widowControl/>
              <w:jc w:val="both"/>
              <w:rPr>
                <w:sz w:val="24"/>
                <w:highlight w:val="white"/>
              </w:rPr>
            </w:pPr>
            <w:r>
              <w:rPr>
                <w:sz w:val="24"/>
                <w:highlight w:val="white"/>
              </w:rPr>
              <w:t>-проверки соответствия объемов выполненных работ по отдельным видам, а также по законченным строительством объектам требованиям проектной и исполнительной документации;</w:t>
            </w:r>
          </w:p>
          <w:p>
            <w:pPr>
              <w:pStyle w:val="Normal"/>
              <w:keepLines/>
              <w:widowControl/>
              <w:jc w:val="both"/>
              <w:rPr>
                <w:sz w:val="24"/>
                <w:highlight w:val="white"/>
              </w:rPr>
            </w:pPr>
            <w:r>
              <w:rPr>
                <w:sz w:val="24"/>
                <w:highlight w:val="white"/>
              </w:rPr>
              <w:t>-своевременного производства промежуточной приемки, освидетельствования скрытых работ и ведения исполнительной производственно-технической документации по ним в соответствии с установленными требованиями.</w:t>
            </w:r>
          </w:p>
          <w:p>
            <w:pPr>
              <w:pStyle w:val="Normal"/>
              <w:keepLines/>
              <w:widowControl/>
              <w:ind w:firstLine="493"/>
              <w:jc w:val="both"/>
              <w:rPr>
                <w:sz w:val="24"/>
                <w:highlight w:val="white"/>
              </w:rPr>
            </w:pPr>
            <w:r>
              <w:rPr>
                <w:sz w:val="24"/>
                <w:highlight w:val="white"/>
              </w:rPr>
              <w:t>Выполненные работы оцениваются в целях выявления соответствия показателей качества работ, элементов и узлов требованиям проекта и установленных нормативными документами допусков к этим видам работ, элементам и узлам.</w:t>
            </w:r>
          </w:p>
          <w:p>
            <w:pPr>
              <w:pStyle w:val="Normal"/>
              <w:keepLines/>
              <w:widowControl/>
              <w:ind w:firstLine="493"/>
              <w:jc w:val="both"/>
              <w:rPr>
                <w:sz w:val="24"/>
                <w:highlight w:val="white"/>
              </w:rPr>
            </w:pPr>
            <w:r>
              <w:rPr>
                <w:sz w:val="24"/>
                <w:highlight w:val="white"/>
              </w:rPr>
              <w:t>В случае несоответствия выполненных работ утвержденным проектным решениям и требованиям нормативных документов указанные работы должны быть переделаны Подрядчиком.</w:t>
            </w:r>
          </w:p>
          <w:p>
            <w:pPr>
              <w:pStyle w:val="Normal"/>
              <w:keepLines/>
              <w:widowControl/>
              <w:ind w:firstLine="493"/>
              <w:jc w:val="both"/>
              <w:rPr>
                <w:sz w:val="24"/>
                <w:highlight w:val="white"/>
              </w:rPr>
            </w:pPr>
            <w:r>
              <w:rPr>
                <w:sz w:val="24"/>
                <w:highlight w:val="white"/>
              </w:rPr>
              <w:t>Подобные недостатки вскрываются работниками строительного контроля или других контролирующих органов в процессе работы, то Заказчик выдает Подрядчику обязательные к исполнению письменные распоряжения о приостановке работ до устранения недостатков. Осуществление строительного контроля не снимает ответственности за качество выполненных работ с лиц, руководящих работами.</w:t>
            </w:r>
          </w:p>
          <w:p>
            <w:pPr>
              <w:pStyle w:val="Normal"/>
              <w:keepLines/>
              <w:widowControl/>
              <w:ind w:firstLine="493"/>
              <w:jc w:val="both"/>
              <w:rPr>
                <w:sz w:val="24"/>
                <w:highlight w:val="white"/>
              </w:rPr>
            </w:pPr>
            <w:r>
              <w:rPr>
                <w:sz w:val="24"/>
                <w:highlight w:val="white"/>
              </w:rPr>
              <w:t xml:space="preserve">Подрядчик обязан своевременно составлять исполнительную производственно-техническую документацию, отражающую весь процесс строительства, оформленную в соответствии с нормативными документами. </w:t>
            </w:r>
          </w:p>
          <w:p>
            <w:pPr>
              <w:pStyle w:val="Normal"/>
              <w:keepLines/>
              <w:widowControl/>
              <w:tabs>
                <w:tab w:val="clear" w:pos="708"/>
                <w:tab w:val="left" w:pos="604" w:leader="none"/>
              </w:tabs>
              <w:ind w:firstLine="493"/>
              <w:jc w:val="both"/>
              <w:rPr>
                <w:sz w:val="24"/>
                <w:highlight w:val="white"/>
              </w:rPr>
            </w:pPr>
            <w:r>
              <w:rPr>
                <w:sz w:val="24"/>
                <w:highlight w:val="white"/>
              </w:rPr>
              <w:t>Исполнительная документация, составляемая в процессе выполнения и сдачи работ, включает: исполнительные чертежи, общие журналы работ, акты освидетельствования скрытых работ и промежуточной приемки, журналы лабораторного контроля, акты испытаний строительных материалов и контрольных образцов, паспорта и сертификаты на применяемые материалы и изделия и другие документы.</w:t>
            </w:r>
          </w:p>
          <w:p>
            <w:pPr>
              <w:pStyle w:val="Normal"/>
              <w:keepLines/>
              <w:widowControl/>
              <w:tabs>
                <w:tab w:val="clear" w:pos="708"/>
                <w:tab w:val="left" w:pos="664" w:leader="none"/>
              </w:tabs>
              <w:ind w:firstLine="493"/>
              <w:jc w:val="both"/>
              <w:rPr>
                <w:sz w:val="24"/>
                <w:highlight w:val="white"/>
              </w:rPr>
            </w:pPr>
            <w:r>
              <w:rPr>
                <w:sz w:val="24"/>
                <w:highlight w:val="white"/>
              </w:rPr>
              <w:t>Общие требования к ведению исполнительной документации:</w:t>
            </w:r>
          </w:p>
          <w:p>
            <w:pPr>
              <w:pStyle w:val="Normal"/>
              <w:keepLines/>
              <w:widowControl/>
              <w:ind w:firstLine="210"/>
              <w:jc w:val="both"/>
              <w:rPr>
                <w:sz w:val="24"/>
                <w:highlight w:val="white"/>
              </w:rPr>
            </w:pPr>
            <w:r>
              <w:rPr>
                <w:sz w:val="24"/>
                <w:highlight w:val="white"/>
              </w:rPr>
              <w:t>-четкость построения и логическая последовательность изложения материала;</w:t>
            </w:r>
          </w:p>
          <w:p>
            <w:pPr>
              <w:pStyle w:val="Normal"/>
              <w:keepLines/>
              <w:widowControl/>
              <w:ind w:firstLine="210"/>
              <w:jc w:val="both"/>
              <w:rPr>
                <w:sz w:val="24"/>
                <w:highlight w:val="white"/>
              </w:rPr>
            </w:pPr>
            <w:r>
              <w:rPr>
                <w:sz w:val="24"/>
                <w:highlight w:val="white"/>
              </w:rPr>
              <w:t>-краткость и точность формулировок, исключающие возможность субъективного и неоднозначного толкования;</w:t>
            </w:r>
          </w:p>
          <w:p>
            <w:pPr>
              <w:pStyle w:val="Normal"/>
              <w:keepLines/>
              <w:widowControl/>
              <w:ind w:firstLine="210"/>
              <w:jc w:val="both"/>
              <w:rPr>
                <w:sz w:val="24"/>
                <w:highlight w:val="white"/>
              </w:rPr>
            </w:pPr>
            <w:r>
              <w:rPr>
                <w:sz w:val="24"/>
                <w:highlight w:val="white"/>
              </w:rPr>
              <w:t>-конкретность изложения результатов работы;</w:t>
            </w:r>
          </w:p>
          <w:p>
            <w:pPr>
              <w:pStyle w:val="Normal"/>
              <w:keepLines/>
              <w:widowControl/>
              <w:ind w:firstLine="210"/>
              <w:jc w:val="both"/>
              <w:rPr>
                <w:sz w:val="24"/>
                <w:highlight w:val="white"/>
              </w:rPr>
            </w:pPr>
            <w:r>
              <w:rPr>
                <w:sz w:val="24"/>
                <w:highlight w:val="white"/>
              </w:rPr>
              <w:t>-полное соблюдение и выполнение указаний порядка ведения исполнительной производственно-технической документации.</w:t>
            </w:r>
          </w:p>
          <w:p>
            <w:pPr>
              <w:pStyle w:val="Normal"/>
              <w:keepLines/>
              <w:widowControl/>
              <w:ind w:firstLine="493"/>
              <w:jc w:val="both"/>
              <w:rPr>
                <w:sz w:val="24"/>
                <w:highlight w:val="white"/>
              </w:rPr>
            </w:pPr>
            <w:r>
              <w:rPr>
                <w:sz w:val="24"/>
                <w:highlight w:val="white"/>
              </w:rPr>
              <w:t>Приемка выполненных работ проводится комиссией назначаемой Заказчиком, по результатам работы комиссии составляется акт приемки.</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15</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Требования к охране труда при проведении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При производстве строительно-монтажных работ должны выполняться правила техники безопасности и производственной санитарии, организации охраны труда, предусмотренные СНиП 12-03-2001 «Безопасность труда в строительстве. Часть 1 Общие данные» и СНиП 12-04-2002 «Безопасность труда в строительстве. Часть 2 Строительное производство», приказом Минтруда России №883н от 11 декабря 2020. «Об утверждении Правил по охране труда при строительстве, реконструкции и ремонте».</w:t>
            </w:r>
          </w:p>
          <w:p>
            <w:pPr>
              <w:pStyle w:val="Normal"/>
              <w:widowControl/>
              <w:ind w:firstLine="493"/>
              <w:jc w:val="both"/>
              <w:rPr>
                <w:sz w:val="24"/>
              </w:rPr>
            </w:pPr>
            <w:r>
              <w:rPr>
                <w:sz w:val="24"/>
              </w:rPr>
              <w:t>Проходы, подъезды, погрузо-разгрузочные площадки необходимо очищать от мусора, строительных отходов и не загромождать.</w:t>
            </w:r>
          </w:p>
          <w:p>
            <w:pPr>
              <w:pStyle w:val="Normal"/>
              <w:widowControl/>
              <w:ind w:firstLine="493"/>
              <w:jc w:val="both"/>
              <w:rPr>
                <w:sz w:val="24"/>
              </w:rPr>
            </w:pPr>
            <w:r>
              <w:rPr>
                <w:sz w:val="24"/>
              </w:rPr>
              <w:t>При производстве строительно-монтажных работ рабочие места должны быть оборудованы приспособлениями, обеспечивающими безопасность производства работ.</w:t>
            </w:r>
          </w:p>
        </w:tc>
      </w:tr>
      <w:tr>
        <w:trPr>
          <w:trHeight w:val="126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16</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Дополнительные требования к организации работ, оформление и получение разрешительной документации:</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В рамках цены Договора на Подрядчика возлагается выполнение также следующих обязанностей:</w:t>
            </w:r>
          </w:p>
          <w:p>
            <w:pPr>
              <w:pStyle w:val="Normal"/>
              <w:widowControl/>
              <w:jc w:val="both"/>
              <w:rPr>
                <w:sz w:val="24"/>
              </w:rPr>
            </w:pPr>
            <w:r>
              <w:rPr>
                <w:sz w:val="24"/>
              </w:rPr>
              <w:t>-подрядчик обязан до начала строительно-монтажных работ подготовительного и основного периода согласовать с Заказчиком схему организацию организации дорожного движения на период выполнения работ;</w:t>
            </w:r>
          </w:p>
          <w:p>
            <w:pPr>
              <w:pStyle w:val="Normal"/>
              <w:widowControl/>
              <w:jc w:val="both"/>
              <w:rPr>
                <w:sz w:val="24"/>
              </w:rPr>
            </w:pPr>
            <w:r>
              <w:rPr>
                <w:sz w:val="24"/>
              </w:rPr>
              <w:t>- подрядчик обязан до начала строительно-монтажных установить временные дорожные знаки и средства организации дорожного движения в соответствии с согласованными схемами ОДД в счёт накладных расходов;</w:t>
            </w:r>
          </w:p>
          <w:p>
            <w:pPr>
              <w:pStyle w:val="Normal"/>
              <w:widowControl/>
              <w:jc w:val="both"/>
              <w:rPr>
                <w:sz w:val="24"/>
              </w:rPr>
            </w:pPr>
            <w:r>
              <w:rPr>
                <w:sz w:val="24"/>
              </w:rPr>
              <w:t>- подрядчик от своего имени и за свой счет заключает договоры с сетевыми организациями по организации временного водо-, тепло-, электро-снабжения стройплощадки и водоотведения;</w:t>
            </w:r>
          </w:p>
          <w:p>
            <w:pPr>
              <w:pStyle w:val="Normal"/>
              <w:widowControl/>
              <w:jc w:val="both"/>
              <w:rPr>
                <w:sz w:val="24"/>
                <w:highlight w:val="white"/>
              </w:rPr>
            </w:pPr>
            <w:r>
              <w:rPr>
                <w:sz w:val="24"/>
                <w:highlight w:val="white"/>
              </w:rPr>
              <w:t>-вынос на строительную площадку геодезической разбивочной основы;</w:t>
            </w:r>
          </w:p>
          <w:p>
            <w:pPr>
              <w:pStyle w:val="Normal"/>
              <w:widowControl/>
              <w:jc w:val="both"/>
              <w:rPr>
                <w:sz w:val="24"/>
              </w:rPr>
            </w:pPr>
            <w:r>
              <w:rPr>
                <w:sz w:val="24"/>
                <w:highlight w:val="white"/>
              </w:rPr>
              <w:t>-согласование условий и п</w:t>
            </w:r>
            <w:r>
              <w:rPr>
                <w:sz w:val="24"/>
              </w:rPr>
              <w:t>олучение разрешений на производство земляных работ;</w:t>
            </w:r>
          </w:p>
          <w:p>
            <w:pPr>
              <w:pStyle w:val="Normal"/>
              <w:widowControl/>
              <w:jc w:val="both"/>
              <w:rPr>
                <w:sz w:val="24"/>
              </w:rPr>
            </w:pPr>
            <w:r>
              <w:rPr>
                <w:sz w:val="24"/>
              </w:rPr>
              <w:t>-получение справок о выполнении технических условий;</w:t>
            </w:r>
          </w:p>
          <w:p>
            <w:pPr>
              <w:pStyle w:val="Normal"/>
              <w:widowControl/>
              <w:jc w:val="both"/>
              <w:rPr>
                <w:sz w:val="24"/>
              </w:rPr>
            </w:pPr>
            <w:r>
              <w:rPr>
                <w:sz w:val="24"/>
              </w:rPr>
              <w:t>-подрядчик обязан выполнять геодезические съёмки построенных инженерных сетей и представлять на согласование Заказчику.</w:t>
            </w:r>
          </w:p>
        </w:tc>
      </w:tr>
      <w:tr>
        <w:trPr>
          <w:trHeight w:val="416"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17</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Качество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Качество работ должно соответствовать действующим стандартам, нормам и законодательству РФ.</w:t>
            </w:r>
          </w:p>
          <w:p>
            <w:pPr>
              <w:pStyle w:val="Normal"/>
              <w:widowControl/>
              <w:ind w:firstLine="493"/>
              <w:jc w:val="both"/>
              <w:rPr>
                <w:sz w:val="24"/>
              </w:rPr>
            </w:pPr>
            <w:r>
              <w:rPr>
                <w:sz w:val="24"/>
              </w:rPr>
              <w:t>1. Гарантии качества распространяются на все конструктивные элементы и работы, выполненные Подрядчиком.</w:t>
            </w:r>
          </w:p>
          <w:p>
            <w:pPr>
              <w:pStyle w:val="Normal"/>
              <w:widowControl/>
              <w:ind w:firstLine="493"/>
              <w:jc w:val="both"/>
              <w:rPr>
                <w:sz w:val="24"/>
              </w:rPr>
            </w:pPr>
            <w:r>
              <w:rPr>
                <w:sz w:val="24"/>
              </w:rPr>
              <w:t xml:space="preserve">2. Подрядчик гарантирует достижения данным объектом указанных в проектно-сметной документации показателей и возможность эксплуатации объекта на протяжении гарантийного срока и несет ответственность за отступление от них. </w:t>
            </w:r>
          </w:p>
          <w:p>
            <w:pPr>
              <w:pStyle w:val="Normal"/>
              <w:widowControl/>
              <w:ind w:firstLine="493"/>
              <w:jc w:val="both"/>
              <w:rPr>
                <w:sz w:val="24"/>
              </w:rPr>
            </w:pPr>
            <w:r>
              <w:rPr>
                <w:sz w:val="24"/>
              </w:rPr>
              <w:t>3. Гарантийный срок нормальной эксплуатации объекта и входящих в него материалов и работ устанавливается в соответствии с Договором.</w:t>
            </w:r>
          </w:p>
        </w:tc>
      </w:tr>
      <w:tr>
        <w:trPr>
          <w:trHeight w:val="855"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18</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Гарантии исполнения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Подрядчик должен гарантировать качество и сроки выполнения работ в соответствии с настоящим техническим заданием и Договором.</w:t>
            </w:r>
          </w:p>
        </w:tc>
      </w:tr>
      <w:tr>
        <w:trPr>
          <w:trHeight w:val="2249" w:hRule="atLeast"/>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19</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jc w:val="both"/>
              <w:rPr>
                <w:b/>
                <w:sz w:val="24"/>
              </w:rPr>
            </w:pPr>
            <w:r>
              <w:rPr>
                <w:b/>
                <w:sz w:val="24"/>
              </w:rPr>
              <w:t>Требования к товару, предлагаемому для использования при выполнении работ:</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ind w:firstLine="493"/>
              <w:jc w:val="both"/>
              <w:rPr>
                <w:sz w:val="24"/>
              </w:rPr>
            </w:pPr>
            <w:r>
              <w:rPr>
                <w:sz w:val="24"/>
              </w:rPr>
              <w:t>Торговые наименования используемых товаров, материалов и технологического оборудования, встречающиеся в проектной документации, приведены для обоснования расчетов и не обязывают подрядчика использовать материалы с данными торговыми знаками при выполнении работ. Могут использоваться аналогичные материалы при условии письменного согласования замены с Заказчиком и автором проекта.</w:t>
            </w:r>
          </w:p>
        </w:tc>
      </w:tr>
      <w:tr>
        <w:trPr/>
        <w:tc>
          <w:tcPr>
            <w:tcW w:w="702" w:type="dxa"/>
            <w:tcBorders>
              <w:top w:val="single" w:sz="4" w:space="0" w:color="000000"/>
              <w:start w:val="single" w:sz="4" w:space="0" w:color="000000"/>
              <w:bottom w:val="single" w:sz="4" w:space="0" w:color="000000"/>
              <w:end w:val="single" w:sz="4" w:space="0" w:color="000000"/>
            </w:tcBorders>
          </w:tcPr>
          <w:p>
            <w:pPr>
              <w:pStyle w:val="Normal"/>
              <w:widowControl/>
              <w:jc w:val="center"/>
              <w:rPr>
                <w:b/>
                <w:sz w:val="24"/>
              </w:rPr>
            </w:pPr>
            <w:r>
              <w:rPr>
                <w:b/>
                <w:sz w:val="24"/>
              </w:rPr>
              <w:t>20</w:t>
            </w:r>
          </w:p>
        </w:tc>
        <w:tc>
          <w:tcPr>
            <w:tcW w:w="2554" w:type="dxa"/>
            <w:tcBorders>
              <w:top w:val="single" w:sz="4" w:space="0" w:color="000000"/>
              <w:start w:val="single" w:sz="4" w:space="0" w:color="000000"/>
              <w:bottom w:val="single" w:sz="4" w:space="0" w:color="000000"/>
              <w:end w:val="single" w:sz="4" w:space="0" w:color="000000"/>
            </w:tcBorders>
          </w:tcPr>
          <w:p>
            <w:pPr>
              <w:pStyle w:val="Normal"/>
              <w:widowControl/>
              <w:numPr>
                <w:ilvl w:val="0"/>
                <w:numId w:val="0"/>
              </w:numPr>
              <w:jc w:val="both"/>
              <w:outlineLvl w:val="0"/>
              <w:rPr>
                <w:b/>
                <w:sz w:val="24"/>
              </w:rPr>
            </w:pPr>
            <w:r>
              <w:rPr>
                <w:b/>
                <w:sz w:val="24"/>
              </w:rPr>
              <w:t>Требования к результатам работ</w:t>
            </w:r>
          </w:p>
          <w:p>
            <w:pPr>
              <w:pStyle w:val="Normal"/>
              <w:widowControl/>
              <w:jc w:val="both"/>
              <w:rPr>
                <w:b/>
                <w:sz w:val="24"/>
              </w:rPr>
            </w:pPr>
            <w:r>
              <w:rPr>
                <w:b/>
                <w:sz w:val="24"/>
              </w:rPr>
              <w:t>и содержанию Объекта:</w:t>
            </w:r>
          </w:p>
        </w:tc>
        <w:tc>
          <w:tcPr>
            <w:tcW w:w="6018" w:type="dxa"/>
            <w:tcBorders>
              <w:top w:val="single" w:sz="4" w:space="0" w:color="000000"/>
              <w:start w:val="single" w:sz="4" w:space="0" w:color="000000"/>
              <w:bottom w:val="single" w:sz="4" w:space="0" w:color="000000"/>
              <w:end w:val="single" w:sz="4" w:space="0" w:color="000000"/>
            </w:tcBorders>
          </w:tcPr>
          <w:p>
            <w:pPr>
              <w:pStyle w:val="Normal"/>
              <w:widowControl/>
              <w:tabs>
                <w:tab w:val="clear" w:pos="708"/>
                <w:tab w:val="left" w:pos="1080" w:leader="none"/>
              </w:tabs>
              <w:ind w:firstLine="493"/>
              <w:jc w:val="both"/>
              <w:rPr>
                <w:sz w:val="24"/>
              </w:rPr>
            </w:pPr>
            <w:r>
              <w:rPr>
                <w:sz w:val="24"/>
              </w:rPr>
              <w:t>Результаты работ Подрядчика должны соответствовать параметрам, предусмотренным проектно-сметной документацией, условиям Договора и настоящего технического задания.</w:t>
            </w:r>
          </w:p>
          <w:p>
            <w:pPr>
              <w:pStyle w:val="Normal"/>
              <w:widowControl/>
              <w:tabs>
                <w:tab w:val="clear" w:pos="708"/>
                <w:tab w:val="left" w:pos="4325" w:leader="none"/>
              </w:tabs>
              <w:ind w:firstLine="493"/>
              <w:jc w:val="both"/>
              <w:rPr>
                <w:sz w:val="24"/>
              </w:rPr>
            </w:pPr>
            <w:r>
              <w:rPr>
                <w:sz w:val="24"/>
              </w:rPr>
              <w:t>Подрядчик за свой счет обеспечивает все текущее содержание строительной площадки в нормативном техническом состоянии, в т.ч. осуществляет охрану строительной площадки и поставленного на строительную площадку оборудования, приобретенного Подрядчиком и/или принятого от Заказчика по акту приема-передачи, с даты подписания акта приема-передачи строительной площадки и до момента ввода объекта капитального строительства в эксплуатацию.</w:t>
            </w:r>
          </w:p>
        </w:tc>
      </w:tr>
    </w:tbl>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Normal"/>
        <w:widowControl/>
        <w:jc w:val="both"/>
        <w:rPr>
          <w:b/>
          <w:sz w:val="24"/>
        </w:rPr>
      </w:pPr>
      <w:r>
        <w:rPr>
          <w:b/>
          <w:sz w:val="24"/>
        </w:rPr>
      </w:r>
      <w:r>
        <w:br w:type="page"/>
      </w:r>
    </w:p>
    <w:p>
      <w:pPr>
        <w:pStyle w:val="Normal"/>
        <w:widowControl/>
        <w:spacing w:lineRule="auto" w:line="276" w:before="0" w:after="0"/>
        <w:ind w:firstLine="709"/>
        <w:jc w:val="both"/>
        <w:rPr>
          <w:b/>
          <w:sz w:val="28"/>
        </w:rPr>
      </w:pPr>
      <w:r>
        <w:rPr>
          <w:b/>
          <w:sz w:val="28"/>
        </w:rPr>
        <w:t>Раздел 3: выполнение работ по реализации АСУНО</w:t>
      </w:r>
    </w:p>
    <w:p>
      <w:pPr>
        <w:pStyle w:val="Normal"/>
        <w:widowControl/>
        <w:spacing w:lineRule="auto" w:line="276"/>
        <w:ind w:firstLine="709"/>
        <w:jc w:val="both"/>
        <w:rPr>
          <w:b/>
          <w:sz w:val="24"/>
        </w:rPr>
      </w:pPr>
      <w:r>
        <w:rPr>
          <w:b/>
          <w:sz w:val="24"/>
        </w:rPr>
      </w:r>
    </w:p>
    <w:p>
      <w:pPr>
        <w:pStyle w:val="BodyText"/>
        <w:spacing w:lineRule="auto" w:line="269" w:before="69" w:after="0"/>
        <w:jc w:val="start"/>
        <w:rPr>
          <w:sz w:val="24"/>
        </w:rPr>
      </w:pPr>
      <w:r>
        <w:rPr>
          <w:sz w:val="24"/>
        </w:rPr>
        <w:t>АСУНО должна быть выполнена в виде программно-аппаратного комплекса, состоящего из:</w:t>
      </w:r>
    </w:p>
    <w:p>
      <w:pPr>
        <w:pStyle w:val="ListParagraph1"/>
        <w:widowControl w:val="false"/>
        <w:numPr>
          <w:ilvl w:val="0"/>
          <w:numId w:val="6"/>
        </w:numPr>
        <w:tabs>
          <w:tab w:val="left" w:pos="708" w:leader="none"/>
        </w:tabs>
        <w:spacing w:lineRule="exact" w:line="321"/>
        <w:ind w:firstLine="708" w:start="1"/>
        <w:rPr>
          <w:sz w:val="24"/>
        </w:rPr>
      </w:pPr>
      <w:r>
        <w:rPr>
          <w:sz w:val="24"/>
        </w:rPr>
        <w:t>программного</w:t>
      </w:r>
      <w:r>
        <w:rPr>
          <w:spacing w:val="-12"/>
          <w:sz w:val="24"/>
        </w:rPr>
        <w:t xml:space="preserve"> </w:t>
      </w:r>
      <w:r>
        <w:rPr>
          <w:spacing w:val="-2"/>
          <w:sz w:val="24"/>
        </w:rPr>
        <w:t>обеспечения;</w:t>
      </w:r>
    </w:p>
    <w:p>
      <w:pPr>
        <w:pStyle w:val="ListParagraph1"/>
        <w:widowControl w:val="false"/>
        <w:numPr>
          <w:ilvl w:val="0"/>
          <w:numId w:val="6"/>
        </w:numPr>
        <w:tabs>
          <w:tab w:val="left" w:pos="708" w:leader="none"/>
        </w:tabs>
        <w:spacing w:before="38" w:after="0"/>
        <w:ind w:firstLine="708" w:start="1"/>
        <w:rPr>
          <w:sz w:val="24"/>
        </w:rPr>
      </w:pPr>
      <w:r>
        <w:rPr>
          <w:sz w:val="24"/>
        </w:rPr>
        <w:t>оборудования</w:t>
      </w:r>
      <w:r>
        <w:rPr>
          <w:spacing w:val="-12"/>
          <w:sz w:val="24"/>
        </w:rPr>
        <w:t xml:space="preserve"> </w:t>
      </w:r>
      <w:r>
        <w:rPr>
          <w:sz w:val="24"/>
        </w:rPr>
        <w:t>управления</w:t>
      </w:r>
      <w:r>
        <w:rPr>
          <w:spacing w:val="-13"/>
          <w:sz w:val="24"/>
        </w:rPr>
        <w:t xml:space="preserve"> </w:t>
      </w:r>
      <w:r>
        <w:rPr>
          <w:sz w:val="24"/>
        </w:rPr>
        <w:t>наружным</w:t>
      </w:r>
      <w:r>
        <w:rPr>
          <w:spacing w:val="-12"/>
          <w:sz w:val="24"/>
        </w:rPr>
        <w:t xml:space="preserve"> </w:t>
      </w:r>
      <w:r>
        <w:rPr>
          <w:spacing w:val="-2"/>
          <w:sz w:val="24"/>
        </w:rPr>
        <w:t>освещением;</w:t>
      </w:r>
    </w:p>
    <w:p>
      <w:pPr>
        <w:pStyle w:val="ListParagraph1"/>
        <w:widowControl w:val="false"/>
        <w:numPr>
          <w:ilvl w:val="0"/>
          <w:numId w:val="6"/>
        </w:numPr>
        <w:tabs>
          <w:tab w:val="left" w:pos="708" w:leader="none"/>
        </w:tabs>
        <w:spacing w:before="38" w:after="0"/>
        <w:ind w:firstLine="708" w:start="1"/>
        <w:rPr>
          <w:sz w:val="24"/>
        </w:rPr>
      </w:pPr>
      <w:r>
        <w:rPr>
          <w:sz w:val="24"/>
        </w:rPr>
        <w:t>модулей</w:t>
      </w:r>
      <w:r>
        <w:rPr>
          <w:spacing w:val="-13"/>
          <w:sz w:val="24"/>
        </w:rPr>
        <w:t xml:space="preserve"> </w:t>
      </w:r>
      <w:r>
        <w:rPr>
          <w:sz w:val="24"/>
        </w:rPr>
        <w:t>(контроллеров)</w:t>
      </w:r>
      <w:r>
        <w:rPr>
          <w:spacing w:val="-13"/>
          <w:sz w:val="24"/>
        </w:rPr>
        <w:t xml:space="preserve"> </w:t>
      </w:r>
      <w:r>
        <w:rPr>
          <w:sz w:val="24"/>
        </w:rPr>
        <w:t>индивидуального</w:t>
      </w:r>
      <w:r>
        <w:rPr>
          <w:spacing w:val="-9"/>
          <w:sz w:val="24"/>
        </w:rPr>
        <w:t xml:space="preserve"> </w:t>
      </w:r>
      <w:r>
        <w:rPr>
          <w:sz w:val="24"/>
        </w:rPr>
        <w:t>управления</w:t>
      </w:r>
      <w:r>
        <w:rPr>
          <w:spacing w:val="-10"/>
          <w:sz w:val="24"/>
        </w:rPr>
        <w:t xml:space="preserve"> </w:t>
      </w:r>
      <w:r>
        <w:rPr>
          <w:spacing w:val="-2"/>
          <w:sz w:val="24"/>
        </w:rPr>
        <w:t>светильниками</w:t>
      </w:r>
    </w:p>
    <w:p>
      <w:pPr>
        <w:pStyle w:val="BodyText"/>
        <w:spacing w:before="157" w:after="0"/>
        <w:jc w:val="start"/>
        <w:rPr>
          <w:sz w:val="24"/>
        </w:rPr>
      </w:pPr>
      <w:r>
        <w:rPr>
          <w:sz w:val="24"/>
        </w:rPr>
        <w:t>Функционал</w:t>
      </w:r>
      <w:r>
        <w:rPr>
          <w:spacing w:val="-11"/>
          <w:sz w:val="24"/>
        </w:rPr>
        <w:t xml:space="preserve"> </w:t>
      </w:r>
      <w:r>
        <w:rPr>
          <w:sz w:val="24"/>
        </w:rPr>
        <w:t>программного</w:t>
      </w:r>
      <w:r>
        <w:rPr>
          <w:spacing w:val="-6"/>
          <w:sz w:val="24"/>
        </w:rPr>
        <w:t xml:space="preserve"> </w:t>
      </w:r>
      <w:r>
        <w:rPr>
          <w:sz w:val="24"/>
        </w:rPr>
        <w:t>обеспечения</w:t>
      </w:r>
      <w:r>
        <w:rPr>
          <w:spacing w:val="-7"/>
          <w:sz w:val="24"/>
        </w:rPr>
        <w:t xml:space="preserve"> </w:t>
      </w:r>
      <w:r>
        <w:rPr>
          <w:sz w:val="24"/>
        </w:rPr>
        <w:t>АСУНО</w:t>
      </w:r>
      <w:r>
        <w:rPr>
          <w:spacing w:val="-9"/>
          <w:sz w:val="24"/>
        </w:rPr>
        <w:t xml:space="preserve"> </w:t>
      </w:r>
      <w:r>
        <w:rPr>
          <w:sz w:val="24"/>
        </w:rPr>
        <w:t>должен</w:t>
      </w:r>
      <w:r>
        <w:rPr>
          <w:spacing w:val="-9"/>
          <w:sz w:val="24"/>
        </w:rPr>
        <w:t xml:space="preserve"> </w:t>
      </w:r>
      <w:r>
        <w:rPr>
          <w:spacing w:val="-2"/>
          <w:sz w:val="24"/>
        </w:rPr>
        <w:t>обеспечивать:</w:t>
      </w:r>
    </w:p>
    <w:p>
      <w:pPr>
        <w:pStyle w:val="ListParagraph1"/>
        <w:widowControl w:val="false"/>
        <w:numPr>
          <w:ilvl w:val="0"/>
          <w:numId w:val="7"/>
        </w:numPr>
        <w:tabs>
          <w:tab w:val="left" w:pos="708" w:leader="none"/>
        </w:tabs>
        <w:spacing w:lineRule="auto" w:line="269" w:before="38" w:after="0"/>
        <w:ind w:hanging="0" w:start="1" w:end="132"/>
        <w:rPr>
          <w:sz w:val="24"/>
        </w:rPr>
      </w:pPr>
      <w:r>
        <w:rPr>
          <w:sz w:val="24"/>
        </w:rPr>
        <w:t>Обеспечение</w:t>
      </w:r>
      <w:r>
        <w:rPr>
          <w:spacing w:val="40"/>
          <w:sz w:val="24"/>
        </w:rPr>
        <w:t xml:space="preserve"> </w:t>
      </w:r>
      <w:r>
        <w:rPr>
          <w:sz w:val="24"/>
        </w:rPr>
        <w:t>возможности</w:t>
      </w:r>
      <w:r>
        <w:rPr>
          <w:spacing w:val="40"/>
          <w:sz w:val="24"/>
        </w:rPr>
        <w:t xml:space="preserve"> </w:t>
      </w:r>
      <w:r>
        <w:rPr>
          <w:sz w:val="24"/>
        </w:rPr>
        <w:t>удаленного</w:t>
      </w:r>
      <w:r>
        <w:rPr>
          <w:spacing w:val="40"/>
          <w:sz w:val="24"/>
        </w:rPr>
        <w:t xml:space="preserve"> </w:t>
      </w:r>
      <w:r>
        <w:rPr>
          <w:sz w:val="24"/>
        </w:rPr>
        <w:t>доступа</w:t>
      </w:r>
      <w:r>
        <w:rPr>
          <w:spacing w:val="40"/>
          <w:sz w:val="24"/>
        </w:rPr>
        <w:t xml:space="preserve"> </w:t>
      </w:r>
      <w:r>
        <w:rPr>
          <w:sz w:val="24"/>
        </w:rPr>
        <w:t>в</w:t>
      </w:r>
      <w:r>
        <w:rPr>
          <w:spacing w:val="40"/>
          <w:sz w:val="24"/>
        </w:rPr>
        <w:t xml:space="preserve"> </w:t>
      </w:r>
      <w:r>
        <w:rPr>
          <w:sz w:val="24"/>
        </w:rPr>
        <w:t>Систему</w:t>
      </w:r>
      <w:r>
        <w:rPr>
          <w:spacing w:val="40"/>
          <w:sz w:val="24"/>
        </w:rPr>
        <w:t xml:space="preserve"> </w:t>
      </w:r>
      <w:r>
        <w:rPr>
          <w:sz w:val="24"/>
        </w:rPr>
        <w:t>через</w:t>
      </w:r>
      <w:r>
        <w:rPr>
          <w:spacing w:val="40"/>
          <w:sz w:val="24"/>
        </w:rPr>
        <w:t xml:space="preserve"> </w:t>
      </w:r>
      <w:r>
        <w:rPr>
          <w:sz w:val="24"/>
        </w:rPr>
        <w:t>веб- интерфейс, в том числе с использованием мобильных устройств и КПК.</w:t>
      </w:r>
    </w:p>
    <w:p>
      <w:pPr>
        <w:pStyle w:val="ListParagraph1"/>
        <w:widowControl w:val="false"/>
        <w:numPr>
          <w:ilvl w:val="0"/>
          <w:numId w:val="7"/>
        </w:numPr>
        <w:tabs>
          <w:tab w:val="left" w:pos="708" w:leader="none"/>
        </w:tabs>
        <w:spacing w:lineRule="exact" w:line="320"/>
        <w:ind w:hanging="0" w:start="708"/>
        <w:rPr>
          <w:sz w:val="24"/>
        </w:rPr>
      </w:pPr>
      <w:r>
        <w:rPr>
          <w:sz w:val="24"/>
        </w:rPr>
        <w:t>Отображение</w:t>
      </w:r>
      <w:r>
        <w:rPr>
          <w:spacing w:val="-6"/>
          <w:sz w:val="24"/>
        </w:rPr>
        <w:t xml:space="preserve"> </w:t>
      </w:r>
      <w:r>
        <w:rPr>
          <w:sz w:val="24"/>
        </w:rPr>
        <w:t>времени</w:t>
      </w:r>
      <w:r>
        <w:rPr>
          <w:spacing w:val="-6"/>
          <w:sz w:val="24"/>
        </w:rPr>
        <w:t xml:space="preserve"> </w:t>
      </w:r>
      <w:r>
        <w:rPr>
          <w:sz w:val="24"/>
        </w:rPr>
        <w:t>в</w:t>
      </w:r>
      <w:r>
        <w:rPr>
          <w:spacing w:val="-7"/>
          <w:sz w:val="24"/>
        </w:rPr>
        <w:t xml:space="preserve"> </w:t>
      </w:r>
      <w:r>
        <w:rPr>
          <w:sz w:val="24"/>
        </w:rPr>
        <w:t>личном</w:t>
      </w:r>
      <w:r>
        <w:rPr>
          <w:spacing w:val="-5"/>
          <w:sz w:val="24"/>
        </w:rPr>
        <w:t xml:space="preserve"> </w:t>
      </w:r>
      <w:r>
        <w:rPr>
          <w:spacing w:val="-2"/>
          <w:sz w:val="24"/>
        </w:rPr>
        <w:t>кабинете.</w:t>
      </w:r>
    </w:p>
    <w:p>
      <w:pPr>
        <w:pStyle w:val="ListParagraph1"/>
        <w:widowControl w:val="false"/>
        <w:numPr>
          <w:ilvl w:val="0"/>
          <w:numId w:val="7"/>
        </w:numPr>
        <w:tabs>
          <w:tab w:val="left" w:pos="708" w:leader="none"/>
          <w:tab w:val="left" w:pos="2585" w:leader="none"/>
          <w:tab w:val="left" w:pos="4226" w:leader="none"/>
          <w:tab w:val="left" w:pos="4616" w:leader="none"/>
          <w:tab w:val="left" w:pos="6132" w:leader="none"/>
          <w:tab w:val="left" w:pos="7677" w:leader="none"/>
          <w:tab w:val="left" w:pos="8381" w:leader="none"/>
        </w:tabs>
        <w:spacing w:lineRule="auto" w:line="269" w:before="38" w:after="0"/>
        <w:ind w:hanging="0" w:start="1" w:end="137"/>
        <w:rPr>
          <w:sz w:val="24"/>
        </w:rPr>
      </w:pPr>
      <w:r>
        <w:rPr>
          <w:spacing w:val="-2"/>
          <w:sz w:val="24"/>
        </w:rPr>
        <w:t>Возможность</w:t>
      </w:r>
      <w:r>
        <w:rPr>
          <w:sz w:val="24"/>
        </w:rPr>
        <w:tab/>
      </w:r>
      <w:r>
        <w:rPr>
          <w:spacing w:val="-2"/>
          <w:sz w:val="24"/>
        </w:rPr>
        <w:t>интеграции</w:t>
      </w:r>
      <w:r>
        <w:rPr>
          <w:sz w:val="24"/>
        </w:rPr>
        <w:tab/>
      </w:r>
      <w:r>
        <w:rPr>
          <w:spacing w:val="-10"/>
          <w:sz w:val="24"/>
        </w:rPr>
        <w:t>с</w:t>
      </w:r>
      <w:r>
        <w:rPr>
          <w:sz w:val="24"/>
        </w:rPr>
        <w:tab/>
      </w:r>
      <w:r>
        <w:rPr>
          <w:spacing w:val="-2"/>
          <w:sz w:val="24"/>
        </w:rPr>
        <w:t>внешними</w:t>
      </w:r>
      <w:r>
        <w:rPr>
          <w:sz w:val="24"/>
        </w:rPr>
        <w:tab/>
      </w:r>
      <w:r>
        <w:rPr>
          <w:spacing w:val="-2"/>
          <w:sz w:val="24"/>
        </w:rPr>
        <w:t>системами</w:t>
      </w:r>
      <w:r>
        <w:rPr>
          <w:sz w:val="24"/>
        </w:rPr>
        <w:tab/>
      </w:r>
      <w:r>
        <w:rPr>
          <w:spacing w:val="-4"/>
          <w:sz w:val="24"/>
        </w:rPr>
        <w:t>при</w:t>
      </w:r>
      <w:r>
        <w:rPr>
          <w:sz w:val="24"/>
        </w:rPr>
        <w:tab/>
      </w:r>
      <w:r>
        <w:rPr>
          <w:spacing w:val="-2"/>
          <w:sz w:val="24"/>
        </w:rPr>
        <w:t xml:space="preserve">помощи </w:t>
      </w:r>
      <w:r>
        <w:rPr>
          <w:sz w:val="24"/>
        </w:rPr>
        <w:t>программного интерфейса RESTAPI (или аналог).</w:t>
      </w:r>
    </w:p>
    <w:p>
      <w:pPr>
        <w:pStyle w:val="ListParagraph1"/>
        <w:widowControl w:val="false"/>
        <w:numPr>
          <w:ilvl w:val="0"/>
          <w:numId w:val="7"/>
        </w:numPr>
        <w:tabs>
          <w:tab w:val="left" w:pos="708" w:leader="none"/>
        </w:tabs>
        <w:spacing w:lineRule="auto" w:line="269"/>
        <w:ind w:hanging="0" w:start="1" w:end="141"/>
        <w:rPr>
          <w:sz w:val="24"/>
        </w:rPr>
      </w:pPr>
      <w:r>
        <w:rPr>
          <w:sz w:val="24"/>
        </w:rPr>
        <w:t>Разграничение</w:t>
      </w:r>
      <w:r>
        <w:rPr>
          <w:spacing w:val="80"/>
          <w:sz w:val="24"/>
        </w:rPr>
        <w:t xml:space="preserve"> </w:t>
      </w:r>
      <w:r>
        <w:rPr>
          <w:sz w:val="24"/>
        </w:rPr>
        <w:t>уровней</w:t>
      </w:r>
      <w:r>
        <w:rPr>
          <w:spacing w:val="80"/>
          <w:sz w:val="24"/>
        </w:rPr>
        <w:t xml:space="preserve"> </w:t>
      </w:r>
      <w:r>
        <w:rPr>
          <w:sz w:val="24"/>
        </w:rPr>
        <w:t>доступа</w:t>
      </w:r>
      <w:r>
        <w:rPr>
          <w:spacing w:val="80"/>
          <w:sz w:val="24"/>
        </w:rPr>
        <w:t xml:space="preserve"> </w:t>
      </w:r>
      <w:r>
        <w:rPr>
          <w:sz w:val="24"/>
        </w:rPr>
        <w:t>к</w:t>
      </w:r>
      <w:r>
        <w:rPr>
          <w:spacing w:val="80"/>
          <w:sz w:val="24"/>
        </w:rPr>
        <w:t xml:space="preserve"> </w:t>
      </w:r>
      <w:r>
        <w:rPr>
          <w:sz w:val="24"/>
        </w:rPr>
        <w:t>функциональным</w:t>
      </w:r>
      <w:r>
        <w:rPr>
          <w:spacing w:val="80"/>
          <w:sz w:val="24"/>
        </w:rPr>
        <w:t xml:space="preserve"> </w:t>
      </w:r>
      <w:r>
        <w:rPr>
          <w:sz w:val="24"/>
        </w:rPr>
        <w:t>возможностям системы по ролям и правам.</w:t>
      </w:r>
    </w:p>
    <w:p>
      <w:pPr>
        <w:pStyle w:val="ListParagraph1"/>
        <w:widowControl w:val="false"/>
        <w:numPr>
          <w:ilvl w:val="0"/>
          <w:numId w:val="7"/>
        </w:numPr>
        <w:tabs>
          <w:tab w:val="left" w:pos="708" w:leader="none"/>
        </w:tabs>
        <w:spacing w:lineRule="exact" w:line="320"/>
        <w:ind w:hanging="0" w:start="708"/>
        <w:rPr>
          <w:sz w:val="24"/>
        </w:rPr>
      </w:pPr>
      <w:r>
        <w:rPr>
          <w:sz w:val="24"/>
        </w:rPr>
        <w:t>Наличие</w:t>
      </w:r>
      <w:r>
        <w:rPr>
          <w:spacing w:val="-10"/>
          <w:sz w:val="24"/>
        </w:rPr>
        <w:t xml:space="preserve"> </w:t>
      </w:r>
      <w:r>
        <w:rPr>
          <w:sz w:val="24"/>
        </w:rPr>
        <w:t>конструктора</w:t>
      </w:r>
      <w:r>
        <w:rPr>
          <w:spacing w:val="-6"/>
          <w:sz w:val="24"/>
        </w:rPr>
        <w:t xml:space="preserve"> </w:t>
      </w:r>
      <w:r>
        <w:rPr>
          <w:sz w:val="24"/>
        </w:rPr>
        <w:t>ролей</w:t>
      </w:r>
      <w:r>
        <w:rPr>
          <w:spacing w:val="-6"/>
          <w:sz w:val="24"/>
        </w:rPr>
        <w:t xml:space="preserve"> </w:t>
      </w:r>
      <w:r>
        <w:rPr>
          <w:spacing w:val="-2"/>
          <w:sz w:val="24"/>
        </w:rPr>
        <w:t>пользователей.</w:t>
      </w:r>
    </w:p>
    <w:p>
      <w:pPr>
        <w:pStyle w:val="ListParagraph1"/>
        <w:widowControl w:val="false"/>
        <w:numPr>
          <w:ilvl w:val="0"/>
          <w:numId w:val="7"/>
        </w:numPr>
        <w:tabs>
          <w:tab w:val="left" w:pos="708" w:leader="none"/>
        </w:tabs>
        <w:spacing w:before="37" w:after="0"/>
        <w:ind w:hanging="0" w:start="708"/>
        <w:rPr>
          <w:sz w:val="24"/>
        </w:rPr>
      </w:pPr>
      <w:r>
        <w:rPr>
          <w:sz w:val="24"/>
        </w:rPr>
        <w:t>Настраиваемые</w:t>
      </w:r>
      <w:r>
        <w:rPr>
          <w:spacing w:val="-11"/>
          <w:sz w:val="24"/>
        </w:rPr>
        <w:t xml:space="preserve"> </w:t>
      </w:r>
      <w:r>
        <w:rPr>
          <w:sz w:val="24"/>
        </w:rPr>
        <w:t>уведомления</w:t>
      </w:r>
      <w:r>
        <w:rPr>
          <w:spacing w:val="-8"/>
          <w:sz w:val="24"/>
        </w:rPr>
        <w:t xml:space="preserve"> </w:t>
      </w:r>
      <w:r>
        <w:rPr>
          <w:sz w:val="24"/>
        </w:rPr>
        <w:t>об</w:t>
      </w:r>
      <w:r>
        <w:rPr>
          <w:spacing w:val="-7"/>
          <w:sz w:val="24"/>
        </w:rPr>
        <w:t xml:space="preserve"> </w:t>
      </w:r>
      <w:r>
        <w:rPr>
          <w:sz w:val="24"/>
        </w:rPr>
        <w:t>аварийных</w:t>
      </w:r>
      <w:r>
        <w:rPr>
          <w:spacing w:val="-7"/>
          <w:sz w:val="24"/>
        </w:rPr>
        <w:t xml:space="preserve"> </w:t>
      </w:r>
      <w:r>
        <w:rPr>
          <w:spacing w:val="-2"/>
          <w:sz w:val="24"/>
        </w:rPr>
        <w:t>событиях:</w:t>
      </w:r>
    </w:p>
    <w:p>
      <w:pPr>
        <w:pStyle w:val="ListParagraph1"/>
        <w:widowControl w:val="false"/>
        <w:numPr>
          <w:ilvl w:val="1"/>
          <w:numId w:val="7"/>
        </w:numPr>
        <w:tabs>
          <w:tab w:val="left" w:pos="708" w:leader="none"/>
        </w:tabs>
        <w:spacing w:before="38" w:after="0"/>
        <w:ind w:firstLine="708" w:start="1"/>
        <w:rPr>
          <w:sz w:val="24"/>
        </w:rPr>
      </w:pPr>
      <w:r>
        <w:rPr>
          <w:spacing w:val="-2"/>
          <w:sz w:val="24"/>
        </w:rPr>
        <w:t>звуковые;</w:t>
      </w:r>
    </w:p>
    <w:p>
      <w:pPr>
        <w:pStyle w:val="ListParagraph1"/>
        <w:widowControl w:val="false"/>
        <w:numPr>
          <w:ilvl w:val="1"/>
          <w:numId w:val="7"/>
        </w:numPr>
        <w:tabs>
          <w:tab w:val="left" w:pos="708" w:leader="none"/>
        </w:tabs>
        <w:spacing w:before="38" w:after="0"/>
        <w:ind w:firstLine="708" w:start="1"/>
        <w:rPr>
          <w:sz w:val="24"/>
        </w:rPr>
      </w:pPr>
      <w:r>
        <w:rPr>
          <w:spacing w:val="-2"/>
          <w:sz w:val="24"/>
        </w:rPr>
        <w:t>графические;</w:t>
      </w:r>
    </w:p>
    <w:p>
      <w:pPr>
        <w:pStyle w:val="ListParagraph1"/>
        <w:widowControl w:val="false"/>
        <w:numPr>
          <w:ilvl w:val="1"/>
          <w:numId w:val="7"/>
        </w:numPr>
        <w:tabs>
          <w:tab w:val="left" w:pos="708" w:leader="none"/>
        </w:tabs>
        <w:spacing w:before="37" w:after="0"/>
        <w:ind w:firstLine="708" w:start="1"/>
        <w:rPr>
          <w:sz w:val="24"/>
        </w:rPr>
      </w:pPr>
      <w:r>
        <w:rPr>
          <w:sz w:val="24"/>
        </w:rPr>
        <w:t>по</w:t>
      </w:r>
      <w:r>
        <w:rPr>
          <w:spacing w:val="-6"/>
          <w:sz w:val="24"/>
        </w:rPr>
        <w:t xml:space="preserve"> </w:t>
      </w:r>
      <w:r>
        <w:rPr>
          <w:sz w:val="24"/>
        </w:rPr>
        <w:t>электронной</w:t>
      </w:r>
      <w:r>
        <w:rPr>
          <w:spacing w:val="-5"/>
          <w:sz w:val="24"/>
        </w:rPr>
        <w:t xml:space="preserve"> </w:t>
      </w:r>
      <w:r>
        <w:rPr>
          <w:spacing w:val="-2"/>
          <w:sz w:val="24"/>
        </w:rPr>
        <w:t>почте;</w:t>
      </w:r>
    </w:p>
    <w:p>
      <w:pPr>
        <w:pStyle w:val="ListParagraph1"/>
        <w:widowControl w:val="false"/>
        <w:numPr>
          <w:ilvl w:val="1"/>
          <w:numId w:val="7"/>
        </w:numPr>
        <w:tabs>
          <w:tab w:val="left" w:pos="708" w:leader="none"/>
        </w:tabs>
        <w:spacing w:before="38" w:after="0"/>
        <w:ind w:firstLine="708" w:start="1"/>
        <w:rPr>
          <w:sz w:val="24"/>
        </w:rPr>
      </w:pPr>
      <w:r>
        <w:rPr>
          <w:sz w:val="24"/>
        </w:rPr>
        <w:t>по</w:t>
      </w:r>
      <w:r>
        <w:rPr>
          <w:spacing w:val="1"/>
          <w:sz w:val="24"/>
        </w:rPr>
        <w:t xml:space="preserve"> </w:t>
      </w:r>
      <w:r>
        <w:rPr>
          <w:spacing w:val="-4"/>
          <w:sz w:val="24"/>
        </w:rPr>
        <w:t>SMS.</w:t>
      </w:r>
    </w:p>
    <w:p>
      <w:pPr>
        <w:pStyle w:val="ListParagraph1"/>
        <w:widowControl w:val="false"/>
        <w:numPr>
          <w:ilvl w:val="0"/>
          <w:numId w:val="7"/>
        </w:numPr>
        <w:tabs>
          <w:tab w:val="clear" w:pos="708"/>
          <w:tab w:val="left" w:pos="707" w:leader="none"/>
        </w:tabs>
        <w:spacing w:lineRule="auto" w:line="269" w:before="38" w:after="0"/>
        <w:ind w:hanging="0" w:start="1" w:end="139"/>
        <w:jc w:val="both"/>
        <w:rPr>
          <w:sz w:val="24"/>
        </w:rPr>
      </w:pPr>
      <w:r>
        <w:rPr>
          <w:sz w:val="24"/>
        </w:rPr>
        <w:t>Автоматическое включение и отключение уличного освещения в соответствии с заданным годовым\сезонным графиком, в зависимости от координат объекта.</w:t>
      </w:r>
    </w:p>
    <w:p>
      <w:pPr>
        <w:pStyle w:val="ListParagraph1"/>
        <w:widowControl w:val="false"/>
        <w:numPr>
          <w:ilvl w:val="0"/>
          <w:numId w:val="7"/>
        </w:numPr>
        <w:tabs>
          <w:tab w:val="clear" w:pos="708"/>
          <w:tab w:val="left" w:pos="707" w:leader="none"/>
        </w:tabs>
        <w:spacing w:lineRule="auto" w:line="269"/>
        <w:ind w:hanging="0" w:start="1" w:end="134"/>
        <w:jc w:val="both"/>
        <w:rPr>
          <w:sz w:val="24"/>
        </w:rPr>
      </w:pPr>
      <w:r>
        <w:rPr>
          <w:sz w:val="24"/>
        </w:rPr>
        <w:t>Централизованное</w:t>
      </w:r>
      <w:r>
        <w:rPr>
          <w:spacing w:val="-18"/>
          <w:sz w:val="24"/>
        </w:rPr>
        <w:t xml:space="preserve"> </w:t>
      </w:r>
      <w:r>
        <w:rPr>
          <w:sz w:val="24"/>
        </w:rPr>
        <w:t>оперативное</w:t>
      </w:r>
      <w:r>
        <w:rPr>
          <w:spacing w:val="-16"/>
          <w:sz w:val="24"/>
        </w:rPr>
        <w:t xml:space="preserve"> </w:t>
      </w:r>
      <w:r>
        <w:rPr>
          <w:sz w:val="24"/>
        </w:rPr>
        <w:t>управление</w:t>
      </w:r>
      <w:r>
        <w:rPr>
          <w:spacing w:val="-16"/>
          <w:sz w:val="24"/>
        </w:rPr>
        <w:t xml:space="preserve"> </w:t>
      </w:r>
      <w:r>
        <w:rPr>
          <w:sz w:val="24"/>
        </w:rPr>
        <w:t>включением</w:t>
      </w:r>
      <w:r>
        <w:rPr>
          <w:spacing w:val="-16"/>
          <w:sz w:val="24"/>
        </w:rPr>
        <w:t xml:space="preserve"> </w:t>
      </w:r>
      <w:r>
        <w:rPr>
          <w:sz w:val="24"/>
        </w:rPr>
        <w:t>и</w:t>
      </w:r>
      <w:r>
        <w:rPr>
          <w:spacing w:val="-16"/>
          <w:sz w:val="24"/>
        </w:rPr>
        <w:t xml:space="preserve"> </w:t>
      </w:r>
      <w:r>
        <w:rPr>
          <w:sz w:val="24"/>
        </w:rPr>
        <w:t>отключением освещения по команде диспетчера с возможностью передачи команд как на один объект, так и на группу объектов.</w:t>
      </w:r>
    </w:p>
    <w:p>
      <w:pPr>
        <w:pStyle w:val="ListParagraph1"/>
        <w:widowControl w:val="false"/>
        <w:numPr>
          <w:ilvl w:val="0"/>
          <w:numId w:val="7"/>
        </w:numPr>
        <w:tabs>
          <w:tab w:val="clear" w:pos="708"/>
          <w:tab w:val="left" w:pos="707" w:leader="none"/>
        </w:tabs>
        <w:spacing w:lineRule="auto" w:line="269"/>
        <w:ind w:hanging="0" w:start="1" w:end="143"/>
        <w:jc w:val="both"/>
        <w:rPr>
          <w:sz w:val="24"/>
        </w:rPr>
      </w:pPr>
      <w:r>
        <w:rPr>
          <w:sz w:val="24"/>
        </w:rPr>
        <w:t>Возможность корректировки графика работы наружного освещения в зависимости от реального уровня освещенности</w:t>
      </w:r>
    </w:p>
    <w:p>
      <w:pPr>
        <w:pStyle w:val="ListParagraph1"/>
        <w:widowControl w:val="false"/>
        <w:numPr>
          <w:ilvl w:val="0"/>
          <w:numId w:val="7"/>
        </w:numPr>
        <w:tabs>
          <w:tab w:val="clear" w:pos="708"/>
          <w:tab w:val="left" w:pos="707" w:leader="none"/>
        </w:tabs>
        <w:spacing w:lineRule="auto" w:line="269"/>
        <w:ind w:hanging="0" w:start="1" w:end="140"/>
        <w:jc w:val="both"/>
        <w:rPr>
          <w:sz w:val="24"/>
        </w:rPr>
      </w:pPr>
      <w:r>
        <w:rPr>
          <w:sz w:val="24"/>
        </w:rPr>
        <w:t>Возможность оповещения диспетчерского персонала о наступлении заданного уровня освещенности</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Автоматический контроль и диагностика управления освещением и программного обеспечения.</w:t>
      </w:r>
    </w:p>
    <w:p>
      <w:pPr>
        <w:pStyle w:val="ListParagraph1"/>
        <w:widowControl w:val="false"/>
        <w:numPr>
          <w:ilvl w:val="0"/>
          <w:numId w:val="7"/>
        </w:numPr>
        <w:tabs>
          <w:tab w:val="clear" w:pos="708"/>
          <w:tab w:val="left" w:pos="707" w:leader="none"/>
        </w:tabs>
        <w:spacing w:lineRule="auto" w:line="269"/>
        <w:ind w:hanging="0" w:start="1" w:end="143"/>
        <w:jc w:val="both"/>
        <w:rPr>
          <w:sz w:val="24"/>
        </w:rPr>
      </w:pPr>
      <w:r>
        <w:rPr>
          <w:sz w:val="24"/>
        </w:rPr>
        <w:t>Отображение текущего состояния объектов управления освещением с обязательной индикацией каждого состояния:</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w:t>
        <w:tab/>
        <w:t>напряжения (напряжение</w:t>
        <w:tab/>
        <w:t>по</w:t>
        <w:tab/>
        <w:t>фазе присутствует/отсутствует/нет связи);</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 тока (ток по фазе есть/нет/нет связи);</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 связи объекта с сервером Системы (есть/нет);</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режим управления ШУНО (в автоматическом/в ручном);</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режим переключений при автоматическом управлении (по команде/по расписанию/не определено);</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w:t>
        <w:tab/>
        <w:t>защиты</w:t>
        <w:tab/>
        <w:t>входных</w:t>
        <w:tab/>
        <w:t>и</w:t>
        <w:tab/>
        <w:t>выходных</w:t>
        <w:tab/>
        <w:t>автоматов</w:t>
        <w:tab/>
        <w:t>(в</w:t>
        <w:tab/>
        <w:t>режиме штатно/защита сработала/отсутствует);</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 контакторов (замкнут/разомкнут/не определенно);</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w:t>
        <w:tab/>
        <w:t>внутренних</w:t>
        <w:tab/>
        <w:t>реле</w:t>
        <w:tab/>
        <w:t>контроллера</w:t>
        <w:tab/>
        <w:t>(замкнут/разомкнут/не определенно);</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отображение</w:t>
        <w:tab/>
        <w:t>времени</w:t>
        <w:tab/>
        <w:t>до</w:t>
        <w:tab/>
        <w:t>ближайшего</w:t>
        <w:tab/>
        <w:t>переключения</w:t>
        <w:tab/>
        <w:t>в</w:t>
        <w:tab/>
        <w:t>реальном времени;</w:t>
      </w:r>
    </w:p>
    <w:p>
      <w:pPr>
        <w:pStyle w:val="ListParagraph1"/>
        <w:numPr>
          <w:ilvl w:val="0"/>
          <w:numId w:val="8"/>
        </w:numPr>
        <w:tabs>
          <w:tab w:val="clear" w:pos="708"/>
          <w:tab w:val="left" w:pos="360" w:leader="none"/>
        </w:tabs>
        <w:spacing w:lineRule="auto" w:line="269"/>
        <w:ind w:firstLine="709" w:start="0" w:end="143"/>
        <w:jc w:val="both"/>
        <w:rPr>
          <w:sz w:val="24"/>
        </w:rPr>
      </w:pPr>
      <w:r>
        <w:rPr>
          <w:sz w:val="24"/>
        </w:rPr>
        <w:t>состояние</w:t>
        <w:tab/>
        <w:t>двери</w:t>
        <w:tab/>
        <w:t>шкафа</w:t>
        <w:tab/>
        <w:t>управления</w:t>
        <w:tab/>
        <w:t>(дверь открыта/закрыта/отсутствует);</w:t>
      </w:r>
    </w:p>
    <w:p>
      <w:pPr>
        <w:pStyle w:val="ListParagraph1"/>
        <w:widowControl w:val="false"/>
        <w:numPr>
          <w:ilvl w:val="0"/>
          <w:numId w:val="8"/>
        </w:numPr>
        <w:tabs>
          <w:tab w:val="clear" w:pos="708"/>
          <w:tab w:val="left" w:pos="360" w:leader="none"/>
        </w:tabs>
        <w:spacing w:lineRule="auto" w:line="269"/>
        <w:ind w:firstLine="709" w:start="0" w:end="143"/>
        <w:jc w:val="both"/>
        <w:rPr>
          <w:sz w:val="24"/>
        </w:rPr>
      </w:pPr>
      <w:r>
        <w:rPr>
          <w:sz w:val="24"/>
        </w:rPr>
        <w:t>состояние связи с прибором учета (связь есть/нет).</w:t>
      </w:r>
    </w:p>
    <w:p>
      <w:pPr>
        <w:pStyle w:val="ListParagraph1"/>
        <w:widowControl w:val="false"/>
        <w:numPr>
          <w:ilvl w:val="0"/>
          <w:numId w:val="7"/>
        </w:numPr>
        <w:tabs>
          <w:tab w:val="clear" w:pos="708"/>
          <w:tab w:val="left" w:pos="707" w:leader="none"/>
        </w:tabs>
        <w:spacing w:lineRule="auto" w:line="269" w:before="34" w:after="0"/>
        <w:ind w:hanging="0" w:start="1" w:end="142"/>
        <w:jc w:val="both"/>
        <w:rPr>
          <w:sz w:val="24"/>
        </w:rPr>
      </w:pPr>
      <w:r>
        <w:rPr>
          <w:sz w:val="24"/>
        </w:rPr>
        <w:t>Возможность отображения мнемосхемы шкафов управления с информацией о текущем значении токов, мощности и напряжений по каждой фазе,</w:t>
      </w:r>
      <w:r>
        <w:rPr>
          <w:spacing w:val="-4"/>
          <w:sz w:val="24"/>
        </w:rPr>
        <w:t xml:space="preserve"> </w:t>
      </w:r>
      <w:r>
        <w:rPr>
          <w:sz w:val="24"/>
        </w:rPr>
        <w:t>состояния</w:t>
      </w:r>
      <w:r>
        <w:rPr>
          <w:spacing w:val="-3"/>
          <w:sz w:val="24"/>
        </w:rPr>
        <w:t xml:space="preserve"> </w:t>
      </w:r>
      <w:r>
        <w:rPr>
          <w:sz w:val="24"/>
        </w:rPr>
        <w:t>защиты</w:t>
      </w:r>
      <w:r>
        <w:rPr>
          <w:spacing w:val="-5"/>
          <w:sz w:val="24"/>
        </w:rPr>
        <w:t xml:space="preserve"> </w:t>
      </w:r>
      <w:r>
        <w:rPr>
          <w:sz w:val="24"/>
        </w:rPr>
        <w:t>по</w:t>
      </w:r>
      <w:r>
        <w:rPr>
          <w:spacing w:val="-4"/>
          <w:sz w:val="24"/>
        </w:rPr>
        <w:t xml:space="preserve"> </w:t>
      </w:r>
      <w:r>
        <w:rPr>
          <w:sz w:val="24"/>
        </w:rPr>
        <w:t>каждой</w:t>
      </w:r>
      <w:r>
        <w:rPr>
          <w:spacing w:val="-5"/>
          <w:sz w:val="24"/>
        </w:rPr>
        <w:t xml:space="preserve"> </w:t>
      </w:r>
      <w:r>
        <w:rPr>
          <w:sz w:val="24"/>
        </w:rPr>
        <w:t>отходящей</w:t>
      </w:r>
      <w:r>
        <w:rPr>
          <w:spacing w:val="-3"/>
          <w:sz w:val="24"/>
        </w:rPr>
        <w:t xml:space="preserve"> </w:t>
      </w:r>
      <w:r>
        <w:rPr>
          <w:sz w:val="24"/>
        </w:rPr>
        <w:t>линии,</w:t>
      </w:r>
      <w:r>
        <w:rPr>
          <w:spacing w:val="-4"/>
          <w:sz w:val="24"/>
        </w:rPr>
        <w:t xml:space="preserve"> </w:t>
      </w:r>
      <w:r>
        <w:rPr>
          <w:sz w:val="24"/>
        </w:rPr>
        <w:t>состояния</w:t>
      </w:r>
      <w:r>
        <w:rPr>
          <w:spacing w:val="-3"/>
          <w:sz w:val="24"/>
        </w:rPr>
        <w:t xml:space="preserve"> </w:t>
      </w:r>
      <w:r>
        <w:rPr>
          <w:sz w:val="24"/>
        </w:rPr>
        <w:t>контакторов, плавких вставок.</w:t>
      </w:r>
    </w:p>
    <w:p>
      <w:pPr>
        <w:pStyle w:val="ListParagraph1"/>
        <w:widowControl w:val="false"/>
        <w:numPr>
          <w:ilvl w:val="0"/>
          <w:numId w:val="7"/>
        </w:numPr>
        <w:tabs>
          <w:tab w:val="clear" w:pos="708"/>
          <w:tab w:val="left" w:pos="707" w:leader="none"/>
        </w:tabs>
        <w:spacing w:lineRule="auto" w:line="269"/>
        <w:ind w:hanging="0" w:start="1" w:end="139"/>
        <w:jc w:val="both"/>
        <w:rPr>
          <w:sz w:val="24"/>
        </w:rPr>
      </w:pPr>
      <w:r>
        <w:rPr>
          <w:sz w:val="24"/>
        </w:rPr>
        <w:t xml:space="preserve">Возможность отображения матричного представления для группы </w:t>
      </w:r>
      <w:r>
        <w:rPr>
          <w:spacing w:val="-2"/>
          <w:sz w:val="24"/>
        </w:rPr>
        <w:t>объектов.</w:t>
      </w:r>
    </w:p>
    <w:p>
      <w:pPr>
        <w:pStyle w:val="ListParagraph1"/>
        <w:widowControl w:val="false"/>
        <w:numPr>
          <w:ilvl w:val="0"/>
          <w:numId w:val="7"/>
        </w:numPr>
        <w:tabs>
          <w:tab w:val="clear" w:pos="708"/>
          <w:tab w:val="left" w:pos="707" w:leader="none"/>
        </w:tabs>
        <w:spacing w:lineRule="auto" w:line="269"/>
        <w:ind w:hanging="0" w:start="1" w:end="146"/>
        <w:jc w:val="both"/>
        <w:rPr>
          <w:sz w:val="24"/>
        </w:rPr>
      </w:pPr>
      <w:r>
        <w:rPr>
          <w:sz w:val="24"/>
        </w:rPr>
        <w:t xml:space="preserve">Фильтрация по типу ошибок и другим параметрам для удобного </w:t>
      </w:r>
      <w:r>
        <w:rPr>
          <w:spacing w:val="-2"/>
          <w:sz w:val="24"/>
        </w:rPr>
        <w:t>мониторинга.</w:t>
      </w:r>
    </w:p>
    <w:p>
      <w:pPr>
        <w:pStyle w:val="ListParagraph1"/>
        <w:widowControl w:val="false"/>
        <w:numPr>
          <w:ilvl w:val="0"/>
          <w:numId w:val="7"/>
        </w:numPr>
        <w:tabs>
          <w:tab w:val="clear" w:pos="708"/>
          <w:tab w:val="left" w:pos="707" w:leader="none"/>
        </w:tabs>
        <w:spacing w:lineRule="auto" w:line="269"/>
        <w:ind w:hanging="0" w:start="1" w:end="143"/>
        <w:jc w:val="both"/>
        <w:rPr>
          <w:sz w:val="24"/>
        </w:rPr>
      </w:pPr>
      <w:r>
        <w:rPr>
          <w:sz w:val="24"/>
        </w:rPr>
        <w:t>Возможность контроля электросетевых параметров для мониторинга работы освещения с оповещением персонала:</w:t>
      </w:r>
    </w:p>
    <w:p>
      <w:pPr>
        <w:pStyle w:val="ListParagraph1"/>
        <w:widowControl w:val="false"/>
        <w:numPr>
          <w:ilvl w:val="1"/>
          <w:numId w:val="7"/>
        </w:numPr>
        <w:tabs>
          <w:tab w:val="left" w:pos="708" w:leader="none"/>
        </w:tabs>
        <w:spacing w:lineRule="exact" w:line="320"/>
        <w:ind w:firstLine="708" w:start="1"/>
        <w:jc w:val="both"/>
        <w:rPr>
          <w:sz w:val="24"/>
        </w:rPr>
      </w:pPr>
      <w:r>
        <w:rPr>
          <w:sz w:val="24"/>
        </w:rPr>
        <w:t>пофазный</w:t>
      </w:r>
      <w:r>
        <w:rPr>
          <w:spacing w:val="-10"/>
          <w:sz w:val="24"/>
        </w:rPr>
        <w:t xml:space="preserve"> </w:t>
      </w:r>
      <w:r>
        <w:rPr>
          <w:sz w:val="24"/>
        </w:rPr>
        <w:t>мониторинг</w:t>
      </w:r>
      <w:r>
        <w:rPr>
          <w:spacing w:val="-8"/>
          <w:sz w:val="24"/>
        </w:rPr>
        <w:t xml:space="preserve"> </w:t>
      </w:r>
      <w:r>
        <w:rPr>
          <w:sz w:val="24"/>
        </w:rPr>
        <w:t>токов</w:t>
      </w:r>
      <w:r>
        <w:rPr>
          <w:spacing w:val="-8"/>
          <w:sz w:val="24"/>
        </w:rPr>
        <w:t xml:space="preserve"> </w:t>
      </w:r>
      <w:r>
        <w:rPr>
          <w:sz w:val="24"/>
        </w:rPr>
        <w:t>(превышение</w:t>
      </w:r>
      <w:r>
        <w:rPr>
          <w:spacing w:val="-8"/>
          <w:sz w:val="24"/>
        </w:rPr>
        <w:t xml:space="preserve"> </w:t>
      </w:r>
      <w:r>
        <w:rPr>
          <w:sz w:val="24"/>
        </w:rPr>
        <w:t>порога/ниже</w:t>
      </w:r>
      <w:r>
        <w:rPr>
          <w:spacing w:val="-7"/>
          <w:sz w:val="24"/>
        </w:rPr>
        <w:t xml:space="preserve"> </w:t>
      </w:r>
      <w:r>
        <w:rPr>
          <w:spacing w:val="-2"/>
          <w:sz w:val="24"/>
        </w:rPr>
        <w:t>порога);</w:t>
      </w:r>
    </w:p>
    <w:p>
      <w:pPr>
        <w:pStyle w:val="ListParagraph1"/>
        <w:widowControl w:val="false"/>
        <w:numPr>
          <w:ilvl w:val="1"/>
          <w:numId w:val="7"/>
        </w:numPr>
        <w:tabs>
          <w:tab w:val="left" w:pos="708" w:leader="none"/>
        </w:tabs>
        <w:spacing w:before="33" w:after="0"/>
        <w:ind w:firstLine="708" w:start="1"/>
        <w:jc w:val="both"/>
        <w:rPr>
          <w:sz w:val="24"/>
        </w:rPr>
      </w:pPr>
      <w:r>
        <w:rPr>
          <w:sz w:val="24"/>
        </w:rPr>
        <w:t>пофазный</w:t>
      </w:r>
      <w:r>
        <w:rPr>
          <w:spacing w:val="-13"/>
          <w:sz w:val="24"/>
        </w:rPr>
        <w:t xml:space="preserve"> </w:t>
      </w:r>
      <w:r>
        <w:rPr>
          <w:sz w:val="24"/>
        </w:rPr>
        <w:t>мониторинг</w:t>
      </w:r>
      <w:r>
        <w:rPr>
          <w:spacing w:val="-11"/>
          <w:sz w:val="24"/>
        </w:rPr>
        <w:t xml:space="preserve"> </w:t>
      </w:r>
      <w:r>
        <w:rPr>
          <w:sz w:val="24"/>
        </w:rPr>
        <w:t>напряжений</w:t>
      </w:r>
      <w:r>
        <w:rPr>
          <w:spacing w:val="-11"/>
          <w:sz w:val="24"/>
        </w:rPr>
        <w:t xml:space="preserve"> </w:t>
      </w:r>
      <w:r>
        <w:rPr>
          <w:sz w:val="24"/>
        </w:rPr>
        <w:t>(превышение</w:t>
      </w:r>
      <w:r>
        <w:rPr>
          <w:spacing w:val="-13"/>
          <w:sz w:val="24"/>
        </w:rPr>
        <w:t xml:space="preserve"> </w:t>
      </w:r>
      <w:r>
        <w:rPr>
          <w:sz w:val="24"/>
        </w:rPr>
        <w:t>порога/ниже</w:t>
      </w:r>
      <w:r>
        <w:rPr>
          <w:spacing w:val="-10"/>
          <w:sz w:val="24"/>
        </w:rPr>
        <w:t xml:space="preserve"> </w:t>
      </w:r>
      <w:r>
        <w:rPr>
          <w:spacing w:val="-2"/>
          <w:sz w:val="24"/>
        </w:rPr>
        <w:t>порога);</w:t>
      </w:r>
    </w:p>
    <w:p>
      <w:pPr>
        <w:pStyle w:val="ListParagraph1"/>
        <w:widowControl w:val="false"/>
        <w:numPr>
          <w:ilvl w:val="1"/>
          <w:numId w:val="7"/>
        </w:numPr>
        <w:tabs>
          <w:tab w:val="left" w:pos="708" w:leader="none"/>
        </w:tabs>
        <w:spacing w:before="38" w:after="0"/>
        <w:ind w:firstLine="708" w:start="1"/>
        <w:jc w:val="both"/>
        <w:rPr>
          <w:sz w:val="24"/>
        </w:rPr>
      </w:pPr>
      <w:r>
        <w:rPr>
          <w:sz w:val="24"/>
        </w:rPr>
        <w:t>пофазный</w:t>
      </w:r>
      <w:r>
        <w:rPr>
          <w:spacing w:val="-12"/>
          <w:sz w:val="24"/>
        </w:rPr>
        <w:t xml:space="preserve"> </w:t>
      </w:r>
      <w:r>
        <w:rPr>
          <w:sz w:val="24"/>
        </w:rPr>
        <w:t>мониторинг</w:t>
      </w:r>
      <w:r>
        <w:rPr>
          <w:spacing w:val="-10"/>
          <w:sz w:val="24"/>
        </w:rPr>
        <w:t xml:space="preserve"> </w:t>
      </w:r>
      <w:r>
        <w:rPr>
          <w:sz w:val="24"/>
        </w:rPr>
        <w:t>мощности</w:t>
      </w:r>
      <w:r>
        <w:rPr>
          <w:spacing w:val="-10"/>
          <w:sz w:val="24"/>
        </w:rPr>
        <w:t xml:space="preserve"> </w:t>
      </w:r>
      <w:r>
        <w:rPr>
          <w:sz w:val="24"/>
        </w:rPr>
        <w:t>(превышение</w:t>
      </w:r>
      <w:r>
        <w:rPr>
          <w:spacing w:val="-9"/>
          <w:sz w:val="24"/>
        </w:rPr>
        <w:t xml:space="preserve"> </w:t>
      </w:r>
      <w:r>
        <w:rPr>
          <w:sz w:val="24"/>
        </w:rPr>
        <w:t>порога/ниже</w:t>
      </w:r>
      <w:r>
        <w:rPr>
          <w:spacing w:val="-12"/>
          <w:sz w:val="24"/>
        </w:rPr>
        <w:t xml:space="preserve"> </w:t>
      </w:r>
      <w:r>
        <w:rPr>
          <w:spacing w:val="-2"/>
          <w:sz w:val="24"/>
        </w:rPr>
        <w:t>порога);</w:t>
      </w:r>
    </w:p>
    <w:p>
      <w:pPr>
        <w:pStyle w:val="ListParagraph1"/>
        <w:widowControl w:val="false"/>
        <w:numPr>
          <w:ilvl w:val="1"/>
          <w:numId w:val="7"/>
        </w:numPr>
        <w:tabs>
          <w:tab w:val="left" w:pos="708" w:leader="none"/>
        </w:tabs>
        <w:spacing w:lineRule="auto" w:line="269" w:before="38" w:after="0"/>
        <w:ind w:firstLine="708" w:start="1" w:end="143"/>
        <w:jc w:val="both"/>
        <w:rPr>
          <w:sz w:val="24"/>
        </w:rPr>
      </w:pPr>
      <w:r>
        <w:rPr>
          <w:sz w:val="24"/>
        </w:rPr>
        <w:t xml:space="preserve">мониторинг общей мощности ШУНО (превышение порога/ниже </w:t>
      </w:r>
      <w:r>
        <w:rPr>
          <w:spacing w:val="-2"/>
          <w:sz w:val="24"/>
        </w:rPr>
        <w:t>порога);</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Регистрация</w:t>
      </w:r>
      <w:r>
        <w:rPr>
          <w:spacing w:val="-5"/>
          <w:sz w:val="24"/>
        </w:rPr>
        <w:t xml:space="preserve"> </w:t>
      </w:r>
      <w:r>
        <w:rPr>
          <w:sz w:val="24"/>
        </w:rPr>
        <w:t>действий</w:t>
      </w:r>
      <w:r>
        <w:rPr>
          <w:spacing w:val="-8"/>
          <w:sz w:val="24"/>
        </w:rPr>
        <w:t xml:space="preserve"> </w:t>
      </w:r>
      <w:r>
        <w:rPr>
          <w:sz w:val="24"/>
        </w:rPr>
        <w:t>персонала</w:t>
      </w:r>
      <w:r>
        <w:rPr>
          <w:spacing w:val="-6"/>
          <w:sz w:val="24"/>
        </w:rPr>
        <w:t xml:space="preserve"> </w:t>
      </w:r>
      <w:r>
        <w:rPr>
          <w:sz w:val="24"/>
        </w:rPr>
        <w:t>в</w:t>
      </w:r>
      <w:r>
        <w:rPr>
          <w:spacing w:val="-6"/>
          <w:sz w:val="24"/>
        </w:rPr>
        <w:t xml:space="preserve"> </w:t>
      </w:r>
      <w:r>
        <w:rPr>
          <w:sz w:val="24"/>
        </w:rPr>
        <w:t>работе</w:t>
      </w:r>
      <w:r>
        <w:rPr>
          <w:spacing w:val="-5"/>
          <w:sz w:val="24"/>
        </w:rPr>
        <w:t xml:space="preserve"> </w:t>
      </w:r>
      <w:r>
        <w:rPr>
          <w:sz w:val="24"/>
        </w:rPr>
        <w:t>с</w:t>
      </w:r>
      <w:r>
        <w:rPr>
          <w:spacing w:val="-6"/>
          <w:sz w:val="24"/>
        </w:rPr>
        <w:t xml:space="preserve"> </w:t>
      </w:r>
      <w:r>
        <w:rPr>
          <w:sz w:val="24"/>
        </w:rPr>
        <w:t>системой</w:t>
      </w:r>
      <w:r>
        <w:rPr>
          <w:spacing w:val="-4"/>
          <w:sz w:val="24"/>
        </w:rPr>
        <w:t xml:space="preserve"> </w:t>
      </w:r>
      <w:r>
        <w:rPr>
          <w:spacing w:val="-2"/>
          <w:sz w:val="24"/>
        </w:rPr>
        <w:t>управления.</w:t>
      </w:r>
    </w:p>
    <w:p>
      <w:pPr>
        <w:pStyle w:val="ListParagraph1"/>
        <w:widowControl w:val="false"/>
        <w:numPr>
          <w:ilvl w:val="0"/>
          <w:numId w:val="7"/>
        </w:numPr>
        <w:tabs>
          <w:tab w:val="clear" w:pos="708"/>
          <w:tab w:val="left" w:pos="707" w:leader="none"/>
        </w:tabs>
        <w:spacing w:lineRule="auto" w:line="269" w:before="37" w:after="0"/>
        <w:ind w:hanging="0" w:start="1" w:end="142"/>
        <w:jc w:val="both"/>
        <w:rPr>
          <w:sz w:val="24"/>
        </w:rPr>
      </w:pPr>
      <w:r>
        <w:rPr>
          <w:sz w:val="24"/>
        </w:rPr>
        <w:t>Автоматическое протоколирование всех воздействий на контролируемые системой объекты управления освещением, включая управляющие действия пользователей.</w:t>
      </w:r>
    </w:p>
    <w:p>
      <w:pPr>
        <w:pStyle w:val="ListParagraph1"/>
        <w:widowControl w:val="false"/>
        <w:numPr>
          <w:ilvl w:val="0"/>
          <w:numId w:val="7"/>
        </w:numPr>
        <w:tabs>
          <w:tab w:val="clear" w:pos="708"/>
          <w:tab w:val="left" w:pos="707" w:leader="none"/>
        </w:tabs>
        <w:spacing w:lineRule="auto" w:line="269"/>
        <w:ind w:hanging="0" w:start="1" w:end="145"/>
        <w:jc w:val="both"/>
        <w:rPr>
          <w:sz w:val="24"/>
        </w:rPr>
      </w:pPr>
      <w:r>
        <w:rPr>
          <w:sz w:val="24"/>
        </w:rPr>
        <w:t>Формирование отчетов и возможность автоматической отправки на почту пользователя об авариях и других событиях за период времени (сутки, неделя и др) с возможностью гибкой настройки.</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Цветовое</w:t>
      </w:r>
      <w:r>
        <w:rPr>
          <w:spacing w:val="-8"/>
          <w:sz w:val="24"/>
        </w:rPr>
        <w:t xml:space="preserve"> </w:t>
      </w:r>
      <w:r>
        <w:rPr>
          <w:sz w:val="24"/>
        </w:rPr>
        <w:t>выделение</w:t>
      </w:r>
      <w:r>
        <w:rPr>
          <w:spacing w:val="-6"/>
          <w:sz w:val="24"/>
        </w:rPr>
        <w:t xml:space="preserve"> </w:t>
      </w:r>
      <w:r>
        <w:rPr>
          <w:sz w:val="24"/>
        </w:rPr>
        <w:t>аварийных</w:t>
      </w:r>
      <w:r>
        <w:rPr>
          <w:spacing w:val="-5"/>
          <w:sz w:val="24"/>
        </w:rPr>
        <w:t xml:space="preserve"> </w:t>
      </w:r>
      <w:r>
        <w:rPr>
          <w:sz w:val="24"/>
        </w:rPr>
        <w:t>событий</w:t>
      </w:r>
      <w:r>
        <w:rPr>
          <w:spacing w:val="-5"/>
          <w:sz w:val="24"/>
        </w:rPr>
        <w:t xml:space="preserve"> </w:t>
      </w:r>
      <w:r>
        <w:rPr>
          <w:sz w:val="24"/>
        </w:rPr>
        <w:t>в</w:t>
      </w:r>
      <w:r>
        <w:rPr>
          <w:spacing w:val="-7"/>
          <w:sz w:val="24"/>
        </w:rPr>
        <w:t xml:space="preserve"> </w:t>
      </w:r>
      <w:r>
        <w:rPr>
          <w:sz w:val="24"/>
        </w:rPr>
        <w:t>общем</w:t>
      </w:r>
      <w:r>
        <w:rPr>
          <w:spacing w:val="-5"/>
          <w:sz w:val="24"/>
        </w:rPr>
        <w:t xml:space="preserve"> </w:t>
      </w:r>
      <w:r>
        <w:rPr>
          <w:spacing w:val="-2"/>
          <w:sz w:val="24"/>
        </w:rPr>
        <w:t>списке.</w:t>
      </w:r>
    </w:p>
    <w:p>
      <w:pPr>
        <w:pStyle w:val="ListParagraph1"/>
        <w:widowControl w:val="false"/>
        <w:numPr>
          <w:ilvl w:val="0"/>
          <w:numId w:val="7"/>
        </w:numPr>
        <w:tabs>
          <w:tab w:val="clear" w:pos="708"/>
          <w:tab w:val="left" w:pos="707" w:leader="none"/>
        </w:tabs>
        <w:spacing w:lineRule="auto" w:line="269" w:before="36" w:after="0"/>
        <w:ind w:hanging="0" w:start="1" w:end="143"/>
        <w:jc w:val="both"/>
        <w:rPr>
          <w:sz w:val="24"/>
        </w:rPr>
      </w:pPr>
      <w:r>
        <w:rPr>
          <w:sz w:val="24"/>
        </w:rPr>
        <w:t>При</w:t>
      </w:r>
      <w:r>
        <w:rPr>
          <w:spacing w:val="-7"/>
          <w:sz w:val="24"/>
        </w:rPr>
        <w:t xml:space="preserve"> </w:t>
      </w:r>
      <w:r>
        <w:rPr>
          <w:sz w:val="24"/>
        </w:rPr>
        <w:t>формировании</w:t>
      </w:r>
      <w:r>
        <w:rPr>
          <w:spacing w:val="-7"/>
          <w:sz w:val="24"/>
        </w:rPr>
        <w:t xml:space="preserve"> </w:t>
      </w:r>
      <w:r>
        <w:rPr>
          <w:sz w:val="24"/>
        </w:rPr>
        <w:t>отчета</w:t>
      </w:r>
      <w:r>
        <w:rPr>
          <w:spacing w:val="-7"/>
          <w:sz w:val="24"/>
        </w:rPr>
        <w:t xml:space="preserve"> </w:t>
      </w:r>
      <w:r>
        <w:rPr>
          <w:sz w:val="24"/>
        </w:rPr>
        <w:t>по</w:t>
      </w:r>
      <w:r>
        <w:rPr>
          <w:spacing w:val="-7"/>
          <w:sz w:val="24"/>
        </w:rPr>
        <w:t xml:space="preserve"> </w:t>
      </w:r>
      <w:r>
        <w:rPr>
          <w:sz w:val="24"/>
        </w:rPr>
        <w:t>неисправностям</w:t>
      </w:r>
      <w:r>
        <w:rPr>
          <w:spacing w:val="-7"/>
          <w:sz w:val="24"/>
        </w:rPr>
        <w:t xml:space="preserve"> </w:t>
      </w:r>
      <w:r>
        <w:rPr>
          <w:sz w:val="24"/>
        </w:rPr>
        <w:t>должна</w:t>
      </w:r>
      <w:r>
        <w:rPr>
          <w:spacing w:val="-7"/>
          <w:sz w:val="24"/>
        </w:rPr>
        <w:t xml:space="preserve"> </w:t>
      </w:r>
      <w:r>
        <w:rPr>
          <w:sz w:val="24"/>
        </w:rPr>
        <w:t>быть</w:t>
      </w:r>
      <w:r>
        <w:rPr>
          <w:spacing w:val="-9"/>
          <w:sz w:val="24"/>
        </w:rPr>
        <w:t xml:space="preserve"> </w:t>
      </w:r>
      <w:r>
        <w:rPr>
          <w:sz w:val="24"/>
        </w:rPr>
        <w:t>привязка</w:t>
      </w:r>
      <w:r>
        <w:rPr>
          <w:spacing w:val="-10"/>
          <w:sz w:val="24"/>
        </w:rPr>
        <w:t xml:space="preserve"> </w:t>
      </w:r>
      <w:r>
        <w:rPr>
          <w:sz w:val="24"/>
        </w:rPr>
        <w:t>по территориальному признаку для возможности быстрой локализации аварии.</w:t>
      </w:r>
    </w:p>
    <w:p>
      <w:pPr>
        <w:pStyle w:val="ListParagraph1"/>
        <w:widowControl w:val="false"/>
        <w:numPr>
          <w:ilvl w:val="0"/>
          <w:numId w:val="7"/>
        </w:numPr>
        <w:tabs>
          <w:tab w:val="clear" w:pos="708"/>
          <w:tab w:val="left" w:pos="707" w:leader="none"/>
        </w:tabs>
        <w:spacing w:lineRule="auto" w:line="269"/>
        <w:ind w:hanging="0" w:start="1" w:end="141"/>
        <w:jc w:val="both"/>
        <w:rPr>
          <w:sz w:val="24"/>
        </w:rPr>
      </w:pPr>
      <w:r>
        <w:rPr>
          <w:sz w:val="24"/>
        </w:rPr>
        <w:t xml:space="preserve">Система должна предоставлять возможность создания правил управления освещением при применении совместно с комплексом </w:t>
      </w:r>
      <w:r>
        <w:rPr>
          <w:spacing w:val="-2"/>
          <w:sz w:val="24"/>
        </w:rPr>
        <w:t>видеоаналитики.</w:t>
      </w:r>
    </w:p>
    <w:p>
      <w:pPr>
        <w:pStyle w:val="ListParagraph1"/>
        <w:widowControl w:val="false"/>
        <w:numPr>
          <w:ilvl w:val="0"/>
          <w:numId w:val="7"/>
        </w:numPr>
        <w:tabs>
          <w:tab w:val="clear" w:pos="708"/>
          <w:tab w:val="left" w:pos="707" w:leader="none"/>
        </w:tabs>
        <w:spacing w:lineRule="auto" w:line="269"/>
        <w:ind w:hanging="0" w:start="1" w:end="141"/>
        <w:jc w:val="both"/>
        <w:rPr>
          <w:sz w:val="24"/>
        </w:rPr>
      </w:pPr>
      <w:r>
        <w:rPr>
          <w:sz w:val="24"/>
        </w:rPr>
        <w:t>Система должна предоставлять возможность создания правил управления освещением совместно с датчиком движения.</w:t>
      </w:r>
    </w:p>
    <w:p>
      <w:pPr>
        <w:pStyle w:val="ListParagraph1"/>
        <w:widowControl w:val="false"/>
        <w:numPr>
          <w:ilvl w:val="0"/>
          <w:numId w:val="7"/>
        </w:numPr>
        <w:tabs>
          <w:tab w:val="clear" w:pos="708"/>
          <w:tab w:val="left" w:pos="707" w:leader="none"/>
        </w:tabs>
        <w:spacing w:lineRule="auto" w:line="269" w:before="69" w:after="0"/>
        <w:ind w:hanging="0" w:start="1" w:end="135"/>
        <w:jc w:val="both"/>
        <w:rPr>
          <w:sz w:val="24"/>
        </w:rPr>
      </w:pPr>
      <w:r>
        <w:rPr>
          <w:sz w:val="24"/>
        </w:rPr>
        <w:t>Система должна быть масштабируемой за счет наличия программной реализации</w:t>
      </w:r>
      <w:r>
        <w:rPr>
          <w:spacing w:val="-18"/>
          <w:sz w:val="24"/>
        </w:rPr>
        <w:t xml:space="preserve"> </w:t>
      </w:r>
      <w:r>
        <w:rPr>
          <w:sz w:val="24"/>
        </w:rPr>
        <w:t>(MQTT</w:t>
      </w:r>
      <w:r>
        <w:rPr>
          <w:spacing w:val="-17"/>
          <w:sz w:val="24"/>
        </w:rPr>
        <w:t xml:space="preserve"> </w:t>
      </w:r>
      <w:r>
        <w:rPr>
          <w:sz w:val="24"/>
        </w:rPr>
        <w:t>клиент)</w:t>
      </w:r>
      <w:r>
        <w:rPr>
          <w:spacing w:val="-18"/>
          <w:sz w:val="24"/>
        </w:rPr>
        <w:t xml:space="preserve"> </w:t>
      </w:r>
      <w:r>
        <w:rPr>
          <w:sz w:val="24"/>
        </w:rPr>
        <w:t>для</w:t>
      </w:r>
      <w:r>
        <w:rPr>
          <w:spacing w:val="-17"/>
          <w:sz w:val="24"/>
        </w:rPr>
        <w:t xml:space="preserve"> </w:t>
      </w:r>
      <w:r>
        <w:rPr>
          <w:sz w:val="24"/>
        </w:rPr>
        <w:t>работы</w:t>
      </w:r>
      <w:r>
        <w:rPr>
          <w:spacing w:val="-18"/>
          <w:sz w:val="24"/>
        </w:rPr>
        <w:t xml:space="preserve"> </w:t>
      </w:r>
      <w:r>
        <w:rPr>
          <w:sz w:val="24"/>
        </w:rPr>
        <w:t>с</w:t>
      </w:r>
      <w:r>
        <w:rPr>
          <w:spacing w:val="-17"/>
          <w:sz w:val="24"/>
        </w:rPr>
        <w:t xml:space="preserve"> </w:t>
      </w:r>
      <w:r>
        <w:rPr>
          <w:sz w:val="24"/>
        </w:rPr>
        <w:t>MQTT</w:t>
      </w:r>
      <w:r>
        <w:rPr>
          <w:spacing w:val="-18"/>
          <w:sz w:val="24"/>
        </w:rPr>
        <w:t xml:space="preserve"> </w:t>
      </w:r>
      <w:r>
        <w:rPr>
          <w:sz w:val="24"/>
        </w:rPr>
        <w:t>брокерами.</w:t>
      </w:r>
      <w:r>
        <w:rPr>
          <w:spacing w:val="-17"/>
          <w:sz w:val="24"/>
        </w:rPr>
        <w:t xml:space="preserve"> </w:t>
      </w:r>
      <w:r>
        <w:rPr>
          <w:sz w:val="24"/>
        </w:rPr>
        <w:t>Масштабирование должно осуществляться за счет подключение внешних устройств (датчик освещенности, интеллектуальные светильники и другие устройства) в будущем, работающих по протоколу MQTT.</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Возможность дистанционного обновления прошивки контроллера управления и модулей управления светильниками.</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Отображение</w:t>
      </w:r>
      <w:r>
        <w:rPr>
          <w:spacing w:val="-7"/>
          <w:sz w:val="24"/>
        </w:rPr>
        <w:t xml:space="preserve"> </w:t>
      </w:r>
      <w:r>
        <w:rPr>
          <w:sz w:val="24"/>
        </w:rPr>
        <w:t>по</w:t>
      </w:r>
      <w:r>
        <w:rPr>
          <w:spacing w:val="-4"/>
          <w:sz w:val="24"/>
        </w:rPr>
        <w:t xml:space="preserve"> </w:t>
      </w:r>
      <w:r>
        <w:rPr>
          <w:sz w:val="24"/>
        </w:rPr>
        <w:t>каждому</w:t>
      </w:r>
      <w:r>
        <w:rPr>
          <w:spacing w:val="-9"/>
          <w:sz w:val="24"/>
        </w:rPr>
        <w:t xml:space="preserve"> </w:t>
      </w:r>
      <w:r>
        <w:rPr>
          <w:sz w:val="24"/>
        </w:rPr>
        <w:t>шкафу</w:t>
      </w:r>
      <w:r>
        <w:rPr>
          <w:spacing w:val="-8"/>
          <w:sz w:val="24"/>
        </w:rPr>
        <w:t xml:space="preserve"> </w:t>
      </w:r>
      <w:r>
        <w:rPr>
          <w:sz w:val="24"/>
        </w:rPr>
        <w:t>управления</w:t>
      </w:r>
      <w:r>
        <w:rPr>
          <w:spacing w:val="-5"/>
          <w:sz w:val="24"/>
        </w:rPr>
        <w:t xml:space="preserve"> </w:t>
      </w:r>
      <w:r>
        <w:rPr>
          <w:sz w:val="24"/>
        </w:rPr>
        <w:t>следующей</w:t>
      </w:r>
      <w:r>
        <w:rPr>
          <w:spacing w:val="-4"/>
          <w:sz w:val="24"/>
        </w:rPr>
        <w:t xml:space="preserve"> </w:t>
      </w:r>
      <w:r>
        <w:rPr>
          <w:spacing w:val="-2"/>
          <w:sz w:val="24"/>
        </w:rPr>
        <w:t>информации:</w:t>
      </w:r>
    </w:p>
    <w:p>
      <w:pPr>
        <w:pStyle w:val="ListParagraph1"/>
        <w:widowControl w:val="false"/>
        <w:numPr>
          <w:ilvl w:val="1"/>
          <w:numId w:val="9"/>
        </w:numPr>
        <w:tabs>
          <w:tab w:val="left" w:pos="708" w:leader="none"/>
        </w:tabs>
        <w:spacing w:lineRule="auto" w:line="269" w:before="34" w:after="0"/>
        <w:ind w:firstLine="708" w:start="1" w:end="142"/>
        <w:jc w:val="both"/>
        <w:rPr>
          <w:sz w:val="24"/>
        </w:rPr>
      </w:pPr>
      <w:r>
        <w:rPr>
          <w:sz w:val="24"/>
        </w:rPr>
        <w:t xml:space="preserve">отображение текущего статуса связи с прибором учета электрической </w:t>
      </w:r>
      <w:r>
        <w:rPr>
          <w:spacing w:val="-2"/>
          <w:sz w:val="24"/>
        </w:rPr>
        <w:t>энергии.</w:t>
      </w:r>
    </w:p>
    <w:p>
      <w:pPr>
        <w:pStyle w:val="ListParagraph1"/>
        <w:widowControl w:val="false"/>
        <w:numPr>
          <w:ilvl w:val="1"/>
          <w:numId w:val="9"/>
        </w:numPr>
        <w:tabs>
          <w:tab w:val="left" w:pos="708" w:leader="none"/>
        </w:tabs>
        <w:spacing w:lineRule="auto" w:line="269"/>
        <w:ind w:firstLine="708" w:start="1" w:end="144"/>
        <w:jc w:val="both"/>
        <w:rPr>
          <w:sz w:val="24"/>
        </w:rPr>
      </w:pPr>
      <w:r>
        <w:rPr>
          <w:sz w:val="24"/>
        </w:rPr>
        <w:t>отображение текущего значения токов, мощности и напряжений по каждой фазе.</w:t>
      </w:r>
    </w:p>
    <w:p>
      <w:pPr>
        <w:pStyle w:val="ListParagraph1"/>
        <w:widowControl w:val="false"/>
        <w:numPr>
          <w:ilvl w:val="1"/>
          <w:numId w:val="9"/>
        </w:numPr>
        <w:tabs>
          <w:tab w:val="left" w:pos="708" w:leader="none"/>
        </w:tabs>
        <w:spacing w:lineRule="exact" w:line="321"/>
        <w:ind w:firstLine="708" w:start="1"/>
        <w:jc w:val="both"/>
        <w:rPr>
          <w:sz w:val="24"/>
        </w:rPr>
      </w:pPr>
      <w:r>
        <w:rPr>
          <w:sz w:val="24"/>
        </w:rPr>
        <w:t>отображение</w:t>
      </w:r>
      <w:r>
        <w:rPr>
          <w:spacing w:val="-8"/>
          <w:sz w:val="24"/>
        </w:rPr>
        <w:t xml:space="preserve"> </w:t>
      </w:r>
      <w:r>
        <w:rPr>
          <w:sz w:val="24"/>
        </w:rPr>
        <w:t>состояния</w:t>
      </w:r>
      <w:r>
        <w:rPr>
          <w:spacing w:val="-5"/>
          <w:sz w:val="24"/>
        </w:rPr>
        <w:t xml:space="preserve"> </w:t>
      </w:r>
      <w:r>
        <w:rPr>
          <w:sz w:val="24"/>
        </w:rPr>
        <w:t>защиты</w:t>
      </w:r>
      <w:r>
        <w:rPr>
          <w:spacing w:val="-6"/>
          <w:sz w:val="24"/>
        </w:rPr>
        <w:t xml:space="preserve"> </w:t>
      </w:r>
      <w:r>
        <w:rPr>
          <w:sz w:val="24"/>
        </w:rPr>
        <w:t>по</w:t>
      </w:r>
      <w:r>
        <w:rPr>
          <w:spacing w:val="-4"/>
          <w:sz w:val="24"/>
        </w:rPr>
        <w:t xml:space="preserve"> </w:t>
      </w:r>
      <w:r>
        <w:rPr>
          <w:sz w:val="24"/>
        </w:rPr>
        <w:t>каждой</w:t>
      </w:r>
      <w:r>
        <w:rPr>
          <w:spacing w:val="-8"/>
          <w:sz w:val="24"/>
        </w:rPr>
        <w:t xml:space="preserve"> </w:t>
      </w:r>
      <w:r>
        <w:rPr>
          <w:sz w:val="24"/>
        </w:rPr>
        <w:t>отходящей</w:t>
      </w:r>
      <w:r>
        <w:rPr>
          <w:spacing w:val="-5"/>
          <w:sz w:val="24"/>
        </w:rPr>
        <w:t xml:space="preserve"> </w:t>
      </w:r>
      <w:r>
        <w:rPr>
          <w:spacing w:val="-2"/>
          <w:sz w:val="24"/>
        </w:rPr>
        <w:t>линии</w:t>
      </w:r>
    </w:p>
    <w:p>
      <w:pPr>
        <w:pStyle w:val="ListParagraph1"/>
        <w:widowControl w:val="false"/>
        <w:numPr>
          <w:ilvl w:val="1"/>
          <w:numId w:val="9"/>
        </w:numPr>
        <w:tabs>
          <w:tab w:val="left" w:pos="708" w:leader="none"/>
        </w:tabs>
        <w:spacing w:lineRule="auto" w:line="269" w:before="36" w:after="0"/>
        <w:ind w:firstLine="708" w:start="1" w:end="141"/>
        <w:jc w:val="both"/>
        <w:rPr>
          <w:sz w:val="24"/>
        </w:rPr>
      </w:pPr>
      <w:r>
        <w:rPr>
          <w:sz w:val="24"/>
        </w:rPr>
        <w:t xml:space="preserve">отображение состояния контакторов с возможностью ручного управления по каждому контактору в отдельности и по всем контакторам </w:t>
      </w:r>
      <w:r>
        <w:rPr>
          <w:spacing w:val="-2"/>
          <w:sz w:val="24"/>
        </w:rPr>
        <w:t>сразу.</w:t>
      </w:r>
    </w:p>
    <w:p>
      <w:pPr>
        <w:pStyle w:val="ListParagraph1"/>
        <w:widowControl w:val="false"/>
        <w:numPr>
          <w:ilvl w:val="0"/>
          <w:numId w:val="7"/>
        </w:numPr>
        <w:tabs>
          <w:tab w:val="clear" w:pos="708"/>
          <w:tab w:val="left" w:pos="707" w:leader="none"/>
        </w:tabs>
        <w:spacing w:lineRule="auto" w:line="269"/>
        <w:ind w:hanging="0" w:start="1" w:end="136"/>
        <w:jc w:val="both"/>
        <w:rPr>
          <w:sz w:val="24"/>
        </w:rPr>
      </w:pPr>
      <w:r>
        <w:rPr>
          <w:sz w:val="24"/>
        </w:rPr>
        <w:t xml:space="preserve">Прием, обработка и хранение данных информационно-измерительных </w:t>
      </w:r>
      <w:r>
        <w:rPr>
          <w:spacing w:val="-2"/>
          <w:sz w:val="24"/>
        </w:rPr>
        <w:t>приборов.</w:t>
      </w:r>
    </w:p>
    <w:p>
      <w:pPr>
        <w:pStyle w:val="ListParagraph1"/>
        <w:widowControl w:val="false"/>
        <w:numPr>
          <w:ilvl w:val="0"/>
          <w:numId w:val="7"/>
        </w:numPr>
        <w:tabs>
          <w:tab w:val="clear" w:pos="708"/>
          <w:tab w:val="left" w:pos="707" w:leader="none"/>
        </w:tabs>
        <w:spacing w:lineRule="auto" w:line="269"/>
        <w:ind w:hanging="0" w:start="1" w:end="136"/>
        <w:jc w:val="both"/>
        <w:rPr>
          <w:sz w:val="24"/>
        </w:rPr>
      </w:pPr>
      <w:r>
        <w:rPr>
          <w:sz w:val="24"/>
        </w:rPr>
        <w:t>Отслеживание электросетевых параметров оборудования, контроль их соответствия предыдущему периоду.</w:t>
      </w:r>
    </w:p>
    <w:p>
      <w:pPr>
        <w:pStyle w:val="ListParagraph1"/>
        <w:widowControl w:val="false"/>
        <w:numPr>
          <w:ilvl w:val="0"/>
          <w:numId w:val="7"/>
        </w:numPr>
        <w:tabs>
          <w:tab w:val="clear" w:pos="708"/>
          <w:tab w:val="left" w:pos="707" w:leader="none"/>
        </w:tabs>
        <w:spacing w:lineRule="auto" w:line="269"/>
        <w:ind w:hanging="0" w:start="1" w:end="139"/>
        <w:jc w:val="both"/>
        <w:rPr>
          <w:sz w:val="24"/>
        </w:rPr>
      </w:pPr>
      <w:r>
        <w:rPr>
          <w:sz w:val="24"/>
        </w:rPr>
        <w:t>Возможность получения через программные интерфейсы защищенной информации о параметрах информационно-измерительных приборов и регистрируемых ими данных таких как:</w:t>
      </w:r>
    </w:p>
    <w:p>
      <w:pPr>
        <w:pStyle w:val="ListParagraph1"/>
        <w:widowControl w:val="false"/>
        <w:numPr>
          <w:ilvl w:val="1"/>
          <w:numId w:val="9"/>
        </w:numPr>
        <w:tabs>
          <w:tab w:val="left" w:pos="708" w:leader="none"/>
        </w:tabs>
        <w:spacing w:lineRule="auto" w:line="269"/>
        <w:ind w:firstLine="708" w:start="1" w:end="138"/>
        <w:jc w:val="both"/>
        <w:rPr>
          <w:sz w:val="24"/>
        </w:rPr>
      </w:pPr>
      <w:r>
        <w:rPr>
          <w:sz w:val="24"/>
        </w:rPr>
        <w:t>суточное потребление электроэнергии по объекту с разбивкой по тарифам и активным и реактивным потреблением;</w:t>
      </w:r>
    </w:p>
    <w:p>
      <w:pPr>
        <w:pStyle w:val="ListParagraph1"/>
        <w:widowControl w:val="false"/>
        <w:numPr>
          <w:ilvl w:val="1"/>
          <w:numId w:val="9"/>
        </w:numPr>
        <w:tabs>
          <w:tab w:val="left" w:pos="708" w:leader="none"/>
        </w:tabs>
        <w:spacing w:lineRule="auto" w:line="269"/>
        <w:ind w:firstLine="708" w:start="1" w:end="144"/>
        <w:jc w:val="both"/>
        <w:rPr>
          <w:sz w:val="24"/>
        </w:rPr>
      </w:pPr>
      <w:r>
        <w:rPr>
          <w:sz w:val="24"/>
        </w:rPr>
        <w:t>мгновенные значения токов, напряжений, активной и реактивной мощностей, коэффициент мощности.</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Формирование отчетов по потребляемой электроэнергии для каждого объекта или группы объектов с возможностью выгрузки в MS Excel.</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Формирование сводок и других отчётных документов на основе архивной информации.</w:t>
      </w:r>
    </w:p>
    <w:p>
      <w:pPr>
        <w:pStyle w:val="ListParagraph1"/>
        <w:widowControl w:val="false"/>
        <w:numPr>
          <w:ilvl w:val="0"/>
          <w:numId w:val="7"/>
        </w:numPr>
        <w:tabs>
          <w:tab w:val="clear" w:pos="708"/>
          <w:tab w:val="left" w:pos="707" w:leader="none"/>
        </w:tabs>
        <w:spacing w:lineRule="auto" w:line="269"/>
        <w:ind w:hanging="0" w:start="1" w:end="141"/>
        <w:jc w:val="both"/>
        <w:rPr>
          <w:sz w:val="24"/>
        </w:rPr>
      </w:pPr>
      <w:r>
        <w:rPr>
          <w:sz w:val="24"/>
        </w:rPr>
        <w:t>Автоматическая</w:t>
      </w:r>
      <w:r>
        <w:rPr>
          <w:spacing w:val="-8"/>
          <w:sz w:val="24"/>
        </w:rPr>
        <w:t xml:space="preserve"> </w:t>
      </w:r>
      <w:r>
        <w:rPr>
          <w:sz w:val="24"/>
        </w:rPr>
        <w:t>отправка</w:t>
      </w:r>
      <w:r>
        <w:rPr>
          <w:spacing w:val="-11"/>
          <w:sz w:val="24"/>
        </w:rPr>
        <w:t xml:space="preserve"> </w:t>
      </w:r>
      <w:r>
        <w:rPr>
          <w:sz w:val="24"/>
        </w:rPr>
        <w:t>отчетов</w:t>
      </w:r>
      <w:r>
        <w:rPr>
          <w:spacing w:val="-9"/>
          <w:sz w:val="24"/>
        </w:rPr>
        <w:t xml:space="preserve"> </w:t>
      </w:r>
      <w:r>
        <w:rPr>
          <w:sz w:val="24"/>
        </w:rPr>
        <w:t>потребления</w:t>
      </w:r>
      <w:r>
        <w:rPr>
          <w:spacing w:val="-8"/>
          <w:sz w:val="24"/>
        </w:rPr>
        <w:t xml:space="preserve"> </w:t>
      </w:r>
      <w:r>
        <w:rPr>
          <w:sz w:val="24"/>
        </w:rPr>
        <w:t>за</w:t>
      </w:r>
      <w:r>
        <w:rPr>
          <w:spacing w:val="-9"/>
          <w:sz w:val="24"/>
        </w:rPr>
        <w:t xml:space="preserve"> </w:t>
      </w:r>
      <w:r>
        <w:rPr>
          <w:sz w:val="24"/>
        </w:rPr>
        <w:t>выбранный</w:t>
      </w:r>
      <w:r>
        <w:rPr>
          <w:spacing w:val="-8"/>
          <w:sz w:val="24"/>
        </w:rPr>
        <w:t xml:space="preserve"> </w:t>
      </w:r>
      <w:r>
        <w:rPr>
          <w:sz w:val="24"/>
        </w:rPr>
        <w:t>период</w:t>
      </w:r>
      <w:r>
        <w:rPr>
          <w:spacing w:val="-8"/>
          <w:sz w:val="24"/>
        </w:rPr>
        <w:t xml:space="preserve"> </w:t>
      </w:r>
      <w:r>
        <w:rPr>
          <w:sz w:val="24"/>
        </w:rPr>
        <w:t>на почту пользователя</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Расчет</w:t>
      </w:r>
      <w:r>
        <w:rPr>
          <w:spacing w:val="-7"/>
          <w:sz w:val="24"/>
        </w:rPr>
        <w:t xml:space="preserve"> </w:t>
      </w:r>
      <w:r>
        <w:rPr>
          <w:sz w:val="24"/>
        </w:rPr>
        <w:t>и</w:t>
      </w:r>
      <w:r>
        <w:rPr>
          <w:spacing w:val="-7"/>
          <w:sz w:val="24"/>
        </w:rPr>
        <w:t xml:space="preserve"> </w:t>
      </w:r>
      <w:r>
        <w:rPr>
          <w:sz w:val="24"/>
        </w:rPr>
        <w:t>анализ</w:t>
      </w:r>
      <w:r>
        <w:rPr>
          <w:spacing w:val="-6"/>
          <w:sz w:val="24"/>
        </w:rPr>
        <w:t xml:space="preserve"> </w:t>
      </w:r>
      <w:r>
        <w:rPr>
          <w:sz w:val="24"/>
        </w:rPr>
        <w:t>потребления</w:t>
      </w:r>
      <w:r>
        <w:rPr>
          <w:spacing w:val="-4"/>
          <w:sz w:val="24"/>
        </w:rPr>
        <w:t xml:space="preserve"> </w:t>
      </w:r>
      <w:r>
        <w:rPr>
          <w:sz w:val="24"/>
        </w:rPr>
        <w:t>электроэнергии</w:t>
      </w:r>
      <w:r>
        <w:rPr>
          <w:spacing w:val="-5"/>
          <w:sz w:val="24"/>
        </w:rPr>
        <w:t xml:space="preserve"> </w:t>
      </w:r>
      <w:r>
        <w:rPr>
          <w:sz w:val="24"/>
        </w:rPr>
        <w:t>за</w:t>
      </w:r>
      <w:r>
        <w:rPr>
          <w:spacing w:val="-4"/>
          <w:sz w:val="24"/>
        </w:rPr>
        <w:t xml:space="preserve"> </w:t>
      </w:r>
      <w:r>
        <w:rPr>
          <w:spacing w:val="-2"/>
          <w:sz w:val="24"/>
        </w:rPr>
        <w:t>период.</w:t>
      </w:r>
    </w:p>
    <w:p>
      <w:pPr>
        <w:pStyle w:val="ListParagraph1"/>
        <w:widowControl w:val="false"/>
        <w:numPr>
          <w:ilvl w:val="0"/>
          <w:numId w:val="7"/>
        </w:numPr>
        <w:tabs>
          <w:tab w:val="clear" w:pos="708"/>
          <w:tab w:val="left" w:pos="707" w:leader="none"/>
        </w:tabs>
        <w:spacing w:before="25" w:after="0"/>
        <w:ind w:hanging="0" w:start="708"/>
        <w:jc w:val="both"/>
        <w:rPr>
          <w:sz w:val="24"/>
        </w:rPr>
      </w:pPr>
      <w:r>
        <w:rPr>
          <w:sz w:val="24"/>
        </w:rPr>
        <w:t>Расчет</w:t>
      </w:r>
      <w:r>
        <w:rPr>
          <w:spacing w:val="-7"/>
          <w:sz w:val="24"/>
        </w:rPr>
        <w:t xml:space="preserve"> </w:t>
      </w:r>
      <w:r>
        <w:rPr>
          <w:sz w:val="24"/>
        </w:rPr>
        <w:t>энергосбережения</w:t>
      </w:r>
      <w:r>
        <w:rPr>
          <w:spacing w:val="-6"/>
          <w:sz w:val="24"/>
        </w:rPr>
        <w:t xml:space="preserve"> </w:t>
      </w:r>
      <w:r>
        <w:rPr>
          <w:sz w:val="24"/>
        </w:rPr>
        <w:t>за</w:t>
      </w:r>
      <w:r>
        <w:rPr>
          <w:spacing w:val="-6"/>
          <w:sz w:val="24"/>
        </w:rPr>
        <w:t xml:space="preserve"> </w:t>
      </w:r>
      <w:r>
        <w:rPr>
          <w:spacing w:val="-2"/>
          <w:sz w:val="24"/>
        </w:rPr>
        <w:t>период.</w:t>
      </w:r>
    </w:p>
    <w:p>
      <w:pPr>
        <w:pStyle w:val="ListParagraph1"/>
        <w:widowControl w:val="false"/>
        <w:numPr>
          <w:ilvl w:val="0"/>
          <w:numId w:val="7"/>
        </w:numPr>
        <w:tabs>
          <w:tab w:val="clear" w:pos="708"/>
          <w:tab w:val="left" w:pos="707" w:leader="none"/>
        </w:tabs>
        <w:spacing w:lineRule="auto" w:line="269" w:before="38" w:after="0"/>
        <w:ind w:hanging="0" w:start="1" w:end="143"/>
        <w:jc w:val="both"/>
        <w:rPr>
          <w:sz w:val="24"/>
        </w:rPr>
      </w:pPr>
      <w:r>
        <w:rPr>
          <w:sz w:val="24"/>
        </w:rPr>
        <w:t>Наличие возможности для создания</w:t>
      </w:r>
      <w:r>
        <w:rPr>
          <w:spacing w:val="-2"/>
          <w:sz w:val="24"/>
        </w:rPr>
        <w:t xml:space="preserve"> </w:t>
      </w:r>
      <w:r>
        <w:rPr>
          <w:sz w:val="24"/>
        </w:rPr>
        <w:t>интерактивных отчётов.</w:t>
      </w:r>
      <w:r>
        <w:rPr>
          <w:spacing w:val="-1"/>
          <w:sz w:val="24"/>
        </w:rPr>
        <w:t xml:space="preserve"> </w:t>
      </w:r>
      <w:r>
        <w:rPr>
          <w:sz w:val="24"/>
        </w:rPr>
        <w:t>В Системе должен работать конфигуратор отчетов, позволяющий гибко вносить изменения в отчеты.</w:t>
      </w:r>
    </w:p>
    <w:p>
      <w:pPr>
        <w:pStyle w:val="ListParagraph1"/>
        <w:widowControl w:val="false"/>
        <w:numPr>
          <w:ilvl w:val="0"/>
          <w:numId w:val="7"/>
        </w:numPr>
        <w:tabs>
          <w:tab w:val="clear" w:pos="708"/>
          <w:tab w:val="left" w:pos="707" w:leader="none"/>
        </w:tabs>
        <w:spacing w:lineRule="auto" w:line="269" w:before="69" w:after="0"/>
        <w:ind w:hanging="0" w:start="1" w:end="143"/>
        <w:jc w:val="both"/>
        <w:rPr>
          <w:sz w:val="24"/>
        </w:rPr>
      </w:pPr>
      <w:r>
        <w:rPr>
          <w:sz w:val="24"/>
        </w:rPr>
        <w:t>Возможность создания и редактирования поопорной схемы линий освещения</w:t>
      </w:r>
      <w:r>
        <w:rPr>
          <w:spacing w:val="66"/>
          <w:sz w:val="24"/>
        </w:rPr>
        <w:t xml:space="preserve">  </w:t>
      </w:r>
      <w:r>
        <w:rPr>
          <w:sz w:val="24"/>
        </w:rPr>
        <w:t>на</w:t>
      </w:r>
      <w:r>
        <w:rPr>
          <w:spacing w:val="66"/>
          <w:sz w:val="24"/>
        </w:rPr>
        <w:t xml:space="preserve">  </w:t>
      </w:r>
      <w:r>
        <w:rPr>
          <w:sz w:val="24"/>
        </w:rPr>
        <w:t>карте</w:t>
      </w:r>
      <w:r>
        <w:rPr>
          <w:spacing w:val="65"/>
          <w:sz w:val="24"/>
        </w:rPr>
        <w:t xml:space="preserve">  </w:t>
      </w:r>
      <w:r>
        <w:rPr>
          <w:sz w:val="24"/>
        </w:rPr>
        <w:t>населенного</w:t>
      </w:r>
      <w:r>
        <w:rPr>
          <w:spacing w:val="65"/>
          <w:sz w:val="24"/>
        </w:rPr>
        <w:t xml:space="preserve">  </w:t>
      </w:r>
      <w:r>
        <w:rPr>
          <w:sz w:val="24"/>
        </w:rPr>
        <w:t>пункта.</w:t>
      </w:r>
      <w:r>
        <w:rPr>
          <w:spacing w:val="65"/>
          <w:sz w:val="24"/>
        </w:rPr>
        <w:t xml:space="preserve">  </w:t>
      </w:r>
      <w:r>
        <w:rPr>
          <w:sz w:val="24"/>
        </w:rPr>
        <w:t>Графическое</w:t>
      </w:r>
      <w:r>
        <w:rPr>
          <w:spacing w:val="66"/>
          <w:sz w:val="24"/>
        </w:rPr>
        <w:t xml:space="preserve">  </w:t>
      </w:r>
      <w:r>
        <w:rPr>
          <w:sz w:val="24"/>
        </w:rPr>
        <w:t>отображение</w:t>
      </w:r>
      <w:bookmarkStart w:id="1" w:name="6"/>
      <w:bookmarkEnd w:id="1"/>
      <w:r>
        <w:rPr>
          <w:sz w:val="24"/>
        </w:rPr>
        <w:t>результатов инвентаризации объектов наружного освещения на интерактивной карте:</w:t>
      </w:r>
    </w:p>
    <w:p>
      <w:pPr>
        <w:pStyle w:val="ListParagraph1"/>
        <w:widowControl w:val="false"/>
        <w:numPr>
          <w:ilvl w:val="1"/>
          <w:numId w:val="9"/>
        </w:numPr>
        <w:tabs>
          <w:tab w:val="left" w:pos="708" w:leader="none"/>
        </w:tabs>
        <w:spacing w:lineRule="auto" w:line="269"/>
        <w:ind w:firstLine="708" w:start="1" w:end="138"/>
        <w:jc w:val="both"/>
        <w:rPr>
          <w:sz w:val="24"/>
        </w:rPr>
      </w:pPr>
      <w:r>
        <w:rPr>
          <w:sz w:val="24"/>
        </w:rPr>
        <w:t>нанесение ШУНО с указанием номера ШУНО, установочных значений напряжений, токов и мощностей по фазам, возможность подгрузки схем, спецификаций и других файлов</w:t>
      </w:r>
    </w:p>
    <w:p>
      <w:pPr>
        <w:pStyle w:val="ListParagraph1"/>
        <w:widowControl w:val="false"/>
        <w:numPr>
          <w:ilvl w:val="1"/>
          <w:numId w:val="9"/>
        </w:numPr>
        <w:tabs>
          <w:tab w:val="left" w:pos="708" w:leader="none"/>
        </w:tabs>
        <w:spacing w:lineRule="auto" w:line="269"/>
        <w:ind w:firstLine="708" w:start="1" w:end="142"/>
        <w:jc w:val="both"/>
        <w:rPr>
          <w:sz w:val="24"/>
        </w:rPr>
      </w:pPr>
      <w:r>
        <w:rPr>
          <w:sz w:val="24"/>
        </w:rPr>
        <w:t>нанесение линий электропередач с привязкой к ШУНО, цветографическое</w:t>
      </w:r>
      <w:r>
        <w:rPr>
          <w:spacing w:val="-16"/>
          <w:sz w:val="24"/>
        </w:rPr>
        <w:t xml:space="preserve"> </w:t>
      </w:r>
      <w:r>
        <w:rPr>
          <w:sz w:val="24"/>
        </w:rPr>
        <w:t>разделение</w:t>
      </w:r>
      <w:r>
        <w:rPr>
          <w:spacing w:val="-13"/>
          <w:sz w:val="24"/>
        </w:rPr>
        <w:t xml:space="preserve"> </w:t>
      </w:r>
      <w:r>
        <w:rPr>
          <w:sz w:val="24"/>
        </w:rPr>
        <w:t>линий</w:t>
      </w:r>
      <w:r>
        <w:rPr>
          <w:spacing w:val="-15"/>
          <w:sz w:val="24"/>
        </w:rPr>
        <w:t xml:space="preserve"> </w:t>
      </w:r>
      <w:r>
        <w:rPr>
          <w:sz w:val="24"/>
        </w:rPr>
        <w:t>по</w:t>
      </w:r>
      <w:r>
        <w:rPr>
          <w:spacing w:val="-15"/>
          <w:sz w:val="24"/>
        </w:rPr>
        <w:t xml:space="preserve"> </w:t>
      </w:r>
      <w:r>
        <w:rPr>
          <w:sz w:val="24"/>
        </w:rPr>
        <w:t>типам</w:t>
      </w:r>
      <w:r>
        <w:rPr>
          <w:spacing w:val="-14"/>
          <w:sz w:val="24"/>
        </w:rPr>
        <w:t xml:space="preserve"> </w:t>
      </w:r>
      <w:r>
        <w:rPr>
          <w:sz w:val="24"/>
        </w:rPr>
        <w:t>с</w:t>
      </w:r>
      <w:r>
        <w:rPr>
          <w:spacing w:val="-13"/>
          <w:sz w:val="24"/>
        </w:rPr>
        <w:t xml:space="preserve"> </w:t>
      </w:r>
      <w:r>
        <w:rPr>
          <w:sz w:val="24"/>
        </w:rPr>
        <w:t>указанием</w:t>
      </w:r>
      <w:r>
        <w:rPr>
          <w:spacing w:val="-15"/>
          <w:sz w:val="24"/>
        </w:rPr>
        <w:t xml:space="preserve"> </w:t>
      </w:r>
      <w:r>
        <w:rPr>
          <w:sz w:val="24"/>
        </w:rPr>
        <w:t>параметров</w:t>
      </w:r>
      <w:r>
        <w:rPr>
          <w:spacing w:val="-14"/>
          <w:sz w:val="24"/>
        </w:rPr>
        <w:t xml:space="preserve"> </w:t>
      </w:r>
      <w:r>
        <w:rPr>
          <w:spacing w:val="-2"/>
          <w:sz w:val="24"/>
        </w:rPr>
        <w:t>кабеля;</w:t>
      </w:r>
    </w:p>
    <w:p>
      <w:pPr>
        <w:pStyle w:val="ListParagraph1"/>
        <w:widowControl w:val="false"/>
        <w:numPr>
          <w:ilvl w:val="1"/>
          <w:numId w:val="9"/>
        </w:numPr>
        <w:tabs>
          <w:tab w:val="left" w:pos="708" w:leader="none"/>
        </w:tabs>
        <w:spacing w:lineRule="auto" w:line="269"/>
        <w:ind w:firstLine="708" w:start="1" w:end="143"/>
        <w:jc w:val="both"/>
        <w:rPr>
          <w:sz w:val="24"/>
        </w:rPr>
      </w:pPr>
      <w:r>
        <w:rPr>
          <w:sz w:val="24"/>
        </w:rPr>
        <w:t>нанесение опор освещения с привязкой к линии электропередач и ШУНО,</w:t>
      </w:r>
      <w:r>
        <w:rPr>
          <w:spacing w:val="-15"/>
          <w:sz w:val="24"/>
        </w:rPr>
        <w:t xml:space="preserve"> </w:t>
      </w:r>
      <w:r>
        <w:rPr>
          <w:sz w:val="24"/>
        </w:rPr>
        <w:t>и</w:t>
      </w:r>
      <w:r>
        <w:rPr>
          <w:spacing w:val="-12"/>
          <w:sz w:val="24"/>
        </w:rPr>
        <w:t xml:space="preserve"> </w:t>
      </w:r>
      <w:r>
        <w:rPr>
          <w:sz w:val="24"/>
        </w:rPr>
        <w:t>указанием</w:t>
      </w:r>
      <w:r>
        <w:rPr>
          <w:spacing w:val="-15"/>
          <w:sz w:val="24"/>
        </w:rPr>
        <w:t xml:space="preserve"> </w:t>
      </w:r>
      <w:r>
        <w:rPr>
          <w:sz w:val="24"/>
        </w:rPr>
        <w:t>типа</w:t>
      </w:r>
      <w:r>
        <w:rPr>
          <w:spacing w:val="-14"/>
          <w:sz w:val="24"/>
        </w:rPr>
        <w:t xml:space="preserve"> </w:t>
      </w:r>
      <w:r>
        <w:rPr>
          <w:sz w:val="24"/>
        </w:rPr>
        <w:t>опоры,</w:t>
      </w:r>
      <w:r>
        <w:rPr>
          <w:spacing w:val="-15"/>
          <w:sz w:val="24"/>
        </w:rPr>
        <w:t xml:space="preserve"> </w:t>
      </w:r>
      <w:r>
        <w:rPr>
          <w:sz w:val="24"/>
        </w:rPr>
        <w:t>автоматическая</w:t>
      </w:r>
      <w:r>
        <w:rPr>
          <w:spacing w:val="-14"/>
          <w:sz w:val="24"/>
        </w:rPr>
        <w:t xml:space="preserve"> </w:t>
      </w:r>
      <w:r>
        <w:rPr>
          <w:sz w:val="24"/>
        </w:rPr>
        <w:t>нумерация</w:t>
      </w:r>
      <w:r>
        <w:rPr>
          <w:spacing w:val="-14"/>
          <w:sz w:val="24"/>
        </w:rPr>
        <w:t xml:space="preserve"> </w:t>
      </w:r>
      <w:r>
        <w:rPr>
          <w:sz w:val="24"/>
        </w:rPr>
        <w:t>опор</w:t>
      </w:r>
      <w:r>
        <w:rPr>
          <w:spacing w:val="-14"/>
          <w:sz w:val="24"/>
        </w:rPr>
        <w:t xml:space="preserve"> </w:t>
      </w:r>
      <w:r>
        <w:rPr>
          <w:sz w:val="24"/>
        </w:rPr>
        <w:t>с</w:t>
      </w:r>
      <w:r>
        <w:rPr>
          <w:spacing w:val="-14"/>
          <w:sz w:val="24"/>
        </w:rPr>
        <w:t xml:space="preserve"> </w:t>
      </w:r>
      <w:r>
        <w:rPr>
          <w:sz w:val="24"/>
        </w:rPr>
        <w:t>привязкой к номеру ШУНО;</w:t>
      </w:r>
    </w:p>
    <w:p>
      <w:pPr>
        <w:pStyle w:val="ListParagraph1"/>
        <w:widowControl w:val="false"/>
        <w:numPr>
          <w:ilvl w:val="1"/>
          <w:numId w:val="9"/>
        </w:numPr>
        <w:tabs>
          <w:tab w:val="left" w:pos="708" w:leader="none"/>
        </w:tabs>
        <w:spacing w:lineRule="auto" w:line="269"/>
        <w:ind w:firstLine="708" w:start="1" w:end="141"/>
        <w:jc w:val="both"/>
        <w:rPr>
          <w:sz w:val="24"/>
        </w:rPr>
      </w:pPr>
      <w:r>
        <w:rPr>
          <w:sz w:val="24"/>
        </w:rPr>
        <w:t xml:space="preserve">нанесение светильников с привязкой к опоре освещения с указанием мощности, типа источника света, марки светильника; цветовое разделение типов светильников; автоматическая нумерация светильников с привязкой к номеру ШУНО и номеру опоры; возможность загрузки фотографии </w:t>
      </w:r>
      <w:r>
        <w:rPr>
          <w:spacing w:val="-2"/>
          <w:sz w:val="24"/>
        </w:rPr>
        <w:t>светильника.</w:t>
      </w:r>
    </w:p>
    <w:p>
      <w:pPr>
        <w:pStyle w:val="ListParagraph1"/>
        <w:widowControl w:val="false"/>
        <w:numPr>
          <w:ilvl w:val="1"/>
          <w:numId w:val="9"/>
        </w:numPr>
        <w:tabs>
          <w:tab w:val="left" w:pos="708" w:leader="none"/>
        </w:tabs>
        <w:spacing w:lineRule="auto" w:line="269"/>
        <w:ind w:firstLine="708" w:start="1" w:end="144"/>
        <w:jc w:val="both"/>
        <w:rPr>
          <w:sz w:val="24"/>
        </w:rPr>
      </w:pPr>
      <w:r>
        <w:rPr>
          <w:sz w:val="24"/>
        </w:rPr>
        <w:t>внесение информации об установке на опоры освещения дополнительного оборудования</w:t>
      </w:r>
    </w:p>
    <w:p>
      <w:pPr>
        <w:pStyle w:val="ListParagraph1"/>
        <w:widowControl w:val="false"/>
        <w:numPr>
          <w:ilvl w:val="1"/>
          <w:numId w:val="9"/>
        </w:numPr>
        <w:tabs>
          <w:tab w:val="left" w:pos="708" w:leader="none"/>
        </w:tabs>
        <w:spacing w:lineRule="auto" w:line="269"/>
        <w:ind w:firstLine="708" w:start="1" w:end="137"/>
        <w:jc w:val="both"/>
        <w:rPr>
          <w:sz w:val="24"/>
        </w:rPr>
      </w:pPr>
      <w:r>
        <w:rPr>
          <w:sz w:val="24"/>
        </w:rPr>
        <w:t>внесение</w:t>
      </w:r>
      <w:r>
        <w:rPr>
          <w:spacing w:val="-18"/>
          <w:sz w:val="24"/>
        </w:rPr>
        <w:t xml:space="preserve"> </w:t>
      </w:r>
      <w:r>
        <w:rPr>
          <w:sz w:val="24"/>
        </w:rPr>
        <w:t>произвольных</w:t>
      </w:r>
      <w:r>
        <w:rPr>
          <w:spacing w:val="-17"/>
          <w:sz w:val="24"/>
        </w:rPr>
        <w:t xml:space="preserve"> </w:t>
      </w:r>
      <w:r>
        <w:rPr>
          <w:sz w:val="24"/>
        </w:rPr>
        <w:t>объектов</w:t>
      </w:r>
      <w:r>
        <w:rPr>
          <w:spacing w:val="-18"/>
          <w:sz w:val="24"/>
        </w:rPr>
        <w:t xml:space="preserve"> </w:t>
      </w:r>
      <w:r>
        <w:rPr>
          <w:sz w:val="24"/>
        </w:rPr>
        <w:t>(полигонов,</w:t>
      </w:r>
      <w:r>
        <w:rPr>
          <w:spacing w:val="-17"/>
          <w:sz w:val="24"/>
        </w:rPr>
        <w:t xml:space="preserve"> </w:t>
      </w:r>
      <w:r>
        <w:rPr>
          <w:sz w:val="24"/>
        </w:rPr>
        <w:t>точек,</w:t>
      </w:r>
      <w:r>
        <w:rPr>
          <w:spacing w:val="-18"/>
          <w:sz w:val="24"/>
        </w:rPr>
        <w:t xml:space="preserve"> </w:t>
      </w:r>
      <w:r>
        <w:rPr>
          <w:sz w:val="24"/>
        </w:rPr>
        <w:t>линейных</w:t>
      </w:r>
      <w:r>
        <w:rPr>
          <w:spacing w:val="-17"/>
          <w:sz w:val="24"/>
        </w:rPr>
        <w:t xml:space="preserve"> </w:t>
      </w:r>
      <w:r>
        <w:rPr>
          <w:sz w:val="24"/>
        </w:rPr>
        <w:t>объектов и т.д.) со свободно редактируемыми полями паспорта объекта</w:t>
      </w:r>
    </w:p>
    <w:p>
      <w:pPr>
        <w:pStyle w:val="ListParagraph1"/>
        <w:widowControl w:val="false"/>
        <w:numPr>
          <w:ilvl w:val="1"/>
          <w:numId w:val="9"/>
        </w:numPr>
        <w:tabs>
          <w:tab w:val="left" w:pos="708" w:leader="none"/>
        </w:tabs>
        <w:spacing w:lineRule="exact" w:line="320"/>
        <w:ind w:firstLine="708" w:start="1"/>
        <w:jc w:val="both"/>
        <w:rPr>
          <w:sz w:val="24"/>
        </w:rPr>
      </w:pPr>
      <w:r>
        <w:rPr>
          <w:spacing w:val="-2"/>
          <w:sz w:val="24"/>
        </w:rPr>
        <w:t>возможность</w:t>
      </w:r>
      <w:r>
        <w:rPr>
          <w:spacing w:val="-11"/>
          <w:sz w:val="24"/>
        </w:rPr>
        <w:t xml:space="preserve"> </w:t>
      </w:r>
      <w:r>
        <w:rPr>
          <w:spacing w:val="-2"/>
          <w:sz w:val="24"/>
        </w:rPr>
        <w:t>выбора</w:t>
      </w:r>
      <w:r>
        <w:rPr>
          <w:spacing w:val="-8"/>
          <w:sz w:val="24"/>
        </w:rPr>
        <w:t xml:space="preserve"> </w:t>
      </w:r>
      <w:r>
        <w:rPr>
          <w:spacing w:val="-2"/>
          <w:sz w:val="24"/>
        </w:rPr>
        <w:t>иконки</w:t>
      </w:r>
      <w:r>
        <w:rPr>
          <w:spacing w:val="-6"/>
          <w:sz w:val="24"/>
        </w:rPr>
        <w:t xml:space="preserve"> </w:t>
      </w:r>
      <w:r>
        <w:rPr>
          <w:spacing w:val="-2"/>
          <w:sz w:val="24"/>
        </w:rPr>
        <w:t>типа</w:t>
      </w:r>
      <w:r>
        <w:rPr>
          <w:spacing w:val="-11"/>
          <w:sz w:val="24"/>
        </w:rPr>
        <w:t xml:space="preserve"> </w:t>
      </w:r>
      <w:r>
        <w:rPr>
          <w:spacing w:val="-2"/>
          <w:sz w:val="24"/>
        </w:rPr>
        <w:t>объекта</w:t>
      </w:r>
      <w:r>
        <w:rPr>
          <w:spacing w:val="-7"/>
          <w:sz w:val="24"/>
        </w:rPr>
        <w:t xml:space="preserve"> </w:t>
      </w:r>
      <w:r>
        <w:rPr>
          <w:spacing w:val="-2"/>
          <w:sz w:val="24"/>
        </w:rPr>
        <w:t>и</w:t>
      </w:r>
      <w:r>
        <w:rPr>
          <w:spacing w:val="-8"/>
          <w:sz w:val="24"/>
        </w:rPr>
        <w:t xml:space="preserve"> </w:t>
      </w:r>
      <w:r>
        <w:rPr>
          <w:spacing w:val="-2"/>
          <w:sz w:val="24"/>
        </w:rPr>
        <w:t>стили</w:t>
      </w:r>
      <w:r>
        <w:rPr>
          <w:spacing w:val="-7"/>
          <w:sz w:val="24"/>
        </w:rPr>
        <w:t xml:space="preserve"> </w:t>
      </w:r>
      <w:r>
        <w:rPr>
          <w:spacing w:val="-2"/>
          <w:sz w:val="24"/>
        </w:rPr>
        <w:t>отображения</w:t>
      </w:r>
      <w:r>
        <w:rPr>
          <w:spacing w:val="-10"/>
          <w:sz w:val="24"/>
        </w:rPr>
        <w:t xml:space="preserve"> </w:t>
      </w:r>
      <w:r>
        <w:rPr>
          <w:spacing w:val="-2"/>
          <w:sz w:val="24"/>
        </w:rPr>
        <w:t>на</w:t>
      </w:r>
      <w:r>
        <w:rPr>
          <w:spacing w:val="-7"/>
          <w:sz w:val="24"/>
        </w:rPr>
        <w:t xml:space="preserve"> </w:t>
      </w:r>
      <w:r>
        <w:rPr>
          <w:spacing w:val="-2"/>
          <w:sz w:val="24"/>
        </w:rPr>
        <w:t>карте.</w:t>
      </w:r>
    </w:p>
    <w:p>
      <w:pPr>
        <w:pStyle w:val="ListParagraph1"/>
        <w:widowControl w:val="false"/>
        <w:numPr>
          <w:ilvl w:val="0"/>
          <w:numId w:val="7"/>
        </w:numPr>
        <w:tabs>
          <w:tab w:val="clear" w:pos="708"/>
          <w:tab w:val="left" w:pos="707" w:leader="none"/>
        </w:tabs>
        <w:spacing w:before="25" w:after="0"/>
        <w:ind w:hanging="0" w:start="708"/>
        <w:jc w:val="both"/>
        <w:rPr>
          <w:sz w:val="24"/>
        </w:rPr>
      </w:pPr>
      <w:r>
        <w:rPr>
          <w:sz w:val="24"/>
        </w:rPr>
        <w:t>Требования</w:t>
      </w:r>
      <w:r>
        <w:rPr>
          <w:spacing w:val="-12"/>
          <w:sz w:val="24"/>
        </w:rPr>
        <w:t xml:space="preserve"> </w:t>
      </w:r>
      <w:r>
        <w:rPr>
          <w:sz w:val="24"/>
        </w:rPr>
        <w:t>к</w:t>
      </w:r>
      <w:r>
        <w:rPr>
          <w:spacing w:val="-8"/>
          <w:sz w:val="24"/>
        </w:rPr>
        <w:t xml:space="preserve"> </w:t>
      </w:r>
      <w:r>
        <w:rPr>
          <w:sz w:val="24"/>
        </w:rPr>
        <w:t>функциональности</w:t>
      </w:r>
      <w:r>
        <w:rPr>
          <w:spacing w:val="-8"/>
          <w:sz w:val="24"/>
        </w:rPr>
        <w:t xml:space="preserve"> </w:t>
      </w:r>
      <w:r>
        <w:rPr>
          <w:spacing w:val="-2"/>
          <w:sz w:val="24"/>
        </w:rPr>
        <w:t>карты:</w:t>
      </w:r>
    </w:p>
    <w:p>
      <w:pPr>
        <w:pStyle w:val="ListParagraph1"/>
        <w:widowControl w:val="false"/>
        <w:numPr>
          <w:ilvl w:val="1"/>
          <w:numId w:val="9"/>
        </w:numPr>
        <w:tabs>
          <w:tab w:val="left" w:pos="708" w:leader="none"/>
        </w:tabs>
        <w:spacing w:lineRule="auto" w:line="269" w:before="38" w:after="0"/>
        <w:ind w:firstLine="708" w:start="1" w:end="143"/>
        <w:jc w:val="both"/>
        <w:rPr>
          <w:sz w:val="24"/>
        </w:rPr>
      </w:pPr>
      <w:r>
        <w:rPr>
          <w:sz w:val="24"/>
        </w:rPr>
        <w:t>отображение и размещение объектов на карте с целью наглядной демонстрации их физического месторасположения и состояния.</w:t>
      </w:r>
    </w:p>
    <w:p>
      <w:pPr>
        <w:pStyle w:val="ListParagraph1"/>
        <w:widowControl w:val="false"/>
        <w:numPr>
          <w:ilvl w:val="1"/>
          <w:numId w:val="9"/>
        </w:numPr>
        <w:tabs>
          <w:tab w:val="left" w:pos="708" w:leader="none"/>
        </w:tabs>
        <w:spacing w:lineRule="auto" w:line="269"/>
        <w:ind w:firstLine="708" w:start="1" w:end="143"/>
        <w:jc w:val="both"/>
        <w:rPr>
          <w:sz w:val="24"/>
        </w:rPr>
      </w:pPr>
      <w:r>
        <w:rPr>
          <w:sz w:val="24"/>
        </w:rPr>
        <w:t>наличие альтернативных подложек для карты: загрузка собственных изображений в качестве основы для карты.</w:t>
      </w:r>
    </w:p>
    <w:p>
      <w:pPr>
        <w:pStyle w:val="ListParagraph1"/>
        <w:widowControl w:val="false"/>
        <w:numPr>
          <w:ilvl w:val="1"/>
          <w:numId w:val="9"/>
        </w:numPr>
        <w:tabs>
          <w:tab w:val="left" w:pos="708" w:leader="none"/>
        </w:tabs>
        <w:spacing w:lineRule="exact" w:line="320"/>
        <w:ind w:firstLine="708" w:start="1"/>
        <w:jc w:val="both"/>
        <w:rPr>
          <w:sz w:val="24"/>
        </w:rPr>
      </w:pPr>
      <w:r>
        <w:rPr>
          <w:sz w:val="24"/>
        </w:rPr>
        <w:t>отображение</w:t>
      </w:r>
      <w:r>
        <w:rPr>
          <w:spacing w:val="-4"/>
          <w:sz w:val="24"/>
        </w:rPr>
        <w:t xml:space="preserve"> </w:t>
      </w:r>
      <w:r>
        <w:rPr>
          <w:sz w:val="24"/>
        </w:rPr>
        <w:t>ЛЭП</w:t>
      </w:r>
      <w:r>
        <w:rPr>
          <w:spacing w:val="-5"/>
          <w:sz w:val="24"/>
        </w:rPr>
        <w:t xml:space="preserve"> </w:t>
      </w:r>
      <w:r>
        <w:rPr>
          <w:sz w:val="24"/>
        </w:rPr>
        <w:t>и</w:t>
      </w:r>
      <w:r>
        <w:rPr>
          <w:spacing w:val="-5"/>
          <w:sz w:val="24"/>
        </w:rPr>
        <w:t xml:space="preserve"> </w:t>
      </w:r>
      <w:r>
        <w:rPr>
          <w:sz w:val="24"/>
        </w:rPr>
        <w:t>опор</w:t>
      </w:r>
      <w:r>
        <w:rPr>
          <w:spacing w:val="-5"/>
          <w:sz w:val="24"/>
        </w:rPr>
        <w:t xml:space="preserve"> </w:t>
      </w:r>
      <w:r>
        <w:rPr>
          <w:sz w:val="24"/>
        </w:rPr>
        <w:t>освещения</w:t>
      </w:r>
      <w:r>
        <w:rPr>
          <w:spacing w:val="-3"/>
          <w:sz w:val="24"/>
        </w:rPr>
        <w:t xml:space="preserve"> </w:t>
      </w:r>
      <w:r>
        <w:rPr>
          <w:sz w:val="24"/>
        </w:rPr>
        <w:t>на</w:t>
      </w:r>
      <w:r>
        <w:rPr>
          <w:spacing w:val="-3"/>
          <w:sz w:val="24"/>
        </w:rPr>
        <w:t xml:space="preserve"> </w:t>
      </w:r>
      <w:r>
        <w:rPr>
          <w:spacing w:val="-2"/>
          <w:sz w:val="24"/>
        </w:rPr>
        <w:t>карте.</w:t>
      </w:r>
    </w:p>
    <w:p>
      <w:pPr>
        <w:pStyle w:val="ListParagraph1"/>
        <w:widowControl w:val="false"/>
        <w:numPr>
          <w:ilvl w:val="1"/>
          <w:numId w:val="9"/>
        </w:numPr>
        <w:tabs>
          <w:tab w:val="left" w:pos="708" w:leader="none"/>
        </w:tabs>
        <w:spacing w:lineRule="auto" w:line="269" w:before="37" w:after="0"/>
        <w:ind w:firstLine="708" w:start="1" w:end="136"/>
        <w:jc w:val="both"/>
        <w:rPr>
          <w:sz w:val="24"/>
        </w:rPr>
      </w:pPr>
      <w:r>
        <w:rPr>
          <w:sz w:val="24"/>
        </w:rPr>
        <w:t>наличие интерактивной карты с возможностью отображения состояния и управления прямо с карты.</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Возможность</w:t>
      </w:r>
      <w:r>
        <w:rPr>
          <w:spacing w:val="-9"/>
          <w:sz w:val="24"/>
        </w:rPr>
        <w:t xml:space="preserve"> </w:t>
      </w:r>
      <w:r>
        <w:rPr>
          <w:sz w:val="24"/>
        </w:rPr>
        <w:t>отображения</w:t>
      </w:r>
      <w:r>
        <w:rPr>
          <w:spacing w:val="-7"/>
          <w:sz w:val="24"/>
        </w:rPr>
        <w:t xml:space="preserve"> </w:t>
      </w:r>
      <w:r>
        <w:rPr>
          <w:sz w:val="24"/>
        </w:rPr>
        <w:t>на</w:t>
      </w:r>
      <w:r>
        <w:rPr>
          <w:spacing w:val="-5"/>
          <w:sz w:val="24"/>
        </w:rPr>
        <w:t xml:space="preserve"> </w:t>
      </w:r>
      <w:r>
        <w:rPr>
          <w:sz w:val="24"/>
        </w:rPr>
        <w:t>карте</w:t>
      </w:r>
      <w:r>
        <w:rPr>
          <w:spacing w:val="-7"/>
          <w:sz w:val="24"/>
        </w:rPr>
        <w:t xml:space="preserve"> </w:t>
      </w:r>
      <w:r>
        <w:rPr>
          <w:sz w:val="24"/>
        </w:rPr>
        <w:t>объектов</w:t>
      </w:r>
      <w:r>
        <w:rPr>
          <w:spacing w:val="-7"/>
          <w:sz w:val="24"/>
        </w:rPr>
        <w:t xml:space="preserve"> </w:t>
      </w:r>
      <w:r>
        <w:rPr>
          <w:spacing w:val="-5"/>
          <w:sz w:val="24"/>
        </w:rPr>
        <w:t>по:</w:t>
      </w:r>
    </w:p>
    <w:p>
      <w:pPr>
        <w:pStyle w:val="ListParagraph1"/>
        <w:widowControl w:val="false"/>
        <w:numPr>
          <w:ilvl w:val="1"/>
          <w:numId w:val="9"/>
        </w:numPr>
        <w:tabs>
          <w:tab w:val="left" w:pos="708" w:leader="none"/>
        </w:tabs>
        <w:spacing w:before="37" w:after="0"/>
        <w:ind w:firstLine="708" w:start="1"/>
        <w:rPr>
          <w:sz w:val="24"/>
        </w:rPr>
      </w:pPr>
      <w:r>
        <w:rPr>
          <w:sz w:val="24"/>
        </w:rPr>
        <w:t>типу</w:t>
      </w:r>
      <w:r>
        <w:rPr>
          <w:spacing w:val="-5"/>
          <w:sz w:val="24"/>
        </w:rPr>
        <w:t xml:space="preserve"> </w:t>
      </w:r>
      <w:r>
        <w:rPr>
          <w:spacing w:val="-2"/>
          <w:sz w:val="24"/>
        </w:rPr>
        <w:t>объектов;</w:t>
      </w:r>
    </w:p>
    <w:p>
      <w:pPr>
        <w:pStyle w:val="ListParagraph1"/>
        <w:widowControl w:val="false"/>
        <w:numPr>
          <w:ilvl w:val="1"/>
          <w:numId w:val="9"/>
        </w:numPr>
        <w:tabs>
          <w:tab w:val="left" w:pos="708" w:leader="none"/>
        </w:tabs>
        <w:spacing w:before="38" w:after="0"/>
        <w:ind w:firstLine="708" w:start="1"/>
        <w:rPr>
          <w:sz w:val="24"/>
        </w:rPr>
      </w:pPr>
      <w:r>
        <w:rPr>
          <w:sz w:val="24"/>
        </w:rPr>
        <w:t>наличию/отсутствию</w:t>
      </w:r>
      <w:r>
        <w:rPr>
          <w:spacing w:val="-17"/>
          <w:sz w:val="24"/>
        </w:rPr>
        <w:t xml:space="preserve"> </w:t>
      </w:r>
      <w:r>
        <w:rPr>
          <w:spacing w:val="-2"/>
          <w:sz w:val="24"/>
        </w:rPr>
        <w:t>связи;</w:t>
      </w:r>
    </w:p>
    <w:p>
      <w:pPr>
        <w:pStyle w:val="ListParagraph1"/>
        <w:widowControl w:val="false"/>
        <w:numPr>
          <w:ilvl w:val="1"/>
          <w:numId w:val="9"/>
        </w:numPr>
        <w:tabs>
          <w:tab w:val="left" w:pos="708" w:leader="none"/>
        </w:tabs>
        <w:spacing w:before="39" w:after="0"/>
        <w:ind w:firstLine="708" w:start="1"/>
        <w:rPr>
          <w:sz w:val="24"/>
        </w:rPr>
      </w:pPr>
      <w:r>
        <w:rPr>
          <w:sz w:val="24"/>
        </w:rPr>
        <w:t>наличию/отсутствия</w:t>
      </w:r>
      <w:r>
        <w:rPr>
          <w:spacing w:val="-16"/>
          <w:sz w:val="24"/>
        </w:rPr>
        <w:t xml:space="preserve"> </w:t>
      </w:r>
      <w:r>
        <w:rPr>
          <w:spacing w:val="-2"/>
          <w:sz w:val="24"/>
        </w:rPr>
        <w:t>ошибок;</w:t>
      </w:r>
    </w:p>
    <w:p>
      <w:pPr>
        <w:pStyle w:val="ListParagraph1"/>
        <w:widowControl w:val="false"/>
        <w:numPr>
          <w:ilvl w:val="1"/>
          <w:numId w:val="9"/>
        </w:numPr>
        <w:tabs>
          <w:tab w:val="left" w:pos="708" w:leader="none"/>
        </w:tabs>
        <w:spacing w:before="38" w:after="0"/>
        <w:ind w:firstLine="708" w:start="1"/>
        <w:rPr>
          <w:sz w:val="24"/>
        </w:rPr>
      </w:pPr>
      <w:r>
        <w:rPr>
          <w:sz w:val="24"/>
        </w:rPr>
        <w:t>границы</w:t>
      </w:r>
      <w:r>
        <w:rPr>
          <w:spacing w:val="-7"/>
          <w:sz w:val="24"/>
        </w:rPr>
        <w:t xml:space="preserve"> </w:t>
      </w:r>
      <w:r>
        <w:rPr>
          <w:spacing w:val="-2"/>
          <w:sz w:val="24"/>
        </w:rPr>
        <w:t>районов;</w:t>
      </w:r>
    </w:p>
    <w:p>
      <w:pPr>
        <w:pStyle w:val="ListParagraph1"/>
        <w:widowControl w:val="false"/>
        <w:numPr>
          <w:ilvl w:val="1"/>
          <w:numId w:val="9"/>
        </w:numPr>
        <w:tabs>
          <w:tab w:val="left" w:pos="708" w:leader="none"/>
        </w:tabs>
        <w:spacing w:before="37" w:after="0"/>
        <w:ind w:firstLine="708" w:start="1"/>
        <w:rPr>
          <w:sz w:val="24"/>
        </w:rPr>
      </w:pPr>
      <w:r>
        <w:rPr>
          <w:sz w:val="24"/>
        </w:rPr>
        <w:t>по</w:t>
      </w:r>
      <w:r>
        <w:rPr>
          <w:spacing w:val="-4"/>
          <w:sz w:val="24"/>
        </w:rPr>
        <w:t xml:space="preserve"> </w:t>
      </w:r>
      <w:r>
        <w:rPr>
          <w:sz w:val="24"/>
        </w:rPr>
        <w:t>режиму</w:t>
      </w:r>
      <w:r>
        <w:rPr>
          <w:spacing w:val="-5"/>
          <w:sz w:val="24"/>
        </w:rPr>
        <w:t xml:space="preserve"> </w:t>
      </w:r>
      <w:r>
        <w:rPr>
          <w:spacing w:val="-2"/>
          <w:sz w:val="24"/>
        </w:rPr>
        <w:t>работы;</w:t>
      </w:r>
    </w:p>
    <w:p>
      <w:pPr>
        <w:pStyle w:val="ListParagraph1"/>
        <w:widowControl w:val="false"/>
        <w:numPr>
          <w:ilvl w:val="1"/>
          <w:numId w:val="9"/>
        </w:numPr>
        <w:tabs>
          <w:tab w:val="left" w:pos="708" w:leader="none"/>
        </w:tabs>
        <w:spacing w:before="38" w:after="0"/>
        <w:ind w:firstLine="708" w:start="1"/>
        <w:rPr>
          <w:sz w:val="24"/>
        </w:rPr>
      </w:pPr>
      <w:r>
        <w:rPr>
          <w:sz w:val="24"/>
        </w:rPr>
        <w:t>состояния</w:t>
      </w:r>
      <w:r>
        <w:rPr>
          <w:spacing w:val="-6"/>
          <w:sz w:val="24"/>
        </w:rPr>
        <w:t xml:space="preserve"> </w:t>
      </w:r>
      <w:r>
        <w:rPr>
          <w:spacing w:val="-2"/>
          <w:sz w:val="24"/>
        </w:rPr>
        <w:t>выходов.</w:t>
      </w:r>
    </w:p>
    <w:p>
      <w:pPr>
        <w:pStyle w:val="ListParagraph1"/>
        <w:widowControl w:val="false"/>
        <w:numPr>
          <w:ilvl w:val="0"/>
          <w:numId w:val="7"/>
        </w:numPr>
        <w:tabs>
          <w:tab w:val="left" w:pos="708" w:leader="none"/>
        </w:tabs>
        <w:spacing w:lineRule="auto" w:line="269" w:before="38" w:after="0"/>
        <w:ind w:hanging="0" w:start="1" w:end="139"/>
        <w:rPr>
          <w:sz w:val="24"/>
        </w:rPr>
      </w:pPr>
      <w:r>
        <w:rPr>
          <w:sz w:val="24"/>
        </w:rPr>
        <w:t>Возможность</w:t>
      </w:r>
      <w:r>
        <w:rPr>
          <w:spacing w:val="80"/>
          <w:sz w:val="24"/>
        </w:rPr>
        <w:t xml:space="preserve"> </w:t>
      </w:r>
      <w:r>
        <w:rPr>
          <w:sz w:val="24"/>
        </w:rPr>
        <w:t>отображение</w:t>
      </w:r>
      <w:r>
        <w:rPr>
          <w:spacing w:val="80"/>
          <w:sz w:val="24"/>
        </w:rPr>
        <w:t xml:space="preserve"> </w:t>
      </w:r>
      <w:r>
        <w:rPr>
          <w:sz w:val="24"/>
        </w:rPr>
        <w:t>сводной</w:t>
      </w:r>
      <w:r>
        <w:rPr>
          <w:spacing w:val="80"/>
          <w:sz w:val="24"/>
        </w:rPr>
        <w:t xml:space="preserve"> </w:t>
      </w:r>
      <w:r>
        <w:rPr>
          <w:sz w:val="24"/>
        </w:rPr>
        <w:t>информации</w:t>
      </w:r>
      <w:r>
        <w:rPr>
          <w:spacing w:val="80"/>
          <w:sz w:val="24"/>
        </w:rPr>
        <w:t xml:space="preserve"> </w:t>
      </w:r>
      <w:r>
        <w:rPr>
          <w:sz w:val="24"/>
        </w:rPr>
        <w:t>на</w:t>
      </w:r>
      <w:r>
        <w:rPr>
          <w:spacing w:val="80"/>
          <w:sz w:val="24"/>
        </w:rPr>
        <w:t xml:space="preserve"> </w:t>
      </w:r>
      <w:r>
        <w:rPr>
          <w:sz w:val="24"/>
        </w:rPr>
        <w:t>интерактивной карте по географическому положению:</w:t>
      </w:r>
    </w:p>
    <w:p>
      <w:pPr>
        <w:pStyle w:val="ListParagraph1"/>
        <w:widowControl w:val="false"/>
        <w:numPr>
          <w:ilvl w:val="1"/>
          <w:numId w:val="9"/>
        </w:numPr>
        <w:tabs>
          <w:tab w:val="left" w:pos="708" w:leader="none"/>
        </w:tabs>
        <w:spacing w:lineRule="exact" w:line="300"/>
        <w:ind w:firstLine="708" w:start="1"/>
        <w:jc w:val="both"/>
        <w:rPr>
          <w:spacing w:val="-2"/>
          <w:sz w:val="24"/>
        </w:rPr>
      </w:pPr>
      <w:r>
        <w:rPr>
          <w:sz w:val="24"/>
        </w:rPr>
        <w:t>наличие/отсутствие</w:t>
      </w:r>
      <w:r>
        <w:rPr>
          <w:spacing w:val="-17"/>
          <w:sz w:val="24"/>
        </w:rPr>
        <w:t xml:space="preserve"> </w:t>
      </w:r>
      <w:r>
        <w:rPr>
          <w:spacing w:val="-2"/>
          <w:sz w:val="24"/>
        </w:rPr>
        <w:t>связи;</w:t>
      </w:r>
    </w:p>
    <w:p>
      <w:pPr>
        <w:pStyle w:val="ListParagraph1"/>
        <w:widowControl w:val="false"/>
        <w:numPr>
          <w:ilvl w:val="1"/>
          <w:numId w:val="9"/>
        </w:numPr>
        <w:tabs>
          <w:tab w:val="left" w:pos="708" w:leader="none"/>
        </w:tabs>
        <w:spacing w:lineRule="exact" w:line="300"/>
        <w:ind w:firstLine="708" w:start="1"/>
        <w:jc w:val="both"/>
        <w:rPr>
          <w:spacing w:val="-2"/>
          <w:sz w:val="24"/>
        </w:rPr>
      </w:pPr>
      <w:r>
        <w:rPr>
          <w:sz w:val="24"/>
        </w:rPr>
        <w:t>количество</w:t>
      </w:r>
      <w:r>
        <w:rPr>
          <w:spacing w:val="-8"/>
          <w:sz w:val="24"/>
        </w:rPr>
        <w:t xml:space="preserve"> </w:t>
      </w:r>
      <w:r>
        <w:rPr>
          <w:sz w:val="24"/>
        </w:rPr>
        <w:t>ошибок,</w:t>
      </w:r>
      <w:r>
        <w:rPr>
          <w:spacing w:val="-9"/>
          <w:sz w:val="24"/>
        </w:rPr>
        <w:t xml:space="preserve"> </w:t>
      </w:r>
      <w:r>
        <w:rPr>
          <w:sz w:val="24"/>
        </w:rPr>
        <w:t>распределенное</w:t>
      </w:r>
      <w:r>
        <w:rPr>
          <w:spacing w:val="-9"/>
          <w:sz w:val="24"/>
        </w:rPr>
        <w:t xml:space="preserve"> </w:t>
      </w:r>
      <w:r>
        <w:rPr>
          <w:sz w:val="24"/>
        </w:rPr>
        <w:t>по</w:t>
      </w:r>
      <w:r>
        <w:rPr>
          <w:spacing w:val="-8"/>
          <w:sz w:val="24"/>
        </w:rPr>
        <w:t xml:space="preserve"> </w:t>
      </w:r>
      <w:r>
        <w:rPr>
          <w:spacing w:val="-2"/>
          <w:sz w:val="24"/>
        </w:rPr>
        <w:t>типам;</w:t>
      </w:r>
    </w:p>
    <w:p>
      <w:pPr>
        <w:pStyle w:val="ListParagraph1"/>
        <w:widowControl w:val="false"/>
        <w:numPr>
          <w:ilvl w:val="0"/>
          <w:numId w:val="7"/>
        </w:numPr>
        <w:tabs>
          <w:tab w:val="clear" w:pos="708"/>
          <w:tab w:val="left" w:pos="707" w:leader="none"/>
        </w:tabs>
        <w:spacing w:lineRule="auto" w:line="269" w:before="69" w:after="0"/>
        <w:ind w:hanging="0" w:start="1" w:end="143"/>
        <w:jc w:val="both"/>
        <w:rPr>
          <w:sz w:val="24"/>
        </w:rPr>
      </w:pPr>
      <w:r>
        <w:rPr>
          <w:sz w:val="24"/>
        </w:rPr>
        <w:t>Получение отчетов об аварийных событиях и неисправностях в выбранном районе на текущий момент и за определенный период</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 xml:space="preserve">Получение сводной информации о количестве устройств на связи/не на </w:t>
      </w:r>
      <w:r>
        <w:rPr>
          <w:spacing w:val="-2"/>
          <w:sz w:val="24"/>
        </w:rPr>
        <w:t>связи</w:t>
      </w:r>
    </w:p>
    <w:p>
      <w:pPr>
        <w:pStyle w:val="ListParagraph1"/>
        <w:widowControl w:val="false"/>
        <w:numPr>
          <w:ilvl w:val="0"/>
          <w:numId w:val="7"/>
        </w:numPr>
        <w:tabs>
          <w:tab w:val="clear" w:pos="708"/>
          <w:tab w:val="left" w:pos="707" w:leader="none"/>
        </w:tabs>
        <w:spacing w:lineRule="exact" w:line="320"/>
        <w:ind w:hanging="0" w:start="708"/>
        <w:jc w:val="both"/>
        <w:rPr>
          <w:sz w:val="24"/>
        </w:rPr>
      </w:pPr>
      <w:r>
        <w:rPr>
          <w:sz w:val="24"/>
        </w:rPr>
        <w:t>Построение</w:t>
      </w:r>
      <w:r>
        <w:rPr>
          <w:spacing w:val="-8"/>
          <w:sz w:val="24"/>
        </w:rPr>
        <w:t xml:space="preserve"> </w:t>
      </w:r>
      <w:r>
        <w:rPr>
          <w:sz w:val="24"/>
        </w:rPr>
        <w:t>графиков</w:t>
      </w:r>
      <w:r>
        <w:rPr>
          <w:spacing w:val="-6"/>
          <w:sz w:val="24"/>
        </w:rPr>
        <w:t xml:space="preserve"> </w:t>
      </w:r>
      <w:r>
        <w:rPr>
          <w:sz w:val="24"/>
        </w:rPr>
        <w:t>потребления</w:t>
      </w:r>
      <w:r>
        <w:rPr>
          <w:spacing w:val="-6"/>
          <w:sz w:val="24"/>
        </w:rPr>
        <w:t xml:space="preserve"> </w:t>
      </w:r>
      <w:r>
        <w:rPr>
          <w:sz w:val="24"/>
        </w:rPr>
        <w:t>по</w:t>
      </w:r>
      <w:r>
        <w:rPr>
          <w:spacing w:val="-4"/>
          <w:sz w:val="24"/>
        </w:rPr>
        <w:t xml:space="preserve"> </w:t>
      </w:r>
      <w:r>
        <w:rPr>
          <w:sz w:val="24"/>
        </w:rPr>
        <w:t>всем</w:t>
      </w:r>
      <w:r>
        <w:rPr>
          <w:spacing w:val="-6"/>
          <w:sz w:val="24"/>
        </w:rPr>
        <w:t xml:space="preserve"> </w:t>
      </w:r>
      <w:r>
        <w:rPr>
          <w:sz w:val="24"/>
        </w:rPr>
        <w:t>объектам</w:t>
      </w:r>
      <w:r>
        <w:rPr>
          <w:spacing w:val="-5"/>
          <w:sz w:val="24"/>
        </w:rPr>
        <w:t xml:space="preserve"> </w:t>
      </w:r>
      <w:r>
        <w:rPr>
          <w:sz w:val="24"/>
        </w:rPr>
        <w:t>за</w:t>
      </w:r>
      <w:r>
        <w:rPr>
          <w:spacing w:val="-8"/>
          <w:sz w:val="24"/>
        </w:rPr>
        <w:t xml:space="preserve"> </w:t>
      </w:r>
      <w:r>
        <w:rPr>
          <w:spacing w:val="-2"/>
          <w:sz w:val="24"/>
        </w:rPr>
        <w:t>неделю/месяц</w:t>
      </w:r>
    </w:p>
    <w:p>
      <w:pPr>
        <w:pStyle w:val="ListParagraph1"/>
        <w:widowControl w:val="false"/>
        <w:numPr>
          <w:ilvl w:val="0"/>
          <w:numId w:val="7"/>
        </w:numPr>
        <w:tabs>
          <w:tab w:val="clear" w:pos="708"/>
          <w:tab w:val="left" w:pos="707" w:leader="none"/>
        </w:tabs>
        <w:spacing w:lineRule="auto" w:line="269" w:before="37" w:after="0"/>
        <w:ind w:hanging="0" w:start="1" w:end="143"/>
        <w:jc w:val="both"/>
        <w:rPr>
          <w:sz w:val="24"/>
        </w:rPr>
      </w:pPr>
      <w:r>
        <w:rPr>
          <w:sz w:val="24"/>
        </w:rPr>
        <w:t>Сводная информация о количестве оборудования в районе (шкафы управления, светильники, опоры, линии)</w:t>
      </w:r>
    </w:p>
    <w:p>
      <w:pPr>
        <w:pStyle w:val="ListParagraph1"/>
        <w:widowControl w:val="false"/>
        <w:numPr>
          <w:ilvl w:val="0"/>
          <w:numId w:val="7"/>
        </w:numPr>
        <w:tabs>
          <w:tab w:val="clear" w:pos="708"/>
          <w:tab w:val="left" w:pos="707" w:leader="none"/>
        </w:tabs>
        <w:spacing w:lineRule="auto" w:line="269"/>
        <w:ind w:hanging="0" w:start="1" w:end="136"/>
        <w:jc w:val="both"/>
        <w:rPr>
          <w:sz w:val="24"/>
        </w:rPr>
      </w:pPr>
      <w:r>
        <w:rPr>
          <w:sz w:val="24"/>
        </w:rPr>
        <w:t>Система должна обеспечивать функционал электронного журнала, который должен позволять осуществлять управление и контроль исполнения Договора, отражать реальные данные по замене оборудования в рамках модернизации</w:t>
      </w:r>
      <w:r>
        <w:rPr>
          <w:spacing w:val="-11"/>
          <w:sz w:val="24"/>
        </w:rPr>
        <w:t xml:space="preserve"> </w:t>
      </w:r>
      <w:r>
        <w:rPr>
          <w:sz w:val="24"/>
        </w:rPr>
        <w:t>наружного</w:t>
      </w:r>
      <w:r>
        <w:rPr>
          <w:spacing w:val="-12"/>
          <w:sz w:val="24"/>
        </w:rPr>
        <w:t xml:space="preserve"> </w:t>
      </w:r>
      <w:r>
        <w:rPr>
          <w:sz w:val="24"/>
        </w:rPr>
        <w:t>освещения</w:t>
      </w:r>
      <w:r>
        <w:rPr>
          <w:spacing w:val="-11"/>
          <w:sz w:val="24"/>
        </w:rPr>
        <w:t xml:space="preserve"> </w:t>
      </w:r>
      <w:r>
        <w:rPr>
          <w:sz w:val="24"/>
        </w:rPr>
        <w:t>и</w:t>
      </w:r>
      <w:r>
        <w:rPr>
          <w:spacing w:val="-11"/>
          <w:sz w:val="24"/>
        </w:rPr>
        <w:t xml:space="preserve"> </w:t>
      </w:r>
      <w:r>
        <w:rPr>
          <w:sz w:val="24"/>
        </w:rPr>
        <w:t>исполнении</w:t>
      </w:r>
      <w:r>
        <w:rPr>
          <w:spacing w:val="-11"/>
          <w:sz w:val="24"/>
        </w:rPr>
        <w:t xml:space="preserve"> </w:t>
      </w:r>
      <w:r>
        <w:rPr>
          <w:sz w:val="24"/>
        </w:rPr>
        <w:t>гарантийных</w:t>
      </w:r>
      <w:r>
        <w:rPr>
          <w:spacing w:val="-12"/>
          <w:sz w:val="24"/>
        </w:rPr>
        <w:t xml:space="preserve"> </w:t>
      </w:r>
      <w:r>
        <w:rPr>
          <w:sz w:val="24"/>
        </w:rPr>
        <w:t>обязательств на объекте</w:t>
      </w:r>
    </w:p>
    <w:p>
      <w:pPr>
        <w:pStyle w:val="ListParagraph1"/>
        <w:widowControl w:val="false"/>
        <w:numPr>
          <w:ilvl w:val="0"/>
          <w:numId w:val="7"/>
        </w:numPr>
        <w:tabs>
          <w:tab w:val="clear" w:pos="708"/>
          <w:tab w:val="left" w:pos="707" w:leader="none"/>
        </w:tabs>
        <w:spacing w:lineRule="auto" w:line="269"/>
        <w:ind w:hanging="0" w:start="1" w:end="144"/>
        <w:jc w:val="both"/>
        <w:rPr>
          <w:sz w:val="24"/>
        </w:rPr>
      </w:pPr>
      <w:r>
        <w:rPr>
          <w:sz w:val="24"/>
        </w:rPr>
        <w:t>Электронный</w:t>
      </w:r>
      <w:r>
        <w:rPr>
          <w:spacing w:val="-3"/>
          <w:sz w:val="24"/>
        </w:rPr>
        <w:t xml:space="preserve"> </w:t>
      </w:r>
      <w:r>
        <w:rPr>
          <w:sz w:val="24"/>
        </w:rPr>
        <w:t>цифровой</w:t>
      </w:r>
      <w:r>
        <w:rPr>
          <w:spacing w:val="-3"/>
          <w:sz w:val="24"/>
        </w:rPr>
        <w:t xml:space="preserve"> </w:t>
      </w:r>
      <w:r>
        <w:rPr>
          <w:sz w:val="24"/>
        </w:rPr>
        <w:t>журнал</w:t>
      </w:r>
      <w:r>
        <w:rPr>
          <w:spacing w:val="-3"/>
          <w:sz w:val="24"/>
        </w:rPr>
        <w:t xml:space="preserve"> </w:t>
      </w:r>
      <w:r>
        <w:rPr>
          <w:sz w:val="24"/>
        </w:rPr>
        <w:t>должен</w:t>
      </w:r>
      <w:r>
        <w:rPr>
          <w:spacing w:val="-3"/>
          <w:sz w:val="24"/>
        </w:rPr>
        <w:t xml:space="preserve"> </w:t>
      </w:r>
      <w:r>
        <w:rPr>
          <w:sz w:val="24"/>
        </w:rPr>
        <w:t>иметь</w:t>
      </w:r>
      <w:r>
        <w:rPr>
          <w:spacing w:val="-4"/>
          <w:sz w:val="24"/>
        </w:rPr>
        <w:t xml:space="preserve"> </w:t>
      </w:r>
      <w:r>
        <w:rPr>
          <w:sz w:val="24"/>
        </w:rPr>
        <w:t>возможность</w:t>
      </w:r>
      <w:r>
        <w:rPr>
          <w:spacing w:val="-3"/>
          <w:sz w:val="24"/>
        </w:rPr>
        <w:t xml:space="preserve"> </w:t>
      </w:r>
      <w:r>
        <w:rPr>
          <w:sz w:val="24"/>
        </w:rPr>
        <w:t>назначения ролей по иерархии:</w:t>
      </w:r>
    </w:p>
    <w:p>
      <w:pPr>
        <w:pStyle w:val="ListParagraph1"/>
        <w:widowControl w:val="false"/>
        <w:numPr>
          <w:ilvl w:val="1"/>
          <w:numId w:val="10"/>
        </w:numPr>
        <w:tabs>
          <w:tab w:val="left" w:pos="708" w:leader="none"/>
        </w:tabs>
        <w:spacing w:lineRule="exact" w:line="320"/>
        <w:ind w:firstLine="708" w:start="1"/>
        <w:jc w:val="both"/>
        <w:rPr>
          <w:sz w:val="24"/>
        </w:rPr>
      </w:pPr>
      <w:r>
        <w:rPr>
          <w:sz w:val="24"/>
        </w:rPr>
        <w:t>руководителя,</w:t>
      </w:r>
      <w:r>
        <w:rPr>
          <w:spacing w:val="-10"/>
          <w:sz w:val="24"/>
        </w:rPr>
        <w:t xml:space="preserve"> </w:t>
      </w:r>
      <w:r>
        <w:rPr>
          <w:sz w:val="24"/>
        </w:rPr>
        <w:t>выдающего</w:t>
      </w:r>
      <w:r>
        <w:rPr>
          <w:spacing w:val="-9"/>
          <w:sz w:val="24"/>
        </w:rPr>
        <w:t xml:space="preserve"> </w:t>
      </w:r>
      <w:r>
        <w:rPr>
          <w:sz w:val="24"/>
        </w:rPr>
        <w:t>распоряжение</w:t>
      </w:r>
      <w:r>
        <w:rPr>
          <w:spacing w:val="-7"/>
          <w:sz w:val="24"/>
        </w:rPr>
        <w:t xml:space="preserve"> </w:t>
      </w:r>
      <w:r>
        <w:rPr>
          <w:sz w:val="24"/>
        </w:rPr>
        <w:t>на</w:t>
      </w:r>
      <w:r>
        <w:rPr>
          <w:spacing w:val="-7"/>
          <w:sz w:val="24"/>
        </w:rPr>
        <w:t xml:space="preserve"> </w:t>
      </w:r>
      <w:r>
        <w:rPr>
          <w:spacing w:val="-2"/>
          <w:sz w:val="24"/>
        </w:rPr>
        <w:t>работы;</w:t>
      </w:r>
    </w:p>
    <w:p>
      <w:pPr>
        <w:pStyle w:val="ListParagraph1"/>
        <w:widowControl w:val="false"/>
        <w:numPr>
          <w:ilvl w:val="1"/>
          <w:numId w:val="10"/>
        </w:numPr>
        <w:tabs>
          <w:tab w:val="left" w:pos="708" w:leader="none"/>
        </w:tabs>
        <w:spacing w:before="32" w:after="0"/>
        <w:ind w:firstLine="708" w:start="1"/>
        <w:jc w:val="both"/>
        <w:rPr>
          <w:sz w:val="24"/>
        </w:rPr>
      </w:pPr>
      <w:r>
        <w:rPr>
          <w:sz w:val="24"/>
        </w:rPr>
        <w:t>диспетчера,</w:t>
      </w:r>
      <w:r>
        <w:rPr>
          <w:spacing w:val="-9"/>
          <w:sz w:val="24"/>
        </w:rPr>
        <w:t xml:space="preserve"> </w:t>
      </w:r>
      <w:r>
        <w:rPr>
          <w:sz w:val="24"/>
        </w:rPr>
        <w:t>сменного</w:t>
      </w:r>
      <w:r>
        <w:rPr>
          <w:spacing w:val="-6"/>
          <w:sz w:val="24"/>
        </w:rPr>
        <w:t xml:space="preserve"> </w:t>
      </w:r>
      <w:r>
        <w:rPr>
          <w:spacing w:val="-2"/>
          <w:sz w:val="24"/>
        </w:rPr>
        <w:t>мастера;</w:t>
      </w:r>
    </w:p>
    <w:p>
      <w:pPr>
        <w:pStyle w:val="ListParagraph1"/>
        <w:widowControl w:val="false"/>
        <w:numPr>
          <w:ilvl w:val="0"/>
          <w:numId w:val="7"/>
        </w:numPr>
        <w:tabs>
          <w:tab w:val="clear" w:pos="708"/>
          <w:tab w:val="left" w:pos="707" w:leader="none"/>
        </w:tabs>
        <w:spacing w:lineRule="auto" w:line="269" w:before="38" w:after="0"/>
        <w:ind w:hanging="0" w:start="1" w:end="139"/>
        <w:jc w:val="both"/>
        <w:rPr>
          <w:sz w:val="24"/>
        </w:rPr>
      </w:pPr>
      <w:r>
        <w:rPr>
          <w:sz w:val="24"/>
        </w:rPr>
        <w:t>Настроенная</w:t>
      </w:r>
      <w:r>
        <w:rPr>
          <w:spacing w:val="-6"/>
          <w:sz w:val="24"/>
        </w:rPr>
        <w:t xml:space="preserve"> </w:t>
      </w:r>
      <w:r>
        <w:rPr>
          <w:sz w:val="24"/>
        </w:rPr>
        <w:t>функциональность</w:t>
      </w:r>
      <w:r>
        <w:rPr>
          <w:spacing w:val="-7"/>
          <w:sz w:val="24"/>
        </w:rPr>
        <w:t xml:space="preserve"> </w:t>
      </w:r>
      <w:r>
        <w:rPr>
          <w:sz w:val="24"/>
        </w:rPr>
        <w:t>должна</w:t>
      </w:r>
      <w:r>
        <w:rPr>
          <w:spacing w:val="-9"/>
          <w:sz w:val="24"/>
        </w:rPr>
        <w:t xml:space="preserve"> </w:t>
      </w:r>
      <w:r>
        <w:rPr>
          <w:sz w:val="24"/>
        </w:rPr>
        <w:t>работать</w:t>
      </w:r>
      <w:r>
        <w:rPr>
          <w:spacing w:val="-8"/>
          <w:sz w:val="24"/>
        </w:rPr>
        <w:t xml:space="preserve"> </w:t>
      </w:r>
      <w:r>
        <w:rPr>
          <w:sz w:val="24"/>
        </w:rPr>
        <w:t>как</w:t>
      </w:r>
      <w:r>
        <w:rPr>
          <w:spacing w:val="-9"/>
          <w:sz w:val="24"/>
        </w:rPr>
        <w:t xml:space="preserve"> </w:t>
      </w:r>
      <w:r>
        <w:rPr>
          <w:sz w:val="24"/>
        </w:rPr>
        <w:t>на</w:t>
      </w:r>
      <w:r>
        <w:rPr>
          <w:spacing w:val="-2"/>
          <w:sz w:val="24"/>
        </w:rPr>
        <w:t xml:space="preserve"> </w:t>
      </w:r>
      <w:r>
        <w:rPr>
          <w:sz w:val="24"/>
        </w:rPr>
        <w:t>существующих стационарных</w:t>
      </w:r>
      <w:r>
        <w:rPr>
          <w:spacing w:val="-6"/>
          <w:sz w:val="24"/>
        </w:rPr>
        <w:t xml:space="preserve"> </w:t>
      </w:r>
      <w:r>
        <w:rPr>
          <w:sz w:val="24"/>
        </w:rPr>
        <w:t>ПК,</w:t>
      </w:r>
      <w:r>
        <w:rPr>
          <w:spacing w:val="-7"/>
          <w:sz w:val="24"/>
        </w:rPr>
        <w:t xml:space="preserve"> </w:t>
      </w:r>
      <w:r>
        <w:rPr>
          <w:sz w:val="24"/>
        </w:rPr>
        <w:t>так</w:t>
      </w:r>
      <w:r>
        <w:rPr>
          <w:spacing w:val="-6"/>
          <w:sz w:val="24"/>
        </w:rPr>
        <w:t xml:space="preserve"> </w:t>
      </w:r>
      <w:r>
        <w:rPr>
          <w:sz w:val="24"/>
        </w:rPr>
        <w:t>и</w:t>
      </w:r>
      <w:r>
        <w:rPr>
          <w:spacing w:val="-6"/>
          <w:sz w:val="24"/>
        </w:rPr>
        <w:t xml:space="preserve"> </w:t>
      </w:r>
      <w:r>
        <w:rPr>
          <w:sz w:val="24"/>
        </w:rPr>
        <w:t>на</w:t>
      </w:r>
      <w:r>
        <w:rPr>
          <w:spacing w:val="-6"/>
          <w:sz w:val="24"/>
        </w:rPr>
        <w:t xml:space="preserve"> </w:t>
      </w:r>
      <w:r>
        <w:rPr>
          <w:sz w:val="24"/>
        </w:rPr>
        <w:t>мобильных</w:t>
      </w:r>
      <w:r>
        <w:rPr>
          <w:spacing w:val="-6"/>
          <w:sz w:val="24"/>
        </w:rPr>
        <w:t xml:space="preserve"> </w:t>
      </w:r>
      <w:r>
        <w:rPr>
          <w:sz w:val="24"/>
        </w:rPr>
        <w:t>устройствах</w:t>
      </w:r>
      <w:r>
        <w:rPr>
          <w:spacing w:val="-6"/>
          <w:sz w:val="24"/>
        </w:rPr>
        <w:t xml:space="preserve"> </w:t>
      </w:r>
      <w:r>
        <w:rPr>
          <w:sz w:val="24"/>
        </w:rPr>
        <w:t>с</w:t>
      </w:r>
      <w:r>
        <w:rPr>
          <w:spacing w:val="-6"/>
          <w:sz w:val="24"/>
        </w:rPr>
        <w:t xml:space="preserve"> </w:t>
      </w:r>
      <w:r>
        <w:rPr>
          <w:sz w:val="24"/>
        </w:rPr>
        <w:t>возможностью</w:t>
      </w:r>
      <w:r>
        <w:rPr>
          <w:spacing w:val="-7"/>
          <w:sz w:val="24"/>
        </w:rPr>
        <w:t xml:space="preserve"> </w:t>
      </w:r>
      <w:r>
        <w:rPr>
          <w:sz w:val="24"/>
        </w:rPr>
        <w:t>выхода</w:t>
      </w:r>
      <w:r>
        <w:rPr>
          <w:spacing w:val="-6"/>
          <w:sz w:val="24"/>
        </w:rPr>
        <w:t xml:space="preserve"> </w:t>
      </w:r>
      <w:r>
        <w:rPr>
          <w:sz w:val="24"/>
        </w:rPr>
        <w:t xml:space="preserve">в </w:t>
      </w:r>
      <w:r>
        <w:rPr>
          <w:spacing w:val="-2"/>
          <w:sz w:val="24"/>
        </w:rPr>
        <w:t>интернет.</w:t>
      </w:r>
    </w:p>
    <w:p>
      <w:pPr>
        <w:pStyle w:val="ListParagraph1"/>
        <w:widowControl w:val="false"/>
        <w:numPr>
          <w:ilvl w:val="0"/>
          <w:numId w:val="7"/>
        </w:numPr>
        <w:tabs>
          <w:tab w:val="clear" w:pos="708"/>
          <w:tab w:val="left" w:pos="707" w:leader="none"/>
        </w:tabs>
        <w:spacing w:lineRule="auto" w:line="269"/>
        <w:ind w:hanging="0" w:start="1" w:end="141"/>
        <w:jc w:val="both"/>
        <w:rPr>
          <w:sz w:val="24"/>
        </w:rPr>
      </w:pPr>
      <w:r>
        <w:rPr>
          <w:sz w:val="24"/>
        </w:rPr>
        <w:t>Система должна обеспечивать ручную и автоматическую смену статусов действия бригады с последующей автоматической передачей статусов в систему на рабочее место мастера. Базовый набор критериев для смены статусов:</w:t>
      </w:r>
    </w:p>
    <w:p>
      <w:pPr>
        <w:pStyle w:val="ListParagraph1"/>
        <w:widowControl w:val="false"/>
        <w:numPr>
          <w:ilvl w:val="1"/>
          <w:numId w:val="10"/>
        </w:numPr>
        <w:tabs>
          <w:tab w:val="left" w:pos="708" w:leader="none"/>
        </w:tabs>
        <w:spacing w:lineRule="auto" w:line="269"/>
        <w:ind w:firstLine="708" w:start="1" w:end="140"/>
        <w:jc w:val="both"/>
        <w:rPr>
          <w:sz w:val="24"/>
        </w:rPr>
      </w:pPr>
      <w:r>
        <w:rPr>
          <w:sz w:val="24"/>
        </w:rPr>
        <w:t>«новая заявка» - после получения заявки от диспетчера, выполняются мероприятия по анализу объема работ;</w:t>
      </w:r>
    </w:p>
    <w:p>
      <w:pPr>
        <w:pStyle w:val="ListParagraph1"/>
        <w:widowControl w:val="false"/>
        <w:numPr>
          <w:ilvl w:val="1"/>
          <w:numId w:val="10"/>
        </w:numPr>
        <w:tabs>
          <w:tab w:val="left" w:pos="708" w:leader="none"/>
        </w:tabs>
        <w:spacing w:lineRule="auto" w:line="269"/>
        <w:ind w:firstLine="708" w:start="1" w:end="141"/>
        <w:jc w:val="both"/>
        <w:rPr>
          <w:sz w:val="24"/>
        </w:rPr>
      </w:pPr>
      <w:r>
        <w:rPr>
          <w:sz w:val="24"/>
        </w:rPr>
        <w:t xml:space="preserve">«работы назначены» - все инструктажи выполнены, рабочее место </w:t>
      </w:r>
      <w:r>
        <w:rPr>
          <w:spacing w:val="-2"/>
          <w:sz w:val="24"/>
        </w:rPr>
        <w:t>подготовлено;</w:t>
      </w:r>
    </w:p>
    <w:p>
      <w:pPr>
        <w:pStyle w:val="ListParagraph1"/>
        <w:widowControl w:val="false"/>
        <w:numPr>
          <w:ilvl w:val="1"/>
          <w:numId w:val="10"/>
        </w:numPr>
        <w:tabs>
          <w:tab w:val="left" w:pos="708" w:leader="none"/>
        </w:tabs>
        <w:spacing w:lineRule="auto" w:line="269"/>
        <w:ind w:firstLine="708" w:start="1" w:end="143"/>
        <w:jc w:val="both"/>
        <w:rPr>
          <w:sz w:val="24"/>
        </w:rPr>
      </w:pPr>
      <w:r>
        <w:rPr>
          <w:sz w:val="24"/>
        </w:rPr>
        <w:t>«работы выполнены» - работы персоналом выполнены и подготовлены к сдаче;</w:t>
      </w:r>
    </w:p>
    <w:p>
      <w:pPr>
        <w:pStyle w:val="ListParagraph1"/>
        <w:widowControl w:val="false"/>
        <w:numPr>
          <w:ilvl w:val="1"/>
          <w:numId w:val="10"/>
        </w:numPr>
        <w:tabs>
          <w:tab w:val="left" w:pos="708" w:leader="none"/>
        </w:tabs>
        <w:spacing w:lineRule="auto" w:line="269"/>
        <w:ind w:firstLine="708" w:start="1" w:end="140"/>
        <w:jc w:val="both"/>
        <w:rPr>
          <w:sz w:val="24"/>
        </w:rPr>
      </w:pPr>
      <w:r>
        <w:rPr>
          <w:sz w:val="24"/>
        </w:rPr>
        <w:t>«заявка закрыта» - после установки электронной подписи ответственного лица о выполнении работ.</w:t>
      </w:r>
    </w:p>
    <w:p>
      <w:pPr>
        <w:pStyle w:val="ListParagraph1"/>
        <w:widowControl w:val="false"/>
        <w:numPr>
          <w:ilvl w:val="0"/>
          <w:numId w:val="7"/>
        </w:numPr>
        <w:tabs>
          <w:tab w:val="clear" w:pos="708"/>
          <w:tab w:val="left" w:pos="707" w:leader="none"/>
        </w:tabs>
        <w:spacing w:lineRule="exact" w:line="321"/>
        <w:ind w:hanging="0" w:start="708"/>
        <w:jc w:val="both"/>
        <w:rPr>
          <w:sz w:val="24"/>
        </w:rPr>
      </w:pPr>
      <w:r>
        <w:rPr>
          <w:sz w:val="24"/>
        </w:rPr>
        <w:t>Система</w:t>
      </w:r>
      <w:r>
        <w:rPr>
          <w:spacing w:val="-10"/>
          <w:sz w:val="24"/>
        </w:rPr>
        <w:t xml:space="preserve"> </w:t>
      </w:r>
      <w:r>
        <w:rPr>
          <w:sz w:val="24"/>
        </w:rPr>
        <w:t>должна</w:t>
      </w:r>
      <w:r>
        <w:rPr>
          <w:spacing w:val="-8"/>
          <w:sz w:val="24"/>
        </w:rPr>
        <w:t xml:space="preserve"> </w:t>
      </w:r>
      <w:r>
        <w:rPr>
          <w:sz w:val="24"/>
        </w:rPr>
        <w:t>предоставлять</w:t>
      </w:r>
      <w:r>
        <w:rPr>
          <w:spacing w:val="-9"/>
          <w:sz w:val="24"/>
        </w:rPr>
        <w:t xml:space="preserve"> </w:t>
      </w:r>
      <w:r>
        <w:rPr>
          <w:sz w:val="24"/>
        </w:rPr>
        <w:t>пользователю</w:t>
      </w:r>
      <w:r>
        <w:rPr>
          <w:spacing w:val="-8"/>
          <w:sz w:val="24"/>
        </w:rPr>
        <w:t xml:space="preserve"> </w:t>
      </w:r>
      <w:r>
        <w:rPr>
          <w:spacing w:val="-2"/>
          <w:sz w:val="24"/>
        </w:rPr>
        <w:t>возможности:</w:t>
      </w:r>
    </w:p>
    <w:p>
      <w:pPr>
        <w:pStyle w:val="ListParagraph1"/>
        <w:widowControl w:val="false"/>
        <w:numPr>
          <w:ilvl w:val="1"/>
          <w:numId w:val="10"/>
        </w:numPr>
        <w:tabs>
          <w:tab w:val="left" w:pos="708" w:leader="none"/>
        </w:tabs>
        <w:spacing w:lineRule="auto" w:line="269" w:before="28" w:after="0"/>
        <w:ind w:firstLine="708" w:start="1" w:end="138"/>
        <w:jc w:val="both"/>
        <w:rPr>
          <w:sz w:val="24"/>
        </w:rPr>
      </w:pPr>
      <w:r>
        <w:rPr>
          <w:sz w:val="24"/>
        </w:rPr>
        <w:t>загрузки в систему форматов типовых протоколов диагностирования оборудования, листков и ведомостей осмотра, дефектных ведомостей оборудования, технологических карт, проектов производства работ, схем оборудования, перечней травмоопасного оборудования и находящегося под наведенным напряжением, фото/видео фиксацию дефектов;</w:t>
      </w:r>
    </w:p>
    <w:p>
      <w:pPr>
        <w:pStyle w:val="ListParagraph1"/>
        <w:widowControl w:val="false"/>
        <w:numPr>
          <w:ilvl w:val="1"/>
          <w:numId w:val="10"/>
        </w:numPr>
        <w:tabs>
          <w:tab w:val="left" w:pos="708" w:leader="none"/>
        </w:tabs>
        <w:spacing w:lineRule="exact" w:line="300"/>
        <w:ind w:firstLine="708" w:start="1"/>
        <w:jc w:val="both"/>
        <w:rPr>
          <w:spacing w:val="-2"/>
          <w:sz w:val="24"/>
        </w:rPr>
      </w:pPr>
      <w:r>
        <w:rPr>
          <w:sz w:val="24"/>
        </w:rPr>
        <w:t>выполнять</w:t>
      </w:r>
      <w:r>
        <w:rPr>
          <w:spacing w:val="-10"/>
          <w:sz w:val="24"/>
        </w:rPr>
        <w:t xml:space="preserve"> </w:t>
      </w:r>
      <w:r>
        <w:rPr>
          <w:sz w:val="24"/>
        </w:rPr>
        <w:t>ввод</w:t>
      </w:r>
      <w:r>
        <w:rPr>
          <w:spacing w:val="-10"/>
          <w:sz w:val="24"/>
        </w:rPr>
        <w:t xml:space="preserve"> </w:t>
      </w:r>
      <w:r>
        <w:rPr>
          <w:sz w:val="24"/>
        </w:rPr>
        <w:t>результатов</w:t>
      </w:r>
      <w:r>
        <w:rPr>
          <w:spacing w:val="-8"/>
          <w:sz w:val="24"/>
        </w:rPr>
        <w:t xml:space="preserve"> </w:t>
      </w:r>
      <w:r>
        <w:rPr>
          <w:sz w:val="24"/>
        </w:rPr>
        <w:t>проведения</w:t>
      </w:r>
      <w:r>
        <w:rPr>
          <w:spacing w:val="-7"/>
          <w:sz w:val="24"/>
        </w:rPr>
        <w:t xml:space="preserve"> </w:t>
      </w:r>
      <w:r>
        <w:rPr>
          <w:sz w:val="24"/>
        </w:rPr>
        <w:t>осмотров</w:t>
      </w:r>
      <w:r>
        <w:rPr>
          <w:spacing w:val="-11"/>
          <w:sz w:val="24"/>
        </w:rPr>
        <w:t xml:space="preserve"> </w:t>
      </w:r>
      <w:r>
        <w:rPr>
          <w:spacing w:val="-2"/>
          <w:sz w:val="24"/>
        </w:rPr>
        <w:t>оборудования;</w:t>
      </w:r>
    </w:p>
    <w:p>
      <w:pPr>
        <w:pStyle w:val="ListParagraph1"/>
        <w:widowControl w:val="false"/>
        <w:numPr>
          <w:ilvl w:val="1"/>
          <w:numId w:val="10"/>
        </w:numPr>
        <w:tabs>
          <w:tab w:val="left" w:pos="708" w:leader="none"/>
        </w:tabs>
        <w:spacing w:lineRule="exact" w:line="300"/>
        <w:ind w:firstLine="708" w:start="1"/>
        <w:jc w:val="both"/>
        <w:rPr>
          <w:spacing w:val="-2"/>
          <w:sz w:val="24"/>
        </w:rPr>
      </w:pPr>
      <w:r>
        <w:rPr>
          <w:sz w:val="24"/>
        </w:rPr>
        <w:t xml:space="preserve">выполнять ввод результатов испытаний и диагностирования </w:t>
      </w:r>
      <w:r>
        <w:rPr>
          <w:spacing w:val="-2"/>
          <w:sz w:val="24"/>
        </w:rPr>
        <w:t>электрооборудования;</w:t>
      </w:r>
    </w:p>
    <w:p>
      <w:pPr>
        <w:pStyle w:val="ListParagraph1"/>
        <w:widowControl w:val="false"/>
        <w:numPr>
          <w:ilvl w:val="0"/>
          <w:numId w:val="7"/>
        </w:numPr>
        <w:tabs>
          <w:tab w:val="clear" w:pos="708"/>
          <w:tab w:val="left" w:pos="707" w:leader="none"/>
        </w:tabs>
        <w:spacing w:lineRule="auto" w:line="269" w:before="69" w:after="0"/>
        <w:ind w:hanging="0" w:start="1" w:end="140"/>
        <w:jc w:val="both"/>
        <w:rPr>
          <w:sz w:val="24"/>
        </w:rPr>
      </w:pPr>
      <w:r>
        <w:rPr>
          <w:sz w:val="24"/>
        </w:rPr>
        <w:t>Система должна параллельно формировать журнал заявок, с цветографическим разделением строк в зависимости от статуса, возможностью сортировки по:</w:t>
      </w:r>
    </w:p>
    <w:p>
      <w:pPr>
        <w:pStyle w:val="ListParagraph1"/>
        <w:widowControl w:val="false"/>
        <w:numPr>
          <w:ilvl w:val="1"/>
          <w:numId w:val="11"/>
        </w:numPr>
        <w:tabs>
          <w:tab w:val="left" w:pos="708" w:leader="none"/>
        </w:tabs>
        <w:spacing w:lineRule="exact" w:line="320"/>
        <w:ind w:firstLine="708" w:start="1"/>
        <w:jc w:val="both"/>
        <w:rPr>
          <w:sz w:val="24"/>
        </w:rPr>
      </w:pPr>
      <w:r>
        <w:rPr>
          <w:sz w:val="24"/>
        </w:rPr>
        <w:t>началу/окончанию</w:t>
      </w:r>
      <w:r>
        <w:rPr>
          <w:spacing w:val="-14"/>
          <w:sz w:val="24"/>
        </w:rPr>
        <w:t xml:space="preserve"> </w:t>
      </w:r>
      <w:r>
        <w:rPr>
          <w:spacing w:val="-2"/>
          <w:sz w:val="24"/>
        </w:rPr>
        <w:t>работ;</w:t>
      </w:r>
    </w:p>
    <w:p>
      <w:pPr>
        <w:pStyle w:val="ListParagraph1"/>
        <w:widowControl w:val="false"/>
        <w:numPr>
          <w:ilvl w:val="1"/>
          <w:numId w:val="11"/>
        </w:numPr>
        <w:tabs>
          <w:tab w:val="left" w:pos="708" w:leader="none"/>
        </w:tabs>
        <w:spacing w:before="38" w:after="0"/>
        <w:ind w:firstLine="708" w:start="1"/>
        <w:rPr>
          <w:sz w:val="24"/>
        </w:rPr>
      </w:pPr>
      <w:r>
        <w:rPr>
          <w:sz w:val="24"/>
        </w:rPr>
        <w:t>статусу</w:t>
      </w:r>
      <w:r>
        <w:rPr>
          <w:spacing w:val="-6"/>
          <w:sz w:val="24"/>
        </w:rPr>
        <w:t xml:space="preserve"> </w:t>
      </w:r>
      <w:r>
        <w:rPr>
          <w:spacing w:val="-2"/>
          <w:sz w:val="24"/>
        </w:rPr>
        <w:t>работ;</w:t>
      </w:r>
    </w:p>
    <w:p>
      <w:pPr>
        <w:pStyle w:val="ListParagraph1"/>
        <w:widowControl w:val="false"/>
        <w:numPr>
          <w:ilvl w:val="1"/>
          <w:numId w:val="11"/>
        </w:numPr>
        <w:tabs>
          <w:tab w:val="left" w:pos="708" w:leader="none"/>
        </w:tabs>
        <w:spacing w:before="38" w:after="0"/>
        <w:ind w:firstLine="708" w:start="1"/>
        <w:rPr>
          <w:sz w:val="24"/>
        </w:rPr>
      </w:pPr>
      <w:r>
        <w:rPr>
          <w:sz w:val="24"/>
        </w:rPr>
        <w:t>членам</w:t>
      </w:r>
      <w:r>
        <w:rPr>
          <w:spacing w:val="-3"/>
          <w:sz w:val="24"/>
        </w:rPr>
        <w:t xml:space="preserve"> </w:t>
      </w:r>
      <w:r>
        <w:rPr>
          <w:spacing w:val="-2"/>
          <w:sz w:val="24"/>
        </w:rPr>
        <w:t>бригады;</w:t>
      </w:r>
    </w:p>
    <w:p>
      <w:pPr>
        <w:pStyle w:val="ListParagraph1"/>
        <w:widowControl w:val="false"/>
        <w:numPr>
          <w:ilvl w:val="1"/>
          <w:numId w:val="11"/>
        </w:numPr>
        <w:tabs>
          <w:tab w:val="left" w:pos="708" w:leader="none"/>
        </w:tabs>
        <w:spacing w:before="38" w:after="0"/>
        <w:ind w:firstLine="708" w:start="1"/>
        <w:rPr>
          <w:sz w:val="24"/>
        </w:rPr>
      </w:pPr>
      <w:r>
        <w:rPr>
          <w:sz w:val="24"/>
        </w:rPr>
        <w:t>типу</w:t>
      </w:r>
      <w:r>
        <w:rPr>
          <w:spacing w:val="-5"/>
          <w:sz w:val="24"/>
        </w:rPr>
        <w:t xml:space="preserve"> </w:t>
      </w:r>
      <w:r>
        <w:rPr>
          <w:spacing w:val="-2"/>
          <w:sz w:val="24"/>
        </w:rPr>
        <w:t>задания;</w:t>
      </w:r>
    </w:p>
    <w:p>
      <w:pPr>
        <w:pStyle w:val="ListParagraph1"/>
        <w:widowControl w:val="false"/>
        <w:numPr>
          <w:ilvl w:val="0"/>
          <w:numId w:val="7"/>
        </w:numPr>
        <w:tabs>
          <w:tab w:val="clear" w:pos="708"/>
          <w:tab w:val="left" w:pos="707" w:leader="none"/>
        </w:tabs>
        <w:spacing w:lineRule="auto" w:line="269" w:before="37" w:after="0"/>
        <w:ind w:hanging="0" w:start="1" w:end="145"/>
        <w:jc w:val="both"/>
        <w:rPr>
          <w:sz w:val="24"/>
        </w:rPr>
      </w:pPr>
      <w:r>
        <w:rPr>
          <w:sz w:val="24"/>
        </w:rPr>
        <w:t>Система должна обеспечивать возможность индивидуального учета оборудования (светильников, опор и пр.) по QR кодам.</w:t>
      </w:r>
    </w:p>
    <w:p>
      <w:pPr>
        <w:pStyle w:val="ListParagraph1"/>
        <w:widowControl w:val="false"/>
        <w:tabs>
          <w:tab w:val="clear" w:pos="708"/>
          <w:tab w:val="left" w:pos="707" w:leader="none"/>
        </w:tabs>
        <w:spacing w:lineRule="auto" w:line="269" w:before="37" w:after="0"/>
        <w:ind w:start="1" w:end="145"/>
        <w:jc w:val="both"/>
        <w:rPr>
          <w:sz w:val="24"/>
        </w:rPr>
      </w:pPr>
      <w:r>
        <w:rPr>
          <w:sz w:val="24"/>
        </w:rPr>
      </w:r>
    </w:p>
    <w:p>
      <w:pPr>
        <w:pStyle w:val="ListParagraph1"/>
        <w:ind w:firstLine="709" w:start="0"/>
        <w:rPr>
          <w:sz w:val="24"/>
        </w:rPr>
      </w:pPr>
      <w:r>
        <w:rPr>
          <w:sz w:val="24"/>
        </w:rPr>
        <w:t>Программное обеспечение АСУНО работает на сервере в существующей серверной Заказчика по адресу: г. Пермь, ул. Пермская, 164.</w:t>
      </w:r>
    </w:p>
    <w:p>
      <w:pPr>
        <w:pStyle w:val="ListParagraph1"/>
        <w:shd w:val="clear" w:color="auto" w:fill="FFFFFF" w:themeFill="background1"/>
        <w:ind w:firstLine="709" w:start="0"/>
        <w:rPr>
          <w:sz w:val="24"/>
        </w:rPr>
      </w:pPr>
      <w:r>
        <w:rPr>
          <w:sz w:val="24"/>
        </w:rPr>
        <w:t xml:space="preserve">Обеспечить подключение устанавливаемого в ШУНО оборудования управления наружным освещением, модулей (контроллеров) индивидуального управления светильниками в программное обеспечение Заказчика ПО «Юнилайт Платформа» (Реестровая запись №24609 от 28.10.2024) определенное в рамках договора № 135-25-кр от 08.07.2025г. на выполнения работ по разработке и корректировке проектной и рабочей документации по объекту: «Устройство недостающего освещения на автомобильных дорогах регионального значения Пермского края». </w:t>
      </w:r>
    </w:p>
    <w:p>
      <w:pPr>
        <w:pStyle w:val="ListParagraph1"/>
        <w:shd w:val="clear" w:color="auto" w:fill="FFFFFF" w:themeFill="background1"/>
        <w:ind w:firstLine="709" w:start="0"/>
        <w:rPr>
          <w:sz w:val="24"/>
        </w:rPr>
      </w:pPr>
      <w:r>
        <w:rPr>
          <w:sz w:val="24"/>
        </w:rPr>
        <w:t>Срок выполнения работ с 30.05.2026 по 30.05.2027. (уточняется по результатам проектирования)</w:t>
      </w:r>
    </w:p>
    <w:p>
      <w:pPr>
        <w:pStyle w:val="ListParagraph1"/>
        <w:ind w:firstLine="709" w:start="0"/>
        <w:rPr>
          <w:sz w:val="24"/>
        </w:rPr>
      </w:pPr>
      <w:r>
        <w:rPr>
          <w:sz w:val="24"/>
        </w:rPr>
      </w:r>
    </w:p>
    <w:p>
      <w:pPr>
        <w:pStyle w:val="ListParagraph1"/>
        <w:ind w:firstLine="709" w:start="708"/>
        <w:rPr>
          <w:sz w:val="24"/>
        </w:rPr>
      </w:pPr>
      <w:r>
        <w:rPr>
          <w:sz w:val="24"/>
        </w:rPr>
        <w:t>Требования к результату работ в программном обеспечении АСУНО Заказчика:</w:t>
      </w:r>
    </w:p>
    <w:p>
      <w:pPr>
        <w:pStyle w:val="ListParagraph1"/>
        <w:ind w:firstLine="709" w:start="708"/>
        <w:rPr>
          <w:sz w:val="24"/>
        </w:rPr>
      </w:pPr>
      <w:r>
        <w:rPr>
          <w:sz w:val="24"/>
        </w:rPr>
        <w:t>1.</w:t>
        <w:tab/>
        <w:t>Установленные светильники должны автоматически включаться и отключаться в соответствии с заданным годовым\сезонным графиком для конкретного ШУНО.</w:t>
      </w:r>
    </w:p>
    <w:p>
      <w:pPr>
        <w:pStyle w:val="ListParagraph1"/>
        <w:ind w:firstLine="709" w:start="708"/>
        <w:rPr>
          <w:sz w:val="24"/>
        </w:rPr>
      </w:pPr>
      <w:r>
        <w:rPr>
          <w:sz w:val="24"/>
        </w:rPr>
        <w:t>2.</w:t>
        <w:tab/>
        <w:t>Отображается текущий уровень освещенности в месте установки ШУНО.</w:t>
      </w:r>
    </w:p>
    <w:p>
      <w:pPr>
        <w:pStyle w:val="ListParagraph1"/>
        <w:ind w:firstLine="709" w:start="708"/>
        <w:rPr>
          <w:sz w:val="24"/>
        </w:rPr>
      </w:pPr>
      <w:r>
        <w:rPr>
          <w:sz w:val="24"/>
        </w:rPr>
        <w:t>3.</w:t>
        <w:tab/>
        <w:t>Отображение текущего состояния установленных ШУНО с индикацией каждого состояния:</w:t>
      </w:r>
    </w:p>
    <w:p>
      <w:pPr>
        <w:pStyle w:val="ListParagraph1"/>
        <w:ind w:firstLine="709" w:start="708"/>
        <w:rPr>
          <w:sz w:val="24"/>
        </w:rPr>
      </w:pPr>
      <w:r>
        <w:rPr>
          <w:sz w:val="24"/>
        </w:rPr>
        <w:t>•</w:t>
      </w:r>
      <w:r>
        <w:rPr>
          <w:sz w:val="24"/>
        </w:rPr>
        <w:tab/>
        <w:t>состояние напряжения;</w:t>
      </w:r>
    </w:p>
    <w:p>
      <w:pPr>
        <w:pStyle w:val="ListParagraph1"/>
        <w:ind w:firstLine="709" w:start="708"/>
        <w:rPr>
          <w:sz w:val="24"/>
        </w:rPr>
      </w:pPr>
      <w:r>
        <w:rPr>
          <w:sz w:val="24"/>
        </w:rPr>
        <w:t>•</w:t>
      </w:r>
      <w:r>
        <w:rPr>
          <w:sz w:val="24"/>
        </w:rPr>
        <w:tab/>
        <w:t>состояние тока;</w:t>
      </w:r>
    </w:p>
    <w:p>
      <w:pPr>
        <w:pStyle w:val="ListParagraph1"/>
        <w:ind w:firstLine="709" w:start="708"/>
        <w:rPr>
          <w:sz w:val="24"/>
        </w:rPr>
      </w:pPr>
      <w:r>
        <w:rPr>
          <w:sz w:val="24"/>
        </w:rPr>
        <w:t>•</w:t>
      </w:r>
      <w:r>
        <w:rPr>
          <w:sz w:val="24"/>
        </w:rPr>
        <w:tab/>
        <w:t>состояние связи объекта с сервером Системы;</w:t>
      </w:r>
    </w:p>
    <w:p>
      <w:pPr>
        <w:pStyle w:val="ListParagraph1"/>
        <w:ind w:firstLine="709" w:start="708"/>
        <w:rPr>
          <w:sz w:val="24"/>
        </w:rPr>
      </w:pPr>
      <w:r>
        <w:rPr>
          <w:sz w:val="24"/>
        </w:rPr>
        <w:t>•</w:t>
      </w:r>
      <w:r>
        <w:rPr>
          <w:sz w:val="24"/>
        </w:rPr>
        <w:tab/>
        <w:t>режим управления ШУНО;</w:t>
      </w:r>
    </w:p>
    <w:p>
      <w:pPr>
        <w:pStyle w:val="ListParagraph1"/>
        <w:ind w:firstLine="709" w:start="708"/>
        <w:rPr>
          <w:sz w:val="24"/>
        </w:rPr>
      </w:pPr>
      <w:r>
        <w:rPr>
          <w:sz w:val="24"/>
        </w:rPr>
        <w:t>•</w:t>
      </w:r>
      <w:r>
        <w:rPr>
          <w:sz w:val="24"/>
        </w:rPr>
        <w:tab/>
        <w:t>режим переключений при автоматическом управлении;</w:t>
      </w:r>
    </w:p>
    <w:p>
      <w:pPr>
        <w:pStyle w:val="ListParagraph1"/>
        <w:ind w:firstLine="709" w:start="708"/>
        <w:rPr>
          <w:sz w:val="24"/>
        </w:rPr>
      </w:pPr>
      <w:r>
        <w:rPr>
          <w:sz w:val="24"/>
        </w:rPr>
        <w:t>•</w:t>
      </w:r>
      <w:r>
        <w:rPr>
          <w:sz w:val="24"/>
        </w:rPr>
        <w:tab/>
        <w:t>состояние</w:t>
        <w:tab/>
        <w:t>защиты</w:t>
        <w:tab/>
        <w:t>входных</w:t>
        <w:tab/>
        <w:t>и</w:t>
        <w:tab/>
        <w:t>выходных</w:t>
        <w:tab/>
        <w:t>автоматов;</w:t>
      </w:r>
    </w:p>
    <w:p>
      <w:pPr>
        <w:pStyle w:val="ListParagraph1"/>
        <w:ind w:firstLine="709" w:start="708"/>
        <w:rPr>
          <w:sz w:val="24"/>
        </w:rPr>
      </w:pPr>
      <w:r>
        <w:rPr>
          <w:sz w:val="24"/>
        </w:rPr>
        <w:t>•</w:t>
      </w:r>
      <w:r>
        <w:rPr>
          <w:sz w:val="24"/>
        </w:rPr>
        <w:tab/>
        <w:t>состояние контакторов;</w:t>
      </w:r>
    </w:p>
    <w:p>
      <w:pPr>
        <w:pStyle w:val="ListParagraph1"/>
        <w:ind w:firstLine="709" w:start="708"/>
        <w:rPr>
          <w:sz w:val="24"/>
        </w:rPr>
      </w:pPr>
      <w:r>
        <w:rPr>
          <w:sz w:val="24"/>
        </w:rPr>
        <w:t>•</w:t>
      </w:r>
      <w:r>
        <w:rPr>
          <w:sz w:val="24"/>
        </w:rPr>
        <w:tab/>
        <w:t>состояние</w:t>
        <w:tab/>
        <w:t>внутренних</w:t>
        <w:tab/>
        <w:t>реле</w:t>
        <w:tab/>
        <w:t>контроллера;</w:t>
      </w:r>
    </w:p>
    <w:p>
      <w:pPr>
        <w:pStyle w:val="ListParagraph1"/>
        <w:ind w:firstLine="709" w:start="708"/>
        <w:rPr>
          <w:sz w:val="24"/>
        </w:rPr>
      </w:pPr>
      <w:r>
        <w:rPr>
          <w:sz w:val="24"/>
        </w:rPr>
        <w:t>•</w:t>
      </w:r>
      <w:r>
        <w:rPr>
          <w:sz w:val="24"/>
        </w:rPr>
        <w:tab/>
        <w:t>отображение</w:t>
        <w:tab/>
        <w:t>времени</w:t>
        <w:tab/>
        <w:t>до</w:t>
        <w:tab/>
        <w:t>ближайшего</w:t>
        <w:tab/>
        <w:t>переключения</w:t>
        <w:tab/>
        <w:t>в</w:t>
        <w:tab/>
        <w:t>реальном времени;</w:t>
      </w:r>
    </w:p>
    <w:p>
      <w:pPr>
        <w:pStyle w:val="ListParagraph1"/>
        <w:ind w:firstLine="709" w:start="708"/>
        <w:rPr>
          <w:sz w:val="24"/>
        </w:rPr>
      </w:pPr>
      <w:r>
        <w:rPr>
          <w:sz w:val="24"/>
        </w:rPr>
        <w:t>•</w:t>
      </w:r>
      <w:r>
        <w:rPr>
          <w:sz w:val="24"/>
        </w:rPr>
        <w:tab/>
        <w:t>состояние</w:t>
        <w:tab/>
        <w:t>двери</w:t>
        <w:tab/>
        <w:t>шкафа</w:t>
        <w:tab/>
        <w:t>управления;</w:t>
      </w:r>
    </w:p>
    <w:p>
      <w:pPr>
        <w:pStyle w:val="ListParagraph1"/>
        <w:ind w:firstLine="709" w:start="708"/>
        <w:rPr>
          <w:sz w:val="24"/>
        </w:rPr>
      </w:pPr>
      <w:r>
        <w:rPr>
          <w:sz w:val="24"/>
        </w:rPr>
        <w:t>•</w:t>
      </w:r>
      <w:r>
        <w:rPr>
          <w:sz w:val="24"/>
        </w:rPr>
        <w:tab/>
        <w:t>состояние связи с прибором учета.</w:t>
      </w:r>
    </w:p>
    <w:p>
      <w:pPr>
        <w:pStyle w:val="ListParagraph1"/>
        <w:ind w:firstLine="709" w:start="708"/>
        <w:rPr>
          <w:sz w:val="24"/>
        </w:rPr>
      </w:pPr>
      <w:r>
        <w:rPr>
          <w:sz w:val="24"/>
        </w:rPr>
        <w:t>4.</w:t>
        <w:tab/>
        <w:t>Отображения мнемосхем установленных ШУНО с информацией о текущем значении токов, мощности и напряжений по каждой фазе, состояния защиты по каждой отходящей линии, состояния контакторов, плавких вставок.</w:t>
      </w:r>
    </w:p>
    <w:p>
      <w:pPr>
        <w:pStyle w:val="ListParagraph1"/>
        <w:ind w:firstLine="709" w:start="708"/>
        <w:rPr>
          <w:sz w:val="24"/>
        </w:rPr>
      </w:pPr>
      <w:r>
        <w:rPr>
          <w:sz w:val="24"/>
        </w:rPr>
        <w:t>5.</w:t>
        <w:tab/>
        <w:t>С информационно-измерительных приборов установленных ШУНО получаются данные:</w:t>
      </w:r>
    </w:p>
    <w:p>
      <w:pPr>
        <w:pStyle w:val="ListParagraph1"/>
        <w:ind w:firstLine="709" w:start="708"/>
        <w:rPr>
          <w:sz w:val="24"/>
        </w:rPr>
      </w:pPr>
      <w:r>
        <w:rPr>
          <w:sz w:val="24"/>
        </w:rPr>
        <w:t>•</w:t>
      </w:r>
      <w:r>
        <w:rPr>
          <w:sz w:val="24"/>
        </w:rPr>
        <w:tab/>
        <w:t>о суточном потреблении электроэнергии по объекту с разбивкой по тарифам и активным и реактивным потреблением;</w:t>
      </w:r>
    </w:p>
    <w:p>
      <w:pPr>
        <w:pStyle w:val="ListParagraph1"/>
        <w:ind w:firstLine="709" w:start="708"/>
        <w:rPr>
          <w:sz w:val="24"/>
        </w:rPr>
      </w:pPr>
      <w:r>
        <w:rPr>
          <w:sz w:val="24"/>
        </w:rPr>
        <w:t>•</w:t>
      </w:r>
      <w:r>
        <w:rPr>
          <w:sz w:val="24"/>
        </w:rPr>
        <w:tab/>
        <w:t>мгновенные значения токов, напряжений, активной и реактивной мощностей, коэффициент мощности.</w:t>
      </w:r>
    </w:p>
    <w:p>
      <w:pPr>
        <w:pStyle w:val="ListParagraph1"/>
        <w:ind w:firstLine="709" w:start="708"/>
        <w:rPr>
          <w:sz w:val="24"/>
        </w:rPr>
      </w:pPr>
      <w:r>
        <w:rPr>
          <w:sz w:val="24"/>
        </w:rPr>
        <w:t>6.</w:t>
        <w:tab/>
        <w:t>Установленные светильники отображены на поопорной схеме линий освещения на карте населенного пункта. Графическое отображение результатов инвентаризации объектов наружного освещения на интерактивной карте:</w:t>
      </w:r>
    </w:p>
    <w:p>
      <w:pPr>
        <w:pStyle w:val="ListParagraph1"/>
        <w:ind w:firstLine="709" w:start="708"/>
        <w:rPr>
          <w:sz w:val="24"/>
        </w:rPr>
      </w:pPr>
      <w:r>
        <w:rPr>
          <w:sz w:val="24"/>
        </w:rPr>
        <w:t>•</w:t>
      </w:r>
      <w:r>
        <w:rPr>
          <w:sz w:val="24"/>
        </w:rPr>
        <w:tab/>
        <w:t>нанесение ШУНО с указанием номера ШУНО, установочных значений напряжений, токов и мощностей по фазам;</w:t>
      </w:r>
    </w:p>
    <w:p>
      <w:pPr>
        <w:pStyle w:val="ListParagraph1"/>
        <w:ind w:firstLine="709" w:start="708"/>
        <w:rPr>
          <w:sz w:val="24"/>
        </w:rPr>
      </w:pPr>
      <w:r>
        <w:rPr>
          <w:sz w:val="24"/>
        </w:rPr>
        <w:t>•</w:t>
      </w:r>
      <w:r>
        <w:rPr>
          <w:sz w:val="24"/>
        </w:rPr>
        <w:tab/>
        <w:t>нанесение линий электропередач с привязкой к ШУНО;</w:t>
      </w:r>
    </w:p>
    <w:p>
      <w:pPr>
        <w:pStyle w:val="ListParagraph1"/>
        <w:ind w:firstLine="709" w:start="708"/>
        <w:rPr>
          <w:sz w:val="24"/>
        </w:rPr>
      </w:pPr>
      <w:r>
        <w:rPr>
          <w:sz w:val="24"/>
        </w:rPr>
        <w:t>•</w:t>
      </w:r>
      <w:r>
        <w:rPr>
          <w:sz w:val="24"/>
        </w:rPr>
        <w:tab/>
        <w:t>нанесение опор освещения с привязкой к линии электропередач и ШУНО;</w:t>
      </w:r>
    </w:p>
    <w:p>
      <w:pPr>
        <w:pStyle w:val="ListParagraph1"/>
        <w:ind w:firstLine="709" w:start="708"/>
        <w:rPr>
          <w:sz w:val="24"/>
        </w:rPr>
      </w:pPr>
      <w:r>
        <w:rPr>
          <w:sz w:val="24"/>
        </w:rPr>
        <w:t>•</w:t>
      </w:r>
      <w:r>
        <w:rPr>
          <w:sz w:val="24"/>
        </w:rPr>
        <w:tab/>
        <w:t>нанесение светильников с привязкой к опоре освещения с указанием мощности, типа источника света, марки светильника;</w:t>
      </w:r>
    </w:p>
    <w:p>
      <w:pPr>
        <w:pStyle w:val="ListParagraph1"/>
        <w:ind w:firstLine="709" w:start="708"/>
        <w:rPr>
          <w:sz w:val="24"/>
        </w:rPr>
      </w:pPr>
      <w:r>
        <w:rPr>
          <w:sz w:val="24"/>
        </w:rPr>
        <w:t>7.</w:t>
        <w:tab/>
        <w:t>Установленные светильники на связи с АСУНО. Тестовое диммирование осуществляется.</w:t>
      </w:r>
    </w:p>
    <w:p>
      <w:pPr>
        <w:pStyle w:val="ListParagraph1"/>
        <w:ind w:firstLine="709" w:start="708"/>
        <w:rPr>
          <w:sz w:val="24"/>
        </w:rPr>
      </w:pPr>
      <w:r>
        <w:rPr>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pPr>
        <w:pStyle w:val="ListParagraph1"/>
        <w:ind w:firstLine="709" w:start="708"/>
        <w:rPr>
          <w:sz w:val="24"/>
        </w:rPr>
      </w:pPr>
      <w:r>
        <w:rPr>
          <w:sz w:val="24"/>
        </w:rPr>
        <w:t>- заменены (изменены), то применяются заменяющие (измененные) документы;</w:t>
      </w:r>
    </w:p>
    <w:p>
      <w:pPr>
        <w:pStyle w:val="ListParagraph1"/>
        <w:ind w:firstLine="709" w:start="708"/>
        <w:rPr>
          <w:sz w:val="24"/>
        </w:rPr>
      </w:pPr>
      <w:r>
        <w:rPr>
          <w:sz w:val="24"/>
        </w:rPr>
        <w:t>- отменены без замены, то применяются положения в части, не затрагивающей эту отмену.</w:t>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sz w:val="24"/>
        </w:rPr>
      </w:pPr>
      <w:r>
        <w:rPr>
          <w:sz w:val="24"/>
        </w:rPr>
      </w:r>
    </w:p>
    <w:p>
      <w:pPr>
        <w:pStyle w:val="Normal"/>
        <w:widowControl/>
        <w:spacing w:lineRule="auto" w:line="276"/>
        <w:ind w:firstLine="709"/>
        <w:jc w:val="both"/>
        <w:rPr>
          <w:b/>
          <w:sz w:val="24"/>
        </w:rPr>
      </w:pPr>
      <w:r>
        <w:rPr>
          <w:b/>
          <w:sz w:val="24"/>
        </w:rPr>
      </w:r>
    </w:p>
    <w:p>
      <w:pPr>
        <w:pStyle w:val="Normal"/>
        <w:widowControl/>
        <w:spacing w:lineRule="auto" w:line="276"/>
        <w:jc w:val="both"/>
        <w:rPr>
          <w:b/>
          <w:sz w:val="28"/>
        </w:rPr>
      </w:pPr>
      <w:r>
        <w:rPr>
          <w:b/>
          <w:sz w:val="28"/>
        </w:rPr>
        <w:t>Раздел 4: требования к устройству комплексов видеофиксации</w:t>
      </w:r>
    </w:p>
    <w:p>
      <w:pPr>
        <w:pStyle w:val="112"/>
        <w:spacing w:lineRule="exact" w:line="300"/>
        <w:rPr>
          <w:rFonts w:ascii="Calibri" w:hAnsi="Calibri" w:asciiTheme="minorHAnsi" w:hAnsiTheme="minorHAnsi"/>
          <w:b/>
          <w:spacing w:val="-6"/>
          <w:sz w:val="24"/>
        </w:rPr>
      </w:pPr>
      <w:r>
        <w:rPr>
          <w:rFonts w:asciiTheme="minorHAnsi" w:hAnsiTheme="minorHAnsi" w:ascii="Calibri" w:hAnsi="Calibri"/>
          <w:b/>
          <w:spacing w:val="-6"/>
          <w:sz w:val="24"/>
        </w:rPr>
      </w:r>
    </w:p>
    <w:p>
      <w:pPr>
        <w:pStyle w:val="112"/>
        <w:spacing w:lineRule="exact" w:line="300"/>
        <w:jc w:val="both"/>
        <w:rPr>
          <w:b/>
          <w:spacing w:val="-6"/>
          <w:sz w:val="24"/>
        </w:rPr>
      </w:pPr>
      <w:r>
        <w:rPr>
          <w:b/>
          <w:spacing w:val="-6"/>
          <w:sz w:val="24"/>
        </w:rPr>
        <w:t>1.1. Рабочие функции комплексов ФВФ</w:t>
      </w:r>
    </w:p>
    <w:p>
      <w:pPr>
        <w:pStyle w:val="112"/>
        <w:spacing w:lineRule="exact" w:line="300"/>
        <w:jc w:val="both"/>
        <w:rPr>
          <w:spacing w:val="-6"/>
          <w:sz w:val="24"/>
        </w:rPr>
      </w:pPr>
      <w:r>
        <w:rPr>
          <w:b/>
          <w:spacing w:val="-6"/>
          <w:sz w:val="24"/>
        </w:rPr>
        <w:t>1.1.1.</w:t>
      </w:r>
      <w:r>
        <w:rPr>
          <w:spacing w:val="-6"/>
          <w:sz w:val="24"/>
        </w:rPr>
        <w:t xml:space="preserve"> Комплексы ФВФ должны в любое время суток и при любых погодных условиях обеспечивать выполнение следующих требований:</w:t>
      </w:r>
    </w:p>
    <w:p>
      <w:pPr>
        <w:pStyle w:val="112"/>
        <w:spacing w:lineRule="exact" w:line="300"/>
        <w:jc w:val="both"/>
        <w:rPr>
          <w:spacing w:val="-6"/>
          <w:sz w:val="24"/>
        </w:rPr>
      </w:pPr>
      <w:r>
        <w:rPr>
          <w:spacing w:val="-6"/>
          <w:sz w:val="24"/>
        </w:rPr>
        <w:t>- вероятность полного распознавания государственных регистрационных знаков транспортных средств (движущихся или неподвижных) – не менее 90%;</w:t>
      </w:r>
    </w:p>
    <w:p>
      <w:pPr>
        <w:pStyle w:val="112"/>
        <w:spacing w:lineRule="exact" w:line="300"/>
        <w:jc w:val="both"/>
        <w:rPr>
          <w:spacing w:val="-6"/>
          <w:sz w:val="24"/>
        </w:rPr>
      </w:pPr>
      <w:r>
        <w:rPr>
          <w:spacing w:val="-6"/>
          <w:sz w:val="24"/>
        </w:rPr>
        <w:t>- вероятность условного распознавания государственных регистрационных знаков транспортных средств (движущихся или неподвижных) – не менее 92%;</w:t>
      </w:r>
    </w:p>
    <w:p>
      <w:pPr>
        <w:pStyle w:val="112"/>
        <w:spacing w:lineRule="exact" w:line="300"/>
        <w:jc w:val="both"/>
        <w:rPr>
          <w:spacing w:val="-6"/>
          <w:sz w:val="24"/>
        </w:rPr>
      </w:pPr>
      <w:r>
        <w:rPr>
          <w:spacing w:val="-6"/>
          <w:sz w:val="24"/>
        </w:rPr>
        <w:t>- вероятность ошибок распознавания – не более 5%;</w:t>
      </w:r>
    </w:p>
    <w:p>
      <w:pPr>
        <w:pStyle w:val="112"/>
        <w:spacing w:lineRule="exact" w:line="300"/>
        <w:jc w:val="both"/>
        <w:rPr>
          <w:spacing w:val="-6"/>
          <w:sz w:val="24"/>
        </w:rPr>
      </w:pPr>
      <w:r>
        <w:rPr>
          <w:spacing w:val="-6"/>
          <w:sz w:val="24"/>
        </w:rPr>
        <w:t>- вероятность пропуска транспортных средств – не более 5%;</w:t>
      </w:r>
    </w:p>
    <w:p>
      <w:pPr>
        <w:pStyle w:val="112"/>
        <w:spacing w:lineRule="exact" w:line="300"/>
        <w:jc w:val="both"/>
        <w:rPr>
          <w:spacing w:val="-6"/>
          <w:sz w:val="24"/>
        </w:rPr>
      </w:pPr>
      <w:r>
        <w:rPr>
          <w:spacing w:val="-6"/>
          <w:sz w:val="24"/>
        </w:rPr>
        <w:t>- вероятность появления дубликатов и фантомов – не более 0,5%;</w:t>
      </w:r>
    </w:p>
    <w:p>
      <w:pPr>
        <w:pStyle w:val="112"/>
        <w:spacing w:lineRule="exact" w:line="300"/>
        <w:jc w:val="both"/>
        <w:rPr>
          <w:spacing w:val="-6"/>
          <w:sz w:val="24"/>
        </w:rPr>
      </w:pPr>
      <w:r>
        <w:rPr>
          <w:spacing w:val="-6"/>
          <w:sz w:val="24"/>
        </w:rPr>
        <w:t>- фотоизображение транспортного средства, полученное при распознавании его государственного регистрационного знака, должно позволять визуально определять отличительные признаки транспортного средства (тип, марка ТС), в том числе в темное время суток (за счет работы устройств подсветки, в том числе дополнительно устанавливаемых в местах без стационарного освещения), в целях формирования достаточной доказательной базы для вынесения постановлений по делам об административных правонарушениях.</w:t>
      </w:r>
    </w:p>
    <w:p>
      <w:pPr>
        <w:pStyle w:val="112"/>
        <w:spacing w:lineRule="exact" w:line="300"/>
        <w:jc w:val="both"/>
        <w:rPr>
          <w:spacing w:val="-6"/>
          <w:sz w:val="24"/>
        </w:rPr>
      </w:pPr>
      <w:r>
        <w:rPr>
          <w:spacing w:val="-6"/>
          <w:sz w:val="24"/>
        </w:rPr>
        <w:t>Данные требования, согласно ГОСТ Р 57144-2016, должны выполняться при соблюдении положений ГОСТ Р 50577-2018 и Конвенции о дорожном движении 1968 г. Данные требования могут не выполняться в случаях нанесения на лицевую поверхность государственных регистрационных знаков материалов, препятствующих их распознаванию.</w:t>
      </w:r>
    </w:p>
    <w:p>
      <w:pPr>
        <w:pStyle w:val="112"/>
        <w:spacing w:lineRule="exact" w:line="300"/>
        <w:jc w:val="both"/>
        <w:rPr>
          <w:spacing w:val="-6"/>
          <w:sz w:val="24"/>
        </w:rPr>
      </w:pPr>
      <w:r>
        <w:rPr>
          <w:b/>
          <w:spacing w:val="-6"/>
          <w:sz w:val="24"/>
        </w:rPr>
        <w:t>1.1.2.</w:t>
      </w:r>
      <w:r>
        <w:rPr>
          <w:spacing w:val="-6"/>
          <w:sz w:val="24"/>
        </w:rPr>
        <w:t xml:space="preserve"> Комплексы ФВФ должны соответствовать требованиям ГОСТ Р 57144-2016, ГОСТ Р 57145-2016, ГОСТ Р 8.674-2009, ГОСТ Р 8.654-2015.</w:t>
      </w:r>
    </w:p>
    <w:p>
      <w:pPr>
        <w:pStyle w:val="112"/>
        <w:spacing w:lineRule="exact" w:line="300"/>
        <w:jc w:val="both"/>
        <w:rPr>
          <w:spacing w:val="-6"/>
          <w:sz w:val="24"/>
        </w:rPr>
      </w:pPr>
      <w:r>
        <w:rPr>
          <w:b/>
          <w:spacing w:val="-6"/>
          <w:sz w:val="24"/>
        </w:rPr>
        <w:t>1.1.3.</w:t>
      </w:r>
      <w:r>
        <w:rPr>
          <w:spacing w:val="-6"/>
          <w:sz w:val="24"/>
        </w:rPr>
        <w:t xml:space="preserve"> Комплексы ФВФ должны соответствовать требованиям ТР ТС 004/2011 «О безопасности низковольтного оборудования».</w:t>
      </w:r>
    </w:p>
    <w:p>
      <w:pPr>
        <w:pStyle w:val="112"/>
        <w:spacing w:lineRule="exact" w:line="300"/>
        <w:jc w:val="both"/>
        <w:rPr>
          <w:spacing w:val="-6"/>
          <w:sz w:val="24"/>
        </w:rPr>
      </w:pPr>
      <w:r>
        <w:rPr>
          <w:b/>
          <w:spacing w:val="-6"/>
          <w:sz w:val="24"/>
        </w:rPr>
        <w:t>1.1.4.</w:t>
      </w:r>
      <w:r>
        <w:rPr>
          <w:spacing w:val="-6"/>
          <w:sz w:val="24"/>
        </w:rPr>
        <w:t xml:space="preserve"> Комплексы ФВФ должны соответствовать требованиям ТР ТС 020/2011 «Электромагнитная совместимость технических средств».</w:t>
      </w:r>
    </w:p>
    <w:p>
      <w:pPr>
        <w:pStyle w:val="112"/>
        <w:spacing w:lineRule="exact" w:line="300"/>
        <w:jc w:val="both"/>
        <w:rPr>
          <w:spacing w:val="-6"/>
          <w:sz w:val="24"/>
        </w:rPr>
      </w:pPr>
      <w:r>
        <w:rPr>
          <w:b/>
          <w:spacing w:val="-6"/>
          <w:sz w:val="24"/>
        </w:rPr>
        <w:t>1.1.5.</w:t>
      </w:r>
      <w:r>
        <w:rPr>
          <w:spacing w:val="-6"/>
          <w:sz w:val="24"/>
        </w:rPr>
        <w:t xml:space="preserve"> По конструктивным особенностям, связанным со степенью мобильности, Комплексы ФВФ должны иметь принадлежность к группе “Стационарные” (С).</w:t>
      </w:r>
    </w:p>
    <w:p>
      <w:pPr>
        <w:pStyle w:val="112"/>
        <w:spacing w:lineRule="exact" w:line="300"/>
        <w:jc w:val="both"/>
        <w:rPr>
          <w:spacing w:val="-6"/>
          <w:sz w:val="24"/>
        </w:rPr>
      </w:pPr>
      <w:r>
        <w:rPr>
          <w:b/>
          <w:spacing w:val="-6"/>
          <w:sz w:val="24"/>
        </w:rPr>
        <w:t>1.1.6.</w:t>
      </w:r>
      <w:r>
        <w:rPr>
          <w:spacing w:val="-6"/>
          <w:sz w:val="24"/>
        </w:rPr>
        <w:t xml:space="preserve"> По способу измерения скорости движения транспортных средств, Комплексы ФВФ должны иметь принадлежность к одной из двух групп по п.4.2. ГОСТ Р 57144-2016:</w:t>
      </w:r>
    </w:p>
    <w:p>
      <w:pPr>
        <w:pStyle w:val="112"/>
        <w:spacing w:lineRule="exact" w:line="300"/>
        <w:jc w:val="both"/>
        <w:rPr>
          <w:spacing w:val="-6"/>
          <w:sz w:val="24"/>
        </w:rPr>
      </w:pPr>
      <w:r>
        <w:rPr>
          <w:spacing w:val="-6"/>
          <w:sz w:val="24"/>
        </w:rPr>
        <w:t>- измеряющие мгновенную скорость транспортного средства;</w:t>
      </w:r>
    </w:p>
    <w:p>
      <w:pPr>
        <w:pStyle w:val="112"/>
        <w:spacing w:lineRule="exact" w:line="300"/>
        <w:jc w:val="both"/>
        <w:rPr>
          <w:spacing w:val="-6"/>
          <w:sz w:val="24"/>
        </w:rPr>
      </w:pPr>
      <w:r>
        <w:rPr>
          <w:spacing w:val="-6"/>
          <w:sz w:val="24"/>
        </w:rPr>
        <w:t>-</w:t>
        <w:tab/>
        <w:t>комбинированные.</w:t>
      </w:r>
    </w:p>
    <w:p>
      <w:pPr>
        <w:pStyle w:val="112"/>
        <w:spacing w:lineRule="exact" w:line="300"/>
        <w:jc w:val="both"/>
        <w:rPr>
          <w:spacing w:val="-6"/>
          <w:sz w:val="24"/>
        </w:rPr>
      </w:pPr>
      <w:r>
        <w:rPr>
          <w:b/>
          <w:spacing w:val="-6"/>
          <w:sz w:val="24"/>
        </w:rPr>
        <w:t>1.1.7.</w:t>
      </w:r>
      <w:r>
        <w:rPr>
          <w:spacing w:val="-6"/>
          <w:sz w:val="24"/>
        </w:rPr>
        <w:t xml:space="preserve"> По принципу измерения параметров транспортных средств, Комплексы ФВФ должны иметь принадлежность к одному из трёх типов по п.4.4. ГОСТ Р 57144-2016:</w:t>
      </w:r>
    </w:p>
    <w:p>
      <w:pPr>
        <w:pStyle w:val="112"/>
        <w:spacing w:lineRule="exact" w:line="300"/>
        <w:jc w:val="both"/>
        <w:rPr>
          <w:spacing w:val="-6"/>
          <w:sz w:val="24"/>
        </w:rPr>
      </w:pPr>
      <w:r>
        <w:rPr>
          <w:spacing w:val="-6"/>
          <w:sz w:val="24"/>
        </w:rPr>
        <w:t>- радиолокационные (Р);</w:t>
      </w:r>
    </w:p>
    <w:p>
      <w:pPr>
        <w:pStyle w:val="112"/>
        <w:spacing w:lineRule="exact" w:line="300"/>
        <w:jc w:val="both"/>
        <w:rPr>
          <w:spacing w:val="-6"/>
          <w:sz w:val="24"/>
        </w:rPr>
      </w:pPr>
      <w:r>
        <w:rPr>
          <w:spacing w:val="-6"/>
          <w:sz w:val="24"/>
        </w:rPr>
        <w:t>- с измерением по видеокадрам (видеосигналу) (В);</w:t>
      </w:r>
    </w:p>
    <w:p>
      <w:pPr>
        <w:pStyle w:val="112"/>
        <w:spacing w:lineRule="exact" w:line="300"/>
        <w:jc w:val="both"/>
        <w:rPr>
          <w:spacing w:val="-6"/>
          <w:sz w:val="24"/>
        </w:rPr>
      </w:pPr>
      <w:r>
        <w:rPr>
          <w:spacing w:val="-6"/>
          <w:sz w:val="24"/>
        </w:rPr>
        <w:t>- комбинированные (К).</w:t>
      </w:r>
    </w:p>
    <w:p>
      <w:pPr>
        <w:pStyle w:val="112"/>
        <w:spacing w:lineRule="exact" w:line="300"/>
        <w:jc w:val="both"/>
        <w:rPr>
          <w:spacing w:val="-6"/>
          <w:sz w:val="24"/>
        </w:rPr>
      </w:pPr>
      <w:r>
        <w:rPr>
          <w:b/>
          <w:spacing w:val="-6"/>
          <w:sz w:val="24"/>
        </w:rPr>
        <w:t>1.1.8.</w:t>
      </w:r>
      <w:r>
        <w:rPr>
          <w:spacing w:val="-6"/>
          <w:sz w:val="24"/>
        </w:rPr>
        <w:t xml:space="preserve"> По методу измерения параметров транспортных средств, Комплексы ФВФ должны иметь принадлежность к одной из двух групп по п.4.3. ГОСТ Р 57144-2016:</w:t>
        <w:tab/>
      </w:r>
    </w:p>
    <w:p>
      <w:pPr>
        <w:pStyle w:val="112"/>
        <w:spacing w:lineRule="exact" w:line="300"/>
        <w:jc w:val="both"/>
        <w:rPr>
          <w:spacing w:val="-6"/>
          <w:sz w:val="24"/>
        </w:rPr>
      </w:pPr>
      <w:r>
        <w:rPr>
          <w:spacing w:val="-6"/>
          <w:sz w:val="24"/>
        </w:rPr>
        <w:t>- с алгоритмом трекинга транспортных средств (ТР);</w:t>
      </w:r>
    </w:p>
    <w:p>
      <w:pPr>
        <w:pStyle w:val="112"/>
        <w:spacing w:lineRule="exact" w:line="300"/>
        <w:jc w:val="both"/>
        <w:rPr>
          <w:spacing w:val="-6"/>
          <w:sz w:val="24"/>
        </w:rPr>
      </w:pPr>
      <w:r>
        <w:rPr>
          <w:spacing w:val="-6"/>
          <w:sz w:val="24"/>
        </w:rPr>
        <w:t>- без алгоритма трекинга транспортных средств (бТР).</w:t>
      </w:r>
    </w:p>
    <w:p>
      <w:pPr>
        <w:pStyle w:val="112"/>
        <w:spacing w:lineRule="exact" w:line="300"/>
        <w:jc w:val="both"/>
        <w:rPr>
          <w:spacing w:val="-6"/>
          <w:sz w:val="24"/>
        </w:rPr>
      </w:pPr>
      <w:r>
        <w:rPr>
          <w:b/>
          <w:spacing w:val="-6"/>
          <w:sz w:val="24"/>
        </w:rPr>
        <w:t>1.1.9.</w:t>
      </w:r>
      <w:r>
        <w:rPr>
          <w:spacing w:val="-6"/>
          <w:sz w:val="24"/>
        </w:rPr>
        <w:t xml:space="preserve"> Комплексы ФВФ должны обеспечивать автоматическое распознавание ГРЗ всех типов ТС, применяемых в РФ, а также всех стран СНГ, а также Абхазии, в целях оказания содействия Органам внутренних дел и Таможенной службы для осуществления оперативно-розыскной деятельности, дознания и следствия в рамках проводимых мероприятий.</w:t>
      </w:r>
    </w:p>
    <w:p>
      <w:pPr>
        <w:pStyle w:val="112"/>
        <w:spacing w:lineRule="exact" w:line="300"/>
        <w:jc w:val="both"/>
        <w:rPr>
          <w:spacing w:val="-6"/>
          <w:sz w:val="24"/>
        </w:rPr>
      </w:pPr>
      <w:r>
        <w:rPr>
          <w:b/>
          <w:spacing w:val="-6"/>
          <w:sz w:val="24"/>
        </w:rPr>
        <w:t>1.1.10.</w:t>
      </w:r>
      <w:r>
        <w:rPr>
          <w:spacing w:val="-6"/>
          <w:sz w:val="24"/>
        </w:rPr>
        <w:t xml:space="preserve"> В связи с климатическими особенностями Пермского края, степень защиты Комплексов ФВФ от попадания пыли и воды по ГОСТ 14254-2015 должна быть не менее IP65, минимальная температура воздуха при эксплуатации Комплексов ФВФ должна быть не выше -50℃, максимальная температура воздуха при эксплуатации Комплексов ФВФ должна быть не ниже +45℃.</w:t>
      </w:r>
    </w:p>
    <w:p>
      <w:pPr>
        <w:pStyle w:val="112"/>
        <w:spacing w:lineRule="exact" w:line="300"/>
        <w:jc w:val="both"/>
        <w:rPr>
          <w:spacing w:val="-6"/>
          <w:sz w:val="24"/>
        </w:rPr>
      </w:pPr>
      <w:r>
        <w:rPr>
          <w:b/>
          <w:spacing w:val="-6"/>
          <w:sz w:val="24"/>
        </w:rPr>
        <w:t>1.1.11.</w:t>
      </w:r>
      <w:r>
        <w:rPr>
          <w:spacing w:val="-6"/>
          <w:sz w:val="24"/>
        </w:rPr>
        <w:t xml:space="preserve"> Тип средства измерения Комплексов ФВФ должен присутствовать в реестре классов оборудования в СПО «Паутина» в связи с тем, что добавление нового класса является доработкой СПО «Паутина», реализация которой не может быть гарантирована либо сроки которой не определены.</w:t>
      </w:r>
    </w:p>
    <w:p>
      <w:pPr>
        <w:pStyle w:val="112"/>
        <w:spacing w:lineRule="exact" w:line="300"/>
        <w:jc w:val="both"/>
        <w:rPr>
          <w:spacing w:val="-6"/>
          <w:sz w:val="24"/>
        </w:rPr>
      </w:pPr>
      <w:r>
        <w:rPr>
          <w:b/>
          <w:spacing w:val="-6"/>
          <w:sz w:val="24"/>
        </w:rPr>
        <w:t>1.1.12.</w:t>
      </w:r>
      <w:r>
        <w:rPr>
          <w:spacing w:val="-6"/>
          <w:sz w:val="24"/>
        </w:rPr>
        <w:t xml:space="preserve"> Комплексы ФВФ должны обеспечивать определение типа (категории) транспортного средства – мотоциклы, легковые, грузовые, грузовые с прицепом, автобусы и прочие - в целях сбора корректной информации о статистике транспортных потоков, в том числе, для использования в рамках интеграции с АИСМТП, а также в целях реализации возможности установки отдельных порогов скорости для ТС разных типов.</w:t>
      </w:r>
    </w:p>
    <w:p>
      <w:pPr>
        <w:pStyle w:val="112"/>
        <w:spacing w:lineRule="exact" w:line="300"/>
        <w:jc w:val="both"/>
        <w:rPr>
          <w:spacing w:val="-6"/>
          <w:sz w:val="24"/>
        </w:rPr>
      </w:pPr>
      <w:r>
        <w:rPr>
          <w:b/>
          <w:spacing w:val="-6"/>
          <w:sz w:val="24"/>
        </w:rPr>
        <w:t>1.1.13.</w:t>
      </w:r>
      <w:r>
        <w:rPr>
          <w:spacing w:val="-6"/>
          <w:sz w:val="24"/>
        </w:rPr>
        <w:t xml:space="preserve"> Ширина зоны контроля Комплексов ФВФ должна быть не менее 14 метров в целях обеспечения контроля за дорожным движением в одной зоне контроля не менее чем на 2-х полосах движения и двух обочинах, а также в связи с наличием на территории Пермского края 3-х и 4-х полосных дорог.</w:t>
      </w:r>
    </w:p>
    <w:p>
      <w:pPr>
        <w:pStyle w:val="112"/>
        <w:spacing w:lineRule="exact" w:line="300"/>
        <w:jc w:val="both"/>
        <w:rPr>
          <w:spacing w:val="-6"/>
          <w:sz w:val="24"/>
        </w:rPr>
      </w:pPr>
      <w:r>
        <w:rPr>
          <w:b/>
          <w:spacing w:val="-6"/>
          <w:sz w:val="24"/>
        </w:rPr>
        <w:t>1.1.14.</w:t>
      </w:r>
      <w:r>
        <w:rPr>
          <w:spacing w:val="-6"/>
          <w:sz w:val="24"/>
        </w:rPr>
        <w:t xml:space="preserve"> Веб-интерфейс Комплексов ФВФ должен обеспечивать  техническому специалисту Заказчика возможность проведения полного цикла настройки Комплекса от стадии "установка" до выгрузки фотовидеоматериалов в СПО "Паутина"/ АИСМТП, в том числе, по всем данным для "плашки" фотоматериала, адрес выгрузки, протокол выгрузки, корректировка порогов фиксации и скоростного режима на контролируемом участке, выбор видов нарушений, доступ к журналам фиксации, наличие в журналах признаков событий по соответствующим категориям "С" согласно ГОСТ Р 57144-2016 с возможностью сортировки /фильтрации в целях обеспечения возможности контроля Заказчиком в период аренды. </w:t>
      </w:r>
    </w:p>
    <w:p>
      <w:pPr>
        <w:pStyle w:val="112"/>
        <w:spacing w:lineRule="exact" w:line="300"/>
        <w:jc w:val="both"/>
        <w:rPr>
          <w:spacing w:val="-6"/>
          <w:sz w:val="24"/>
        </w:rPr>
      </w:pPr>
      <w:r>
        <w:rPr>
          <w:b/>
          <w:spacing w:val="-6"/>
          <w:sz w:val="24"/>
        </w:rPr>
        <w:t>1.1.15.</w:t>
      </w:r>
      <w:r>
        <w:rPr>
          <w:spacing w:val="-6"/>
          <w:sz w:val="24"/>
        </w:rPr>
        <w:t xml:space="preserve"> Комплексы ФВФ должны иметь 3G/4G модем и интерфейс обмена данных Ethernet в целях обеспечения возможности контроля работоспособности КФВФ Заказчиком в период аренды. </w:t>
      </w:r>
    </w:p>
    <w:p>
      <w:pPr>
        <w:pStyle w:val="112"/>
        <w:spacing w:lineRule="exact" w:line="300"/>
        <w:jc w:val="both"/>
        <w:rPr>
          <w:spacing w:val="-6"/>
          <w:sz w:val="24"/>
        </w:rPr>
      </w:pPr>
      <w:r>
        <w:rPr>
          <w:b/>
          <w:spacing w:val="-6"/>
          <w:sz w:val="24"/>
        </w:rPr>
        <w:t>1.1.16.</w:t>
      </w:r>
      <w:r>
        <w:rPr>
          <w:spacing w:val="-6"/>
          <w:sz w:val="24"/>
        </w:rPr>
        <w:t xml:space="preserve"> Встроенное ПО Комплексов ФВФ должно быть не требующее платы за лицензию, для его бессрочного использования Заказчиком. </w:t>
      </w:r>
    </w:p>
    <w:p>
      <w:pPr>
        <w:pStyle w:val="112"/>
        <w:spacing w:lineRule="exact" w:line="300"/>
        <w:jc w:val="both"/>
        <w:rPr>
          <w:spacing w:val="-6"/>
          <w:sz w:val="24"/>
        </w:rPr>
      </w:pPr>
      <w:r>
        <w:rPr>
          <w:b/>
          <w:spacing w:val="-6"/>
          <w:sz w:val="24"/>
        </w:rPr>
        <w:t>1.1.17.</w:t>
      </w:r>
      <w:r>
        <w:rPr>
          <w:spacing w:val="-6"/>
          <w:sz w:val="24"/>
        </w:rPr>
        <w:t xml:space="preserve"> Комплексы ФВФ должны обеспечивать возможность формирования и передачи в СПО «Паутина» видеозаписи в составе материалов по административным правонарушениям.</w:t>
      </w:r>
    </w:p>
    <w:p>
      <w:pPr>
        <w:pStyle w:val="112"/>
        <w:spacing w:lineRule="exact" w:line="300"/>
        <w:jc w:val="both"/>
        <w:rPr>
          <w:spacing w:val="-6"/>
          <w:sz w:val="24"/>
        </w:rPr>
      </w:pPr>
      <w:r>
        <w:rPr>
          <w:b/>
          <w:spacing w:val="-6"/>
          <w:sz w:val="24"/>
        </w:rPr>
        <w:t>1.1.18.</w:t>
      </w:r>
      <w:r>
        <w:rPr>
          <w:spacing w:val="-6"/>
          <w:sz w:val="24"/>
        </w:rPr>
        <w:t xml:space="preserve"> Комплексы ФВФ должны обеспечивать возможность установки отдельных порогов скорости для ТС разных типов в целях обеспечения фиксации нарушений ПДД в соответствии с п. 10.3 ПДД РФ.</w:t>
      </w:r>
    </w:p>
    <w:p>
      <w:pPr>
        <w:pStyle w:val="112"/>
        <w:spacing w:lineRule="exact" w:line="300"/>
        <w:jc w:val="both"/>
        <w:rPr>
          <w:spacing w:val="-6"/>
          <w:sz w:val="24"/>
        </w:rPr>
      </w:pPr>
      <w:r>
        <w:rPr>
          <w:b/>
          <w:spacing w:val="-6"/>
          <w:sz w:val="24"/>
        </w:rPr>
        <w:t>1.1.19.</w:t>
      </w:r>
      <w:r>
        <w:rPr>
          <w:spacing w:val="-6"/>
          <w:sz w:val="24"/>
        </w:rPr>
        <w:t xml:space="preserve"> Комплексы ФВФ должны обеспечивать фиксацию событий, в том числе нарушений ПДД, при организации рубежа на линейных участках дорог:</w:t>
      </w:r>
    </w:p>
    <w:p>
      <w:pPr>
        <w:pStyle w:val="112"/>
        <w:spacing w:lineRule="exact" w:line="300"/>
        <w:jc w:val="both"/>
        <w:rPr>
          <w:spacing w:val="-6"/>
          <w:sz w:val="24"/>
        </w:rPr>
      </w:pPr>
      <w:r>
        <w:rPr>
          <w:spacing w:val="-6"/>
          <w:sz w:val="24"/>
        </w:rPr>
        <w:t>- события С0; С1 (С1.1, С1.2*); С2; С3; С4; С5; С6; С7; С9; С15; С16 (в части нарушения правил применения ремней безопасности).</w:t>
      </w:r>
    </w:p>
    <w:p>
      <w:pPr>
        <w:pStyle w:val="112"/>
        <w:spacing w:lineRule="exact" w:line="300"/>
        <w:jc w:val="both"/>
        <w:rPr>
          <w:spacing w:val="-6"/>
          <w:sz w:val="24"/>
        </w:rPr>
      </w:pPr>
      <w:r>
        <w:rPr>
          <w:spacing w:val="-6"/>
          <w:sz w:val="24"/>
        </w:rPr>
        <w:t>*В случае комбинированного способа измерения скорости.</w:t>
      </w:r>
    </w:p>
    <w:p>
      <w:pPr>
        <w:pStyle w:val="112"/>
        <w:spacing w:lineRule="exact" w:line="300"/>
        <w:jc w:val="both"/>
        <w:rPr>
          <w:spacing w:val="-6"/>
          <w:sz w:val="24"/>
        </w:rPr>
      </w:pPr>
      <w:r>
        <w:rPr>
          <w:b/>
          <w:spacing w:val="-6"/>
          <w:sz w:val="24"/>
        </w:rPr>
        <w:t>1.1.20.</w:t>
      </w:r>
      <w:r>
        <w:rPr>
          <w:spacing w:val="-6"/>
          <w:sz w:val="24"/>
        </w:rPr>
        <w:t xml:space="preserve"> Комплексы ФВФ должны обеспечивать фиксацию событий, в том числе нарушений ПДД, при организации рубежа на перекрестках дорог:</w:t>
      </w:r>
    </w:p>
    <w:p>
      <w:pPr>
        <w:pStyle w:val="112"/>
        <w:spacing w:lineRule="exact" w:line="300"/>
        <w:jc w:val="both"/>
        <w:rPr>
          <w:spacing w:val="-6"/>
          <w:sz w:val="24"/>
        </w:rPr>
      </w:pPr>
      <w:r>
        <w:rPr>
          <w:spacing w:val="-6"/>
          <w:sz w:val="24"/>
        </w:rPr>
        <w:t>- события С0; С1 (С1.1, С1.2*); С2; С3; С4; С5; С6; С7; С9; С12; С13; С15; С16 (в части нарушения правил применения ремней безопасности).</w:t>
      </w:r>
    </w:p>
    <w:p>
      <w:pPr>
        <w:pStyle w:val="112"/>
        <w:spacing w:lineRule="exact" w:line="300"/>
        <w:jc w:val="both"/>
        <w:rPr>
          <w:spacing w:val="-6"/>
          <w:sz w:val="24"/>
        </w:rPr>
      </w:pPr>
      <w:r>
        <w:rPr>
          <w:spacing w:val="-6"/>
          <w:sz w:val="24"/>
        </w:rPr>
        <w:t>*В случае комбинированного способа измерения скорости.</w:t>
      </w:r>
    </w:p>
    <w:p>
      <w:pPr>
        <w:pStyle w:val="112"/>
        <w:spacing w:lineRule="exact" w:line="300"/>
        <w:jc w:val="both"/>
        <w:rPr>
          <w:spacing w:val="-6"/>
          <w:sz w:val="24"/>
        </w:rPr>
      </w:pPr>
      <w:r>
        <w:rPr>
          <w:b/>
          <w:spacing w:val="-6"/>
          <w:sz w:val="24"/>
        </w:rPr>
        <w:t>1.1.21.</w:t>
      </w:r>
      <w:r>
        <w:rPr>
          <w:spacing w:val="-6"/>
          <w:sz w:val="24"/>
        </w:rPr>
        <w:t xml:space="preserve"> Срок службы Комплексов ФВФ, установленный производителем, должен быть не меньше срока действия ГПД. </w:t>
      </w:r>
    </w:p>
    <w:p>
      <w:pPr>
        <w:pStyle w:val="112"/>
        <w:spacing w:lineRule="exact" w:line="300"/>
        <w:jc w:val="both"/>
        <w:rPr>
          <w:spacing w:val="-6"/>
          <w:sz w:val="24"/>
        </w:rPr>
      </w:pPr>
      <w:r>
        <w:rPr>
          <w:b/>
          <w:spacing w:val="-6"/>
          <w:sz w:val="24"/>
        </w:rPr>
        <w:t>1.1.22.</w:t>
      </w:r>
      <w:r>
        <w:rPr>
          <w:spacing w:val="-6"/>
          <w:sz w:val="24"/>
        </w:rPr>
        <w:t xml:space="preserve"> Срок службы Комплексов ФВФ должен быть не менее 5 лет.</w:t>
      </w:r>
    </w:p>
    <w:p>
      <w:pPr>
        <w:pStyle w:val="112"/>
        <w:spacing w:lineRule="exact" w:line="300"/>
        <w:jc w:val="both"/>
        <w:rPr>
          <w:spacing w:val="-6"/>
          <w:sz w:val="24"/>
        </w:rPr>
      </w:pPr>
      <w:r>
        <w:rPr>
          <w:b/>
          <w:spacing w:val="-6"/>
          <w:sz w:val="24"/>
        </w:rPr>
        <w:t>1.1.23.</w:t>
      </w:r>
      <w:r>
        <w:rPr>
          <w:spacing w:val="-6"/>
          <w:sz w:val="24"/>
        </w:rPr>
        <w:t xml:space="preserve"> Кронштейны для Комплексов ФВФ должны обеспечивать надежное размещение Комплексов ФВФ на опорах улично-дорожной сети (мачтах освещения, опорах контактной сети), иных конструкциях, пригодных для размещения Комплексов.</w:t>
      </w:r>
    </w:p>
    <w:p>
      <w:pPr>
        <w:pStyle w:val="112"/>
        <w:spacing w:lineRule="exact" w:line="300"/>
        <w:jc w:val="both"/>
        <w:rPr>
          <w:spacing w:val="-6"/>
          <w:sz w:val="24"/>
        </w:rPr>
      </w:pPr>
      <w:r>
        <w:rPr>
          <w:b/>
          <w:spacing w:val="-6"/>
          <w:sz w:val="24"/>
        </w:rPr>
        <w:t>1.1.24.</w:t>
      </w:r>
      <w:r>
        <w:rPr>
          <w:spacing w:val="-6"/>
          <w:sz w:val="24"/>
        </w:rPr>
        <w:t xml:space="preserve"> Кронштейны для Комплексов ФВФ должны выдерживать ветровые и иные нагрузки, связанные с изменением погодных условий.</w:t>
      </w:r>
    </w:p>
    <w:p>
      <w:pPr>
        <w:pStyle w:val="112"/>
        <w:spacing w:lineRule="exact" w:line="300"/>
        <w:jc w:val="both"/>
        <w:rPr>
          <w:spacing w:val="-6"/>
          <w:sz w:val="24"/>
        </w:rPr>
      </w:pPr>
      <w:r>
        <w:rPr>
          <w:b/>
          <w:spacing w:val="-6"/>
          <w:sz w:val="24"/>
        </w:rPr>
        <w:t>1.1.25.</w:t>
      </w:r>
      <w:r>
        <w:rPr>
          <w:spacing w:val="-6"/>
          <w:sz w:val="24"/>
        </w:rPr>
        <w:t xml:space="preserve"> Комплексы ФВФ должны обеспечивать круглосуточное функционирование.</w:t>
      </w:r>
    </w:p>
    <w:p>
      <w:pPr>
        <w:pStyle w:val="112"/>
        <w:spacing w:lineRule="exact" w:line="300"/>
        <w:jc w:val="both"/>
        <w:rPr>
          <w:spacing w:val="-6"/>
          <w:sz w:val="24"/>
        </w:rPr>
      </w:pPr>
      <w:r>
        <w:rPr>
          <w:b/>
          <w:spacing w:val="-6"/>
          <w:sz w:val="24"/>
        </w:rPr>
        <w:t>1.1.26.</w:t>
      </w:r>
      <w:r>
        <w:rPr>
          <w:spacing w:val="-6"/>
          <w:sz w:val="24"/>
        </w:rPr>
        <w:t xml:space="preserve"> Комплексы ФВФ должны обеспечивать разграничения прав доступа к данным и настройкам Комплексов.</w:t>
      </w:r>
    </w:p>
    <w:p>
      <w:pPr>
        <w:pStyle w:val="112"/>
        <w:spacing w:lineRule="exact" w:line="300"/>
        <w:jc w:val="both"/>
        <w:rPr>
          <w:spacing w:val="-6"/>
          <w:sz w:val="24"/>
        </w:rPr>
      </w:pPr>
      <w:r>
        <w:rPr>
          <w:b/>
          <w:spacing w:val="-6"/>
          <w:sz w:val="24"/>
        </w:rPr>
        <w:t>1.1.27.</w:t>
      </w:r>
      <w:r>
        <w:rPr>
          <w:spacing w:val="-6"/>
          <w:sz w:val="24"/>
        </w:rPr>
        <w:t xml:space="preserve"> Минимальное напряжение сети переменного тока, при котором Комплексы ФВФ сохраняют работоспособность должно быть не более 187В.</w:t>
      </w:r>
    </w:p>
    <w:p>
      <w:pPr>
        <w:pStyle w:val="112"/>
        <w:spacing w:lineRule="exact" w:line="300"/>
        <w:jc w:val="both"/>
        <w:rPr>
          <w:spacing w:val="-6"/>
          <w:sz w:val="24"/>
        </w:rPr>
      </w:pPr>
      <w:r>
        <w:rPr>
          <w:b/>
          <w:spacing w:val="-6"/>
          <w:sz w:val="24"/>
        </w:rPr>
        <w:t>1.1.28.</w:t>
      </w:r>
      <w:r>
        <w:rPr>
          <w:spacing w:val="-6"/>
          <w:sz w:val="24"/>
        </w:rPr>
        <w:t xml:space="preserve"> Максимальное напряжение сети переменного тока, при котором Комплексы ФВФ сохраняют работоспособность должно быть не менее 264В.</w:t>
      </w:r>
    </w:p>
    <w:p>
      <w:pPr>
        <w:pStyle w:val="112"/>
        <w:spacing w:lineRule="exact" w:line="300"/>
        <w:jc w:val="both"/>
        <w:rPr>
          <w:spacing w:val="-6"/>
          <w:sz w:val="24"/>
        </w:rPr>
      </w:pPr>
      <w:r>
        <w:rPr>
          <w:b/>
          <w:spacing w:val="-6"/>
          <w:sz w:val="24"/>
        </w:rPr>
        <w:t>1.1.29.</w:t>
      </w:r>
      <w:r>
        <w:rPr>
          <w:spacing w:val="-6"/>
          <w:sz w:val="24"/>
        </w:rPr>
        <w:t xml:space="preserve"> Возможность автоматической синхронизации встроенных часов Комплексов ФВФ с сервером точного времени и системой спутниковой навигации, в целях уменьшения затрат на обслуживание Комплексов ФВФ по истечении срока аренды.</w:t>
      </w:r>
    </w:p>
    <w:p>
      <w:pPr>
        <w:pStyle w:val="112"/>
        <w:spacing w:lineRule="exact" w:line="300"/>
        <w:jc w:val="both"/>
        <w:rPr>
          <w:spacing w:val="-6"/>
          <w:sz w:val="24"/>
        </w:rPr>
      </w:pPr>
      <w:r>
        <w:rPr>
          <w:b/>
          <w:spacing w:val="-6"/>
          <w:sz w:val="24"/>
        </w:rPr>
        <w:t>1.1.30.</w:t>
      </w:r>
      <w:r>
        <w:rPr>
          <w:spacing w:val="-6"/>
          <w:sz w:val="24"/>
        </w:rPr>
        <w:t xml:space="preserve"> Комплексы ФВФ должны обеспечивать возможность визуального просмотра видеоизображения с камер Комплексов.</w:t>
      </w:r>
    </w:p>
    <w:p>
      <w:pPr>
        <w:pStyle w:val="112"/>
        <w:spacing w:lineRule="exact" w:line="300"/>
        <w:jc w:val="both"/>
        <w:rPr>
          <w:spacing w:val="-6"/>
          <w:sz w:val="24"/>
        </w:rPr>
      </w:pPr>
      <w:r>
        <w:rPr>
          <w:b/>
          <w:spacing w:val="-6"/>
          <w:sz w:val="24"/>
        </w:rPr>
        <w:t>1.1.31.</w:t>
      </w:r>
      <w:r>
        <w:rPr>
          <w:spacing w:val="-6"/>
          <w:sz w:val="24"/>
        </w:rPr>
        <w:t xml:space="preserve"> Комплексы ФВФ должны иметь WEB интерфейс для доступа ко всем настройкам Комплексов.</w:t>
      </w:r>
    </w:p>
    <w:p>
      <w:pPr>
        <w:pStyle w:val="112"/>
        <w:spacing w:lineRule="exact" w:line="300"/>
        <w:jc w:val="both"/>
        <w:rPr>
          <w:spacing w:val="-6"/>
          <w:sz w:val="24"/>
        </w:rPr>
      </w:pPr>
      <w:r>
        <w:rPr>
          <w:b/>
          <w:spacing w:val="-6"/>
          <w:sz w:val="24"/>
        </w:rPr>
        <w:t>1.1.32.</w:t>
      </w:r>
      <w:r>
        <w:rPr>
          <w:spacing w:val="-6"/>
          <w:sz w:val="24"/>
        </w:rPr>
        <w:t xml:space="preserve"> Комплексы ФВФ должны обеспечивать корректное отключение оборудования и сохранение данных при внезапном отключении питания.</w:t>
      </w:r>
    </w:p>
    <w:p>
      <w:pPr>
        <w:pStyle w:val="112"/>
        <w:spacing w:lineRule="exact" w:line="300"/>
        <w:jc w:val="both"/>
        <w:rPr>
          <w:spacing w:val="-6"/>
          <w:sz w:val="24"/>
        </w:rPr>
      </w:pPr>
      <w:r>
        <w:rPr>
          <w:b/>
          <w:spacing w:val="-6"/>
          <w:sz w:val="24"/>
        </w:rPr>
        <w:t>1.1.33.</w:t>
      </w:r>
      <w:r>
        <w:rPr>
          <w:spacing w:val="-6"/>
          <w:sz w:val="24"/>
        </w:rPr>
        <w:t xml:space="preserve"> Комплексы ФВФ должны обеспечивать автоматическое восстановление рабочего режима после отключения питания и его повторного включения.</w:t>
      </w:r>
    </w:p>
    <w:p>
      <w:pPr>
        <w:pStyle w:val="112"/>
        <w:spacing w:lineRule="exact" w:line="300"/>
        <w:jc w:val="both"/>
        <w:rPr>
          <w:spacing w:val="-6"/>
          <w:sz w:val="24"/>
        </w:rPr>
      </w:pPr>
      <w:r>
        <w:rPr>
          <w:b/>
          <w:spacing w:val="-6"/>
          <w:sz w:val="24"/>
        </w:rPr>
        <w:t>1.1.34.</w:t>
      </w:r>
      <w:r>
        <w:rPr>
          <w:spacing w:val="-6"/>
          <w:sz w:val="24"/>
        </w:rPr>
        <w:t xml:space="preserve"> Комплексы ФВФ должны обеспечивать возможность удаленной диагностики и технической поддержки Комплексов со стороны изготовителя.</w:t>
      </w:r>
    </w:p>
    <w:p>
      <w:pPr>
        <w:pStyle w:val="112"/>
        <w:spacing w:lineRule="exact" w:line="300"/>
        <w:jc w:val="both"/>
        <w:rPr>
          <w:spacing w:val="-6"/>
          <w:sz w:val="24"/>
        </w:rPr>
      </w:pPr>
      <w:r>
        <w:rPr>
          <w:b/>
          <w:spacing w:val="-6"/>
          <w:sz w:val="24"/>
        </w:rPr>
        <w:t>1.1.35.</w:t>
      </w:r>
      <w:r>
        <w:rPr>
          <w:spacing w:val="-6"/>
          <w:sz w:val="24"/>
        </w:rPr>
        <w:t xml:space="preserve"> На Комплексах ФВФ, данные должны записываться на носитель с обеспечением невозможности выборочного удаления файлов нарушений и невозможности несанкционированного доступа к записанным данным.</w:t>
      </w:r>
    </w:p>
    <w:p>
      <w:pPr>
        <w:pStyle w:val="112"/>
        <w:spacing w:lineRule="exact" w:line="300"/>
        <w:jc w:val="both"/>
        <w:rPr>
          <w:spacing w:val="-6"/>
          <w:sz w:val="24"/>
        </w:rPr>
      </w:pPr>
      <w:r>
        <w:rPr>
          <w:spacing w:val="-6"/>
          <w:sz w:val="24"/>
        </w:rPr>
        <w:t>Срок выполнения работ с 30.05.2026 по 30.05.2027 (уточняется по результатам проектирования)</w:t>
      </w:r>
    </w:p>
    <w:p>
      <w:pPr>
        <w:pStyle w:val="112"/>
        <w:spacing w:lineRule="exact" w:line="300"/>
        <w:jc w:val="both"/>
        <w:rPr>
          <w:spacing w:val="-6"/>
          <w:sz w:val="24"/>
        </w:rPr>
      </w:pPr>
      <w:r>
        <w:rPr>
          <w:spacing w:val="-6"/>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pPr>
        <w:pStyle w:val="112"/>
        <w:spacing w:lineRule="exact" w:line="300"/>
        <w:jc w:val="both"/>
        <w:rPr>
          <w:spacing w:val="-6"/>
          <w:sz w:val="24"/>
        </w:rPr>
      </w:pPr>
      <w:r>
        <w:rPr>
          <w:spacing w:val="-6"/>
          <w:sz w:val="24"/>
        </w:rPr>
        <w:t>- заменены (изменены), то применяются заменяющие (измененные) документы;</w:t>
      </w:r>
    </w:p>
    <w:p>
      <w:pPr>
        <w:pStyle w:val="112"/>
        <w:spacing w:lineRule="exact" w:line="300"/>
        <w:jc w:val="both"/>
        <w:rPr>
          <w:spacing w:val="-6"/>
          <w:sz w:val="24"/>
        </w:rPr>
      </w:pPr>
      <w:r>
        <w:rPr>
          <w:spacing w:val="-6"/>
          <w:sz w:val="24"/>
        </w:rPr>
        <w:t>- отменены без замены, то применяются положения в части, не затрагивающей эту отмену.</w:t>
      </w:r>
    </w:p>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112"/>
        <w:spacing w:lineRule="exact" w:line="300"/>
        <w:jc w:val="both"/>
        <w:rPr>
          <w:rFonts w:ascii="Times New Roman" w:hAnsi="Times New Roman"/>
          <w:spacing w:val="-6"/>
          <w:sz w:val="24"/>
        </w:rPr>
      </w:pPr>
      <w:r>
        <w:rPr>
          <w:rFonts w:ascii="Times New Roman" w:hAnsi="Times New Roman"/>
          <w:spacing w:val="-6"/>
          <w:sz w:val="24"/>
        </w:rPr>
      </w:r>
    </w:p>
    <w:p>
      <w:pPr>
        <w:pStyle w:val="Normal"/>
        <w:widowControl/>
        <w:jc w:val="both"/>
        <w:rPr>
          <w:spacing w:val="-6"/>
          <w:sz w:val="24"/>
        </w:rPr>
      </w:pPr>
      <w:r>
        <w:rPr>
          <w:spacing w:val="-6"/>
          <w:sz w:val="24"/>
        </w:rPr>
      </w:r>
      <w:r>
        <w:br w:type="page"/>
      </w:r>
    </w:p>
    <w:p>
      <w:pPr>
        <w:pStyle w:val="112"/>
        <w:spacing w:lineRule="exact" w:line="300" w:before="0" w:after="0"/>
        <w:jc w:val="both"/>
        <w:rPr/>
      </w:pPr>
      <w:r>
        <w:rPr/>
      </w:r>
    </w:p>
    <w:tbl>
      <w:tblPr>
        <w:tblW w:w="11354" w:type="dxa"/>
        <w:jc w:val="start"/>
        <w:tblInd w:w="-318" w:type="dxa"/>
        <w:tblLayout w:type="fixed"/>
        <w:tblCellMar>
          <w:top w:w="0" w:type="dxa"/>
          <w:start w:w="108" w:type="dxa"/>
          <w:bottom w:w="0" w:type="dxa"/>
          <w:end w:w="108" w:type="dxa"/>
        </w:tblCellMar>
        <w:tblLook w:val="04a0" w:noHBand="0" w:noVBand="1" w:firstColumn="1" w:lastRow="0" w:lastColumn="0" w:firstRow="1"/>
      </w:tblPr>
      <w:tblGrid>
        <w:gridCol w:w="1560"/>
        <w:gridCol w:w="2552"/>
        <w:gridCol w:w="6803"/>
        <w:gridCol w:w="438"/>
      </w:tblGrid>
      <w:tr>
        <w:trPr>
          <w:trHeight w:val="1145" w:hRule="atLeast"/>
        </w:trPr>
        <w:tc>
          <w:tcPr>
            <w:tcW w:w="1560" w:type="dxa"/>
            <w:tcBorders/>
            <w:vAlign w:val="bottom"/>
          </w:tcPr>
          <w:p>
            <w:pPr>
              <w:pStyle w:val="Normal"/>
              <w:widowControl/>
              <w:spacing w:lineRule="auto" w:line="276" w:before="0" w:after="200"/>
              <w:jc w:val="both"/>
              <w:rPr>
                <w:rFonts w:ascii="Arial" w:hAnsi="Arial"/>
                <w:sz w:val="24"/>
              </w:rPr>
            </w:pPr>
            <w:r>
              <w:rPr>
                <w:rFonts w:ascii="Arial" w:hAnsi="Arial"/>
                <w:sz w:val="24"/>
              </w:rPr>
            </w:r>
          </w:p>
        </w:tc>
        <w:tc>
          <w:tcPr>
            <w:tcW w:w="2552" w:type="dxa"/>
            <w:tcBorders/>
            <w:vAlign w:val="bottom"/>
          </w:tcPr>
          <w:p>
            <w:pPr>
              <w:pStyle w:val="Normal"/>
              <w:widowControl/>
              <w:jc w:val="both"/>
              <w:rPr>
                <w:rFonts w:ascii="Arial" w:hAnsi="Arial"/>
                <w:sz w:val="24"/>
              </w:rPr>
            </w:pPr>
            <w:r>
              <w:rPr>
                <w:rFonts w:ascii="Arial" w:hAnsi="Arial"/>
                <w:sz w:val="24"/>
              </w:rPr>
            </w:r>
          </w:p>
        </w:tc>
        <w:tc>
          <w:tcPr>
            <w:tcW w:w="6803" w:type="dxa"/>
            <w:tcBorders/>
            <w:vAlign w:val="center"/>
          </w:tcPr>
          <w:p>
            <w:pPr>
              <w:pStyle w:val="Normal"/>
              <w:widowControl/>
              <w:jc w:val="end"/>
              <w:rPr>
                <w:b/>
                <w:sz w:val="24"/>
              </w:rPr>
            </w:pPr>
            <w:r>
              <w:rPr>
                <w:b/>
                <w:sz w:val="24"/>
              </w:rPr>
              <w:t>Приложение №1</w:t>
            </w:r>
          </w:p>
          <w:p>
            <w:pPr>
              <w:pStyle w:val="Normal"/>
              <w:widowControl/>
              <w:jc w:val="end"/>
              <w:rPr>
                <w:b/>
                <w:sz w:val="24"/>
              </w:rPr>
            </w:pPr>
            <w:r>
              <w:rPr>
                <w:b/>
                <w:sz w:val="24"/>
              </w:rPr>
              <w:t>к Техническому заданию на выполнение работ по разработке и корректировке проектной и рабочей документации по объекту:</w:t>
            </w:r>
          </w:p>
          <w:p>
            <w:pPr>
              <w:pStyle w:val="Normal"/>
              <w:widowControl/>
              <w:jc w:val="end"/>
              <w:rPr>
                <w:b/>
                <w:sz w:val="24"/>
              </w:rPr>
            </w:pPr>
            <w:bookmarkStart w:id="2" w:name="_Hlk191569746"/>
            <w:bookmarkStart w:id="3" w:name="_Hlk191569217"/>
            <w:r>
              <w:rPr>
                <w:b/>
                <w:sz w:val="24"/>
              </w:rPr>
              <w:t>«</w:t>
            </w:r>
            <w:r>
              <w:rPr>
                <w:b/>
                <w:sz w:val="24"/>
                <w:shd w:fill="FFFF00" w:val="clear"/>
              </w:rPr>
              <w:t>Устройство недостающего освещения на автомобильных дорогах регионального значения Пермского края»</w:t>
            </w:r>
            <w:bookmarkEnd w:id="2"/>
            <w:bookmarkEnd w:id="3"/>
          </w:p>
          <w:p>
            <w:pPr>
              <w:pStyle w:val="Normal"/>
              <w:widowControl/>
              <w:ind w:end="743"/>
              <w:jc w:val="both"/>
              <w:rPr>
                <w:b/>
              </w:rPr>
            </w:pPr>
            <w:r>
              <w:rPr>
                <w:b/>
              </w:rPr>
            </w:r>
          </w:p>
        </w:tc>
        <w:tc>
          <w:tcPr>
            <w:tcW w:w="438" w:type="dxa"/>
            <w:tcBorders/>
          </w:tcPr>
          <w:p>
            <w:pPr>
              <w:pStyle w:val="Normal"/>
              <w:jc w:val="both"/>
              <w:rPr/>
            </w:pPr>
            <w:r>
              <w:rPr/>
            </w:r>
          </w:p>
        </w:tc>
      </w:tr>
      <w:tr>
        <w:trPr>
          <w:trHeight w:val="360" w:hRule="atLeast"/>
        </w:trPr>
        <w:tc>
          <w:tcPr>
            <w:tcW w:w="11353" w:type="dxa"/>
            <w:gridSpan w:val="4"/>
            <w:tcBorders/>
            <w:vAlign w:val="bottom"/>
          </w:tcPr>
          <w:p>
            <w:pPr>
              <w:pStyle w:val="Normal"/>
              <w:widowControl/>
              <w:jc w:val="center"/>
              <w:rPr>
                <w:b/>
                <w:i/>
                <w:i/>
                <w:sz w:val="24"/>
              </w:rPr>
            </w:pPr>
            <w:bookmarkStart w:id="4" w:name="_Hlk191569269"/>
            <w:r>
              <w:rPr>
                <w:b/>
                <w:i/>
                <w:sz w:val="24"/>
              </w:rPr>
              <w:t>Исходные данные для расчета сметной стоимости по объекту</w:t>
            </w:r>
            <w:bookmarkEnd w:id="4"/>
            <w:r>
              <w:rPr>
                <w:b/>
                <w:i/>
                <w:sz w:val="24"/>
              </w:rPr>
              <w:t>:</w:t>
            </w:r>
          </w:p>
          <w:p>
            <w:pPr>
              <w:pStyle w:val="Normal"/>
              <w:widowControl/>
              <w:jc w:val="center"/>
              <w:rPr>
                <w:b/>
                <w:i/>
                <w:i/>
                <w:sz w:val="24"/>
              </w:rPr>
            </w:pPr>
            <w:r>
              <w:rPr>
                <w:b/>
                <w:i/>
                <w:sz w:val="24"/>
              </w:rPr>
            </w:r>
          </w:p>
        </w:tc>
      </w:tr>
      <w:tr>
        <w:trPr>
          <w:trHeight w:val="1158" w:hRule="atLeast"/>
        </w:trPr>
        <w:tc>
          <w:tcPr>
            <w:tcW w:w="11353" w:type="dxa"/>
            <w:gridSpan w:val="4"/>
            <w:tcBorders/>
            <w:vAlign w:val="center"/>
          </w:tcPr>
          <w:tbl>
            <w:tblPr>
              <w:tblW w:w="10348" w:type="dxa"/>
              <w:jc w:val="start"/>
              <w:tblInd w:w="347" w:type="dxa"/>
              <w:tblLayout w:type="fixed"/>
              <w:tblCellMar>
                <w:top w:w="0" w:type="dxa"/>
                <w:start w:w="108" w:type="dxa"/>
                <w:bottom w:w="0" w:type="dxa"/>
                <w:end w:w="108" w:type="dxa"/>
              </w:tblCellMar>
              <w:tblLook w:val="04a0" w:noHBand="0" w:noVBand="1" w:firstColumn="1" w:lastRow="0" w:lastColumn="0" w:firstRow="1"/>
            </w:tblPr>
            <w:tblGrid>
              <w:gridCol w:w="707"/>
              <w:gridCol w:w="2977"/>
              <w:gridCol w:w="6664"/>
            </w:tblGrid>
            <w:tr>
              <w:trPr>
                <w:trHeight w:val="360"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 </w:t>
                  </w:r>
                  <w:r>
                    <w:rPr>
                      <w:sz w:val="22"/>
                    </w:rPr>
                    <w:t>п.п.</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Наименование глав, работ и затрат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Порядок определения, обоснования, оформления сметной документации</w:t>
                  </w:r>
                </w:p>
              </w:tc>
            </w:tr>
            <w:tr>
              <w:trPr>
                <w:trHeight w:val="360"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1</w:t>
                  </w:r>
                </w:p>
              </w:tc>
              <w:tc>
                <w:tcPr>
                  <w:tcW w:w="9641" w:type="dxa"/>
                  <w:gridSpan w:val="2"/>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 xml:space="preserve">Общие положения </w:t>
                  </w:r>
                </w:p>
              </w:tc>
            </w:tr>
            <w:tr>
              <w:trPr>
                <w:trHeight w:val="444"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1.1</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Наименование проектной документации</w:t>
                  </w:r>
                </w:p>
              </w:tc>
              <w:tc>
                <w:tcPr>
                  <w:tcW w:w="6664" w:type="dxa"/>
                  <w:tcBorders>
                    <w:bottom w:val="single" w:sz="4" w:space="0" w:color="000000"/>
                    <w:end w:val="single" w:sz="4" w:space="0" w:color="000000"/>
                  </w:tcBorders>
                </w:tcPr>
                <w:p>
                  <w:pPr>
                    <w:pStyle w:val="Normal"/>
                    <w:widowControl/>
                    <w:jc w:val="both"/>
                    <w:rPr>
                      <w:color w:val="FF0000"/>
                      <w:sz w:val="22"/>
                    </w:rPr>
                  </w:pPr>
                  <w:r>
                    <w:rPr>
                      <w:sz w:val="22"/>
                    </w:rPr>
                    <w:t xml:space="preserve">Устройство недостающего освещения на автомобильных дорогах регионального значения Пермского края. </w:t>
                  </w:r>
                </w:p>
              </w:tc>
            </w:tr>
            <w:tr>
              <w:trPr>
                <w:trHeight w:val="721"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1.2</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Стоимость работ</w:t>
                  </w:r>
                </w:p>
              </w:tc>
              <w:tc>
                <w:tcPr>
                  <w:tcW w:w="6664" w:type="dxa"/>
                  <w:tcBorders>
                    <w:bottom w:val="single" w:sz="4" w:space="0" w:color="000000"/>
                    <w:end w:val="single" w:sz="4" w:space="0" w:color="000000"/>
                  </w:tcBorders>
                  <w:vAlign w:val="center"/>
                </w:tcPr>
                <w:p>
                  <w:pPr>
                    <w:pStyle w:val="Normal"/>
                    <w:widowControl/>
                    <w:numPr>
                      <w:ilvl w:val="2"/>
                      <w:numId w:val="12"/>
                    </w:numPr>
                    <w:tabs>
                      <w:tab w:val="clear" w:pos="708"/>
                      <w:tab w:val="left" w:pos="394" w:leader="none"/>
                    </w:tabs>
                    <w:spacing w:lineRule="auto" w:line="276" w:before="0" w:after="0"/>
                    <w:contextualSpacing/>
                    <w:jc w:val="both"/>
                    <w:rPr>
                      <w:sz w:val="22"/>
                    </w:rPr>
                  </w:pPr>
                  <w:r>
                    <w:rPr>
                      <w:sz w:val="22"/>
                    </w:rPr>
                    <w:t>Сметная документация составляется в действующей на момент разработки проектной документации ФСНБ.</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1.2.2. Сметная документация разрабатывается на основе утвержденных Заказчиком:</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xml:space="preserve">- технической части; </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ведомости об источниках получения, расстояниях и способах доставки материалов;</w:t>
                  </w:r>
                </w:p>
                <w:p>
                  <w:pPr>
                    <w:pStyle w:val="Normal"/>
                    <w:widowControl/>
                    <w:tabs>
                      <w:tab w:val="clear" w:pos="708"/>
                      <w:tab w:val="left" w:pos="252" w:leader="none"/>
                      <w:tab w:val="left" w:pos="580" w:leader="none"/>
                    </w:tabs>
                    <w:spacing w:lineRule="auto" w:line="276" w:before="0" w:after="0"/>
                    <w:contextualSpacing/>
                    <w:jc w:val="both"/>
                    <w:rPr>
                      <w:sz w:val="22"/>
                    </w:rPr>
                  </w:pPr>
                  <w:r>
                    <w:rPr>
                      <w:sz w:val="22"/>
                    </w:rPr>
                    <w:t xml:space="preserve"> </w:t>
                  </w:r>
                  <w:r>
                    <w:rPr>
                      <w:sz w:val="22"/>
                    </w:rPr>
                    <w:t>- конъюнктурного анализа стоимости материалов;</w:t>
                  </w:r>
                </w:p>
                <w:p>
                  <w:pPr>
                    <w:pStyle w:val="Normal"/>
                    <w:widowControl/>
                    <w:tabs>
                      <w:tab w:val="clear" w:pos="708"/>
                      <w:tab w:val="left" w:pos="394" w:leader="none"/>
                    </w:tabs>
                    <w:spacing w:lineRule="auto" w:line="276" w:before="0" w:after="0"/>
                    <w:contextualSpacing/>
                    <w:jc w:val="both"/>
                    <w:rPr>
                      <w:sz w:val="22"/>
                    </w:rPr>
                  </w:pPr>
                  <w:r>
                    <w:rPr>
                      <w:sz w:val="22"/>
                    </w:rPr>
                    <w:t xml:space="preserve"> </w:t>
                  </w:r>
                  <w:r>
                    <w:rPr>
                      <w:sz w:val="22"/>
                    </w:rPr>
                    <w:t>- ведомости объемов работ и спецификаций;</w:t>
                  </w:r>
                </w:p>
                <w:p>
                  <w:pPr>
                    <w:pStyle w:val="Normal"/>
                    <w:widowControl/>
                    <w:tabs>
                      <w:tab w:val="clear" w:pos="708"/>
                      <w:tab w:val="left" w:pos="394" w:leader="none"/>
                    </w:tabs>
                    <w:spacing w:lineRule="auto" w:line="276" w:before="0" w:after="0"/>
                    <w:contextualSpacing/>
                    <w:jc w:val="both"/>
                    <w:rPr>
                      <w:sz w:val="22"/>
                    </w:rPr>
                  </w:pPr>
                  <w:r>
                    <w:rPr>
                      <w:sz w:val="22"/>
                    </w:rPr>
                    <w:t>- локальные сметные расчеты (сметы) разрабатываются на конструктивные решения и (или) комплексы (виды) работ в соответствии с технологической последовательностью выполнения работ и с учетом условий их выполнения. В состав конструктивных решений и (или) комплексов (видов) работ должны входить затраты на доставку материалов в соответствии с согласованной сводной ведомостью об источниках получения, расстояниях и способах доставки материалов.</w:t>
                  </w:r>
                </w:p>
                <w:p>
                  <w:pPr>
                    <w:pStyle w:val="Normal"/>
                    <w:widowControl/>
                    <w:numPr>
                      <w:ilvl w:val="2"/>
                      <w:numId w:val="13"/>
                    </w:numPr>
                    <w:tabs>
                      <w:tab w:val="clear" w:pos="708"/>
                      <w:tab w:val="left" w:pos="394" w:leader="none"/>
                    </w:tabs>
                    <w:spacing w:lineRule="auto" w:line="276" w:before="0" w:after="0"/>
                    <w:contextualSpacing/>
                    <w:jc w:val="both"/>
                    <w:rPr>
                      <w:sz w:val="22"/>
                    </w:rPr>
                  </w:pPr>
                  <w:r>
                    <w:rPr>
                      <w:sz w:val="22"/>
                    </w:rPr>
                    <w:t>Стоимость работ объекта:</w:t>
                  </w:r>
                </w:p>
                <w:p>
                  <w:pPr>
                    <w:pStyle w:val="Normal"/>
                    <w:widowControl/>
                    <w:tabs>
                      <w:tab w:val="clear" w:pos="708"/>
                      <w:tab w:val="left" w:pos="252" w:leader="none"/>
                    </w:tabs>
                    <w:spacing w:lineRule="auto" w:line="276" w:before="0" w:after="0"/>
                    <w:contextualSpacing/>
                    <w:jc w:val="both"/>
                    <w:rPr>
                      <w:sz w:val="22"/>
                    </w:rPr>
                  </w:pPr>
                  <w:r>
                    <w:rPr>
                      <w:sz w:val="22"/>
                    </w:rPr>
                    <w:t>- сметная стоимость определяется на дату представления (сдачи) ПСД Заказчику;</w:t>
                  </w:r>
                </w:p>
                <w:p>
                  <w:pPr>
                    <w:pStyle w:val="Normal"/>
                    <w:widowControl/>
                    <w:tabs>
                      <w:tab w:val="clear" w:pos="708"/>
                      <w:tab w:val="left" w:pos="252" w:leader="none"/>
                    </w:tabs>
                    <w:spacing w:lineRule="auto" w:line="276" w:before="0" w:after="0"/>
                    <w:contextualSpacing/>
                    <w:jc w:val="both"/>
                    <w:rPr>
                      <w:sz w:val="22"/>
                    </w:rPr>
                  </w:pPr>
                  <w:r>
                    <w:rPr>
                      <w:sz w:val="22"/>
                    </w:rPr>
                    <w:t>- сметную документацию выполнить в соответствии с                                   Приказом № 421/пр от 04.08.2020г. и другими действующими методиками;</w:t>
                  </w:r>
                </w:p>
                <w:p>
                  <w:pPr>
                    <w:pStyle w:val="Normal"/>
                    <w:widowControl/>
                    <w:tabs>
                      <w:tab w:val="clear" w:pos="708"/>
                      <w:tab w:val="left" w:pos="252" w:leader="none"/>
                    </w:tabs>
                    <w:spacing w:lineRule="auto" w:line="276" w:before="0" w:after="0"/>
                    <w:contextualSpacing/>
                    <w:jc w:val="both"/>
                    <w:rPr>
                      <w:sz w:val="22"/>
                    </w:rPr>
                  </w:pPr>
                  <w:r>
                    <w:rPr>
                      <w:sz w:val="22"/>
                    </w:rPr>
                    <w:t>- разработку сметной документации осуществлять с применением государственных сметных нормативов, включенных в федеральный реестр сметных нормативов.</w:t>
                  </w:r>
                </w:p>
                <w:p>
                  <w:pPr>
                    <w:pStyle w:val="Normal"/>
                    <w:widowControl/>
                    <w:numPr>
                      <w:ilvl w:val="2"/>
                      <w:numId w:val="13"/>
                    </w:numPr>
                    <w:tabs>
                      <w:tab w:val="clear" w:pos="708"/>
                      <w:tab w:val="left" w:pos="394" w:leader="none"/>
                    </w:tabs>
                    <w:spacing w:lineRule="auto" w:line="276" w:before="0" w:after="0"/>
                    <w:contextualSpacing/>
                    <w:jc w:val="both"/>
                    <w:rPr>
                      <w:sz w:val="22"/>
                    </w:rPr>
                  </w:pPr>
                  <w:r>
                    <w:rPr>
                      <w:sz w:val="22"/>
                    </w:rPr>
                    <w:t>Предельную стоимость капитального ремонта объекта определить в соответствии с укрупненными нормативными ценами строительства НЦС-2024, представить расчет.</w:t>
                  </w:r>
                </w:p>
                <w:p>
                  <w:pPr>
                    <w:pStyle w:val="Normal"/>
                    <w:widowControl/>
                    <w:numPr>
                      <w:ilvl w:val="2"/>
                      <w:numId w:val="13"/>
                    </w:numPr>
                    <w:tabs>
                      <w:tab w:val="clear" w:pos="708"/>
                      <w:tab w:val="left" w:pos="0" w:leader="none"/>
                    </w:tabs>
                    <w:spacing w:lineRule="auto" w:line="276" w:before="0" w:after="0"/>
                    <w:ind w:hanging="13" w:start="13"/>
                    <w:contextualSpacing/>
                    <w:jc w:val="both"/>
                    <w:rPr>
                      <w:sz w:val="22"/>
                    </w:rPr>
                  </w:pPr>
                  <w:r>
                    <w:rPr>
                      <w:sz w:val="22"/>
                    </w:rPr>
                    <w:t>При увеличении стоимости капитального ремонта объекта сверх указанного в сборнике представить технико-экономическое обоснование.</w:t>
                  </w:r>
                </w:p>
              </w:tc>
            </w:tr>
            <w:tr>
              <w:trPr>
                <w:trHeight w:val="721"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1.3</w:t>
                  </w:r>
                </w:p>
              </w:tc>
              <w:tc>
                <w:tcPr>
                  <w:tcW w:w="2977"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 xml:space="preserve">Метод определения стоимости </w:t>
                  </w:r>
                </w:p>
              </w:tc>
              <w:tc>
                <w:tcPr>
                  <w:tcW w:w="6664"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Ресурсно-индексный метод</w:t>
                  </w:r>
                </w:p>
              </w:tc>
            </w:tr>
            <w:tr>
              <w:trPr>
                <w:trHeight w:val="300"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2</w:t>
                  </w:r>
                </w:p>
              </w:tc>
              <w:tc>
                <w:tcPr>
                  <w:tcW w:w="9641" w:type="dxa"/>
                  <w:gridSpan w:val="2"/>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b/>
                      <w:sz w:val="22"/>
                    </w:rPr>
                  </w:pPr>
                  <w:r>
                    <w:rPr>
                      <w:b/>
                      <w:sz w:val="22"/>
                    </w:rPr>
                    <w:t>Определение основных статей сметной стоимости</w:t>
                  </w:r>
                </w:p>
              </w:tc>
            </w:tr>
            <w:tr>
              <w:trPr>
                <w:trHeight w:val="811"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Оплата труда основных рабочих и механизаторов</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Определить с учетом действующих методик.</w:t>
                  </w:r>
                </w:p>
              </w:tc>
            </w:tr>
            <w:tr>
              <w:trPr>
                <w:trHeight w:val="31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Затраты на эксплуатацию машин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Определить с учетом действующих методик.</w:t>
                  </w:r>
                </w:p>
              </w:tc>
            </w:tr>
            <w:tr>
              <w:trPr>
                <w:trHeight w:val="19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Годовой режим работы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Исходя из полуторасменного режима работы</w:t>
                  </w:r>
                </w:p>
              </w:tc>
            </w:tr>
            <w:tr>
              <w:trPr>
                <w:trHeight w:val="70"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2.3</w:t>
                  </w:r>
                </w:p>
              </w:tc>
              <w:tc>
                <w:tcPr>
                  <w:tcW w:w="297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Стоимость материальных ресурсов</w:t>
                  </w:r>
                </w:p>
              </w:tc>
              <w:tc>
                <w:tcPr>
                  <w:tcW w:w="6664" w:type="dxa"/>
                  <w:tcBorders>
                    <w:top w:val="single" w:sz="4" w:space="0" w:color="000000"/>
                    <w:bottom w:val="single" w:sz="4" w:space="0" w:color="000000"/>
                    <w:end w:val="single" w:sz="4" w:space="0" w:color="000000"/>
                  </w:tcBorders>
                  <w:vAlign w:val="center"/>
                </w:tcPr>
                <w:p>
                  <w:pPr>
                    <w:pStyle w:val="Normal"/>
                    <w:widowControl/>
                    <w:numPr>
                      <w:ilvl w:val="2"/>
                      <w:numId w:val="14"/>
                    </w:numPr>
                    <w:spacing w:lineRule="auto" w:line="276" w:before="0" w:after="0"/>
                    <w:contextualSpacing/>
                    <w:jc w:val="both"/>
                    <w:rPr>
                      <w:sz w:val="22"/>
                    </w:rPr>
                  </w:pPr>
                  <w:r>
                    <w:rPr>
                      <w:sz w:val="22"/>
                    </w:rPr>
                    <w:t>Определить с учетом действующих методик.</w:t>
                  </w:r>
                </w:p>
                <w:p>
                  <w:pPr>
                    <w:pStyle w:val="Normal"/>
                    <w:widowControl/>
                    <w:numPr>
                      <w:ilvl w:val="2"/>
                      <w:numId w:val="14"/>
                    </w:numPr>
                    <w:spacing w:lineRule="auto" w:line="276" w:before="0" w:after="0"/>
                    <w:contextualSpacing/>
                    <w:jc w:val="both"/>
                    <w:rPr>
                      <w:sz w:val="22"/>
                    </w:rPr>
                  </w:pPr>
                  <w:r>
                    <w:rPr>
                      <w:sz w:val="22"/>
                    </w:rPr>
                    <w:t>При определении сметной стоимости ресурсов по прайс-листам, коммерческим предложениям и т.п. рассмотреть не менее трех производителей (поставщиков) с учетом трех оптимальных транспортных схем. Обосновывающие стоимость в текущих ценах документы должны быть получены в период, не превышающий 6 месяцев до момента определения сметной стоимости.</w:t>
                  </w:r>
                </w:p>
                <w:p>
                  <w:pPr>
                    <w:pStyle w:val="Normal"/>
                    <w:widowControl/>
                    <w:numPr>
                      <w:ilvl w:val="2"/>
                      <w:numId w:val="14"/>
                    </w:numPr>
                    <w:spacing w:lineRule="auto" w:line="276" w:before="0" w:after="0"/>
                    <w:contextualSpacing/>
                    <w:jc w:val="both"/>
                    <w:rPr>
                      <w:sz w:val="22"/>
                    </w:rPr>
                  </w:pPr>
                  <w:r>
                    <w:rPr>
                      <w:sz w:val="22"/>
                    </w:rPr>
                    <w:t>Прайс-листы, коммерческие предложения должны быть оформлены официальным ответным письмом от производителя (см.  Приказ № 421/пр от 04.08.2020г).</w:t>
                  </w:r>
                </w:p>
                <w:p>
                  <w:pPr>
                    <w:pStyle w:val="Normal"/>
                    <w:widowControl/>
                    <w:jc w:val="both"/>
                    <w:rPr>
                      <w:sz w:val="22"/>
                    </w:rPr>
                  </w:pPr>
                  <w:r>
                    <w:rPr>
                      <w:sz w:val="22"/>
                    </w:rPr>
                    <w:t>2.3.4 Для проведения конъюнктурного анализа используется информация из открытых и (или) официальных источников о текущих ценах (в частности, печатные издания, информационно-телекоммуникационная сеть "Интернет"), подтверждаемая обосновывающими документами, подписанными производителями и (или) поставщиками соответствующих материальных ресурсов и оборудования (работ, услуг) и (или) заверенными подписями уполномоченного лица производителей и (или) поставщиков, при использовании обосновывающих документов из открытых источников - подписанные уполномоченным лицом Заказчика. Уполномоченным лицом Заказчика в данном случае выступает представитель проектной организации, отвечающий за сбор исходных данных (ГИП или иное уполномоченное лицо)</w:t>
                  </w:r>
                </w:p>
                <w:p>
                  <w:pPr>
                    <w:pStyle w:val="Normal"/>
                    <w:widowControl/>
                    <w:spacing w:lineRule="auto" w:line="276"/>
                    <w:jc w:val="both"/>
                    <w:rPr>
                      <w:sz w:val="22"/>
                    </w:rPr>
                  </w:pPr>
                  <w:r>
                    <w:rPr>
                      <w:sz w:val="22"/>
                    </w:rPr>
                    <w:t xml:space="preserve">2.3.5 Конъюнктурный анализ (далее – КА) проводится по данным производителей (поставщиков) соответствующего субъекта Российской Федерации (части территории субъекта Российской Федерации), на территории которого осуществляется строительство. Для субъектов Российской Федерации (частей территорий субъектов Российской Федерации), на рынке которых не представлены необходимые материальные ресурсы и оборудование, допускается проведение КА по данным производителей (поставщиков), расположенных в других субъектах Российской Федерации (частях территории субъекта Российской Федерации), с учетом стоимости доставки до объекта строительства, рассчитанной в соответствии со сметными нормативами, сведения о которых включены в ФРСН, или согласно положениям п. 91 Методики №421 пр. </w:t>
                  </w:r>
                </w:p>
                <w:p>
                  <w:pPr>
                    <w:pStyle w:val="Normal"/>
                    <w:widowControl/>
                    <w:spacing w:lineRule="auto" w:line="276"/>
                    <w:jc w:val="both"/>
                    <w:rPr>
                      <w:sz w:val="22"/>
                    </w:rPr>
                  </w:pPr>
                  <w:r>
                    <w:rPr>
                      <w:sz w:val="22"/>
                    </w:rPr>
                    <w:t>КА выполнить в соответствии с требованиями, указанными в методике №421 пр.</w:t>
                  </w:r>
                </w:p>
                <w:p>
                  <w:pPr>
                    <w:pStyle w:val="Normal"/>
                    <w:widowControl/>
                    <w:spacing w:lineRule="auto" w:line="276"/>
                    <w:jc w:val="both"/>
                    <w:rPr>
                      <w:sz w:val="22"/>
                    </w:rPr>
                  </w:pPr>
                  <w:r>
                    <w:rPr>
                      <w:sz w:val="22"/>
                    </w:rPr>
                    <w:t>2.3.6.Транспортные затраты рассчитываются согласно расстоянию утвержденного в ведомости завоза материалов и в соответствии с п.63 Методики №421 пр.</w:t>
                  </w:r>
                </w:p>
                <w:p>
                  <w:pPr>
                    <w:pStyle w:val="Normal"/>
                    <w:widowControl/>
                    <w:spacing w:lineRule="auto" w:line="276"/>
                    <w:jc w:val="both"/>
                    <w:rPr>
                      <w:sz w:val="22"/>
                    </w:rPr>
                  </w:pPr>
                  <w:r>
                    <w:rPr>
                      <w:sz w:val="22"/>
                    </w:rPr>
                    <w:t>2.3.7 КА необходимо согласовать с Заказчиком на момент расчета сметной документации.</w:t>
                  </w:r>
                </w:p>
                <w:p>
                  <w:pPr>
                    <w:pStyle w:val="Normal"/>
                    <w:widowControl/>
                    <w:jc w:val="both"/>
                    <w:rPr>
                      <w:sz w:val="22"/>
                    </w:rPr>
                  </w:pPr>
                  <w:r>
                    <w:rPr>
                      <w:sz w:val="22"/>
                    </w:rPr>
                    <w:t xml:space="preserve">2.3.8 В КА цены материальных ресурсов и оборудования в текущем уровне цен приводятся к уровню цен составления сметной документации обратным счетом путем их деления на индекс фактической инфляции.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Накладные расходы в текущей цене</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Определять в соответствии с методикой по разработке и применению нормативов накладных расходов при определении сметной стоимости строительства, реконструкции, капитального ремонта, сноса объектов капитального строительства (Утвержденной приказом министерства строительства и жилищно-коммунального хозяйства российской федерации от 21 декабря 2020 г. № 812/пр. в ред.пр.№636/пр и №611/пр).</w:t>
                  </w:r>
                </w:p>
                <w:p>
                  <w:pPr>
                    <w:pStyle w:val="Normal"/>
                    <w:widowControl/>
                    <w:spacing w:lineRule="auto" w:line="276"/>
                    <w:jc w:val="both"/>
                    <w:rPr>
                      <w:sz w:val="22"/>
                    </w:rPr>
                  </w:pPr>
                  <w:r>
                    <w:rPr>
                      <w:sz w:val="22"/>
                    </w:rPr>
                    <w:t>Расчет по каждой строке работ в локальных сметных расчетах.</w:t>
                  </w:r>
                </w:p>
              </w:tc>
            </w:tr>
            <w:tr>
              <w:trPr>
                <w:trHeight w:val="267" w:hRule="atLeast"/>
              </w:trPr>
              <w:tc>
                <w:tcPr>
                  <w:tcW w:w="707" w:type="dxa"/>
                  <w:tcBorders>
                    <w:start w:val="single" w:sz="4" w:space="0" w:color="000000"/>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2.5</w:t>
                  </w:r>
                </w:p>
              </w:tc>
              <w:tc>
                <w:tcPr>
                  <w:tcW w:w="2977" w:type="dxa"/>
                  <w:tcBorders>
                    <w:bottom w:val="single" w:sz="4" w:space="0" w:color="000000"/>
                    <w:end w:val="single" w:sz="4" w:space="0" w:color="000000"/>
                  </w:tcBorders>
                  <w:vAlign w:val="center"/>
                </w:tcPr>
                <w:p>
                  <w:pPr>
                    <w:pStyle w:val="Normal"/>
                    <w:widowControl/>
                    <w:spacing w:lineRule="auto" w:line="276" w:before="48" w:after="48"/>
                    <w:jc w:val="both"/>
                    <w:rPr>
                      <w:sz w:val="22"/>
                    </w:rPr>
                  </w:pPr>
                  <w:r>
                    <w:rPr>
                      <w:sz w:val="22"/>
                    </w:rPr>
                    <w:t xml:space="preserve">Сметная прибыль в текущей цене </w:t>
                  </w:r>
                </w:p>
              </w:tc>
              <w:tc>
                <w:tcPr>
                  <w:tcW w:w="6664" w:type="dxa"/>
                  <w:tcBorders>
                    <w:bottom w:val="single" w:sz="4" w:space="0" w:color="000000"/>
                    <w:end w:val="single" w:sz="4" w:space="0" w:color="000000"/>
                  </w:tcBorders>
                  <w:vAlign w:val="center"/>
                </w:tcPr>
                <w:p>
                  <w:pPr>
                    <w:pStyle w:val="Normal"/>
                    <w:widowControl/>
                    <w:spacing w:lineRule="auto" w:line="276"/>
                    <w:jc w:val="both"/>
                    <w:rPr>
                      <w:sz w:val="22"/>
                    </w:rPr>
                  </w:pPr>
                  <w:r>
                    <w:rPr>
                      <w:sz w:val="22"/>
                    </w:rPr>
                    <w:t>Определять в соответствии с Методикой по разработке и применению нормативов сметной прибыли при определении сметной стоимости строительства, реконструкции, капитального ремонта, сноса объектов капитального строительства (Приказ Минстроя России № 774/пр.от 11.12.2020г. в ред.пр.№317/пр)</w:t>
                  </w:r>
                </w:p>
                <w:p>
                  <w:pPr>
                    <w:pStyle w:val="Normal"/>
                    <w:widowControl/>
                    <w:spacing w:lineRule="auto" w:line="276"/>
                    <w:jc w:val="both"/>
                    <w:rPr>
                      <w:sz w:val="22"/>
                    </w:rPr>
                  </w:pPr>
                  <w:r>
                    <w:rPr>
                      <w:sz w:val="22"/>
                    </w:rPr>
                    <w:t>Расчет по каждой строке работ в локальных сметных расчетах.</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временные здания и сооружения</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В соответствии с Методикой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 № 332/пр).</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Прочие затраты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Подготовка территории реконструкции</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по разбивке основных осей сооружения, переносу их в натуру и их закрепление.</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Расчет</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создание каркасной сети и пунктов геодезической разбивочной основы (ГРО)</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Расчет, согласно ГОСТ 59865-2022</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Плата за землю при изъятии земельного участка, земельный налог при аренде земли на время капитального ремонта</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Определяется на основании расчетов выполненных в соответствии с действующим законодательством, с уточнением по заключенным договорам (при необходимости)</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компенсацией за сносимые строения и садово-огородные насаждения, посев, вспашку и другие сельхоз работы, произведенные на отчуждаемой территории, возмещением убытков и потерь по переносу зданий и сооружений (или строительству новых)</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Определяются расчетом исходя из их необходимости и действующих тарифов</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2.7.1.5</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компенсацией за снос зеленых насаждений, попадающих в зону капитального ремонта</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затраты по лесовосстановительным мероприятиям (при необходимости).</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xml:space="preserve">Затраты по отводу земельного участка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Учитывать в стоимости ПИР.</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2.7.1.7</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Переустройство коммуникаций</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на переустройство коммуникаций учесть расчетом или в соответствии с договором компенсации затрат собственников коммуникаций (при необходимости).</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Прочие работы и затраты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Дополнительные затраты при производстве работ в зимнее время</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при необходимости на основании ПОС.</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по перевозке автомобильным транспортом работников строительных организаций.</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определяются расчетом исходя из трудоемкости и на основе ПОС.</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приемкой мусора</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по установленным тарифам, действующим в районе производства работ, представить расчет. При отсутствии установленных тарифов данные затраты учесть на основании КА.</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Разница в стоимости электроэнергии, получаемой от передвижных электростанций, по сравнению со стоимостью электроэнергии, отпускаемой энергосистемой России</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расчетом на основании ПОС (при необходимости) согласно приказа Минстроя России от 04.08.2020 N 421/пр</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2.7.2.5</w:t>
                  </w:r>
                </w:p>
              </w:tc>
              <w:tc>
                <w:tcPr>
                  <w:tcW w:w="2977" w:type="dxa"/>
                  <w:tcBorders>
                    <w:top w:val="single" w:sz="4" w:space="0" w:color="000000"/>
                    <w:bottom w:val="single" w:sz="4" w:space="0" w:color="000000"/>
                    <w:end w:val="single" w:sz="4" w:space="0" w:color="000000"/>
                  </w:tcBorders>
                  <w:vAlign w:val="center"/>
                </w:tcPr>
                <w:p>
                  <w:pPr>
                    <w:pStyle w:val="Normal"/>
                    <w:widowControl/>
                    <w:jc w:val="both"/>
                    <w:rPr>
                      <w:sz w:val="22"/>
                    </w:rPr>
                  </w:pPr>
                  <w:r>
                    <w:rPr>
                      <w:sz w:val="22"/>
                    </w:rPr>
                    <w:t>Банковская гарантия в качестве обеспечения исполнения Договора и гарантийные обязательства</w:t>
                  </w:r>
                </w:p>
                <w:p>
                  <w:pPr>
                    <w:pStyle w:val="Normal"/>
                    <w:widowControl/>
                    <w:spacing w:lineRule="auto" w:line="276"/>
                    <w:jc w:val="both"/>
                    <w:rPr>
                      <w:b/>
                      <w:sz w:val="22"/>
                    </w:rPr>
                  </w:pPr>
                  <w:r>
                    <w:rPr>
                      <w:b/>
                      <w:sz w:val="22"/>
                    </w:rPr>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в соответствиип.161 и п.2.17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2.7.2.6</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sz w:val="22"/>
                    </w:rPr>
                    <w:t>Страхование объекта</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в соответствии п.159 и п.2.20 Приложения №9 Методики определения сметной стоимости строительства, реконструкции, капитального ремонта, сноса объектов капитального строительства, работ по сохранению объектов культурного наследия (памятников истории и культуры) народов Российской Федерации на территории Российской Федерации, утвержденной приказом Министерства строительства и жилищно-коммунального хозяйства Российской Федерации от 4 августа 2020 г. N 421/пр.</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Содержание дирекции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2.7.3.1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Содержание службы Заказчика-застройщика (строительный контроль) реконструкции</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(Постановление Правительства РФ от 21 июня 2010 г. № 468. Приложение к протоколу заседания президиума (штаба) Правительственной комиссии по региональному развитию в РФ)</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Проектные и изыскательские работы, авторский надзор</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Проектные работы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 основе заключенных договоров</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Изыскательские работы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 основе заключенных договоров</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Экспертиза проектной документации, результатов инженерных изысканий и проверки достоверности определения сметной стоимости</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 затраты определяются в соответствии с постановлением правительства РФ №145 от 05.03.2007г.</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2.7.4.4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Авторский надзор</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Учесть</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2.8</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Резерв средств на непредвиденные работы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2.9</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Возвратные суммы</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2.9.1. Возвратные суммы определить отдельным расчетом (на каждый вид возвратного материала отдельно) при наличии материалов от разборки, пригодных к реализации, дальнейшему использованию, а также при отсутствии возможности использования на данном объекте.</w:t>
                  </w:r>
                </w:p>
                <w:p>
                  <w:pPr>
                    <w:pStyle w:val="Normal"/>
                    <w:widowControl/>
                    <w:spacing w:lineRule="auto" w:line="276"/>
                    <w:jc w:val="both"/>
                    <w:rPr>
                      <w:sz w:val="22"/>
                    </w:rPr>
                  </w:pPr>
                  <w:r>
                    <w:rPr>
                      <w:sz w:val="22"/>
                    </w:rPr>
                    <w:t xml:space="preserve">2.9.2. В расчете возвратных сумм в целом по объекту указать объемы в соответствии со сводной ведомостью объемов работ и стоимость возможной реализации конкретного материала. </w:t>
                  </w:r>
                </w:p>
                <w:p>
                  <w:pPr>
                    <w:pStyle w:val="Normal"/>
                    <w:widowControl/>
                    <w:spacing w:lineRule="auto" w:line="276"/>
                    <w:jc w:val="both"/>
                    <w:rPr>
                      <w:sz w:val="22"/>
                    </w:rPr>
                  </w:pPr>
                  <w:r>
                    <w:rPr>
                      <w:sz w:val="22"/>
                    </w:rPr>
                    <w:t>2.9.3 Размер возвратных сумм отражать в сводном сметном расчете стоимости строительства (далее – ССРСС)</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ind w:start="-64" w:end="-108"/>
                    <w:jc w:val="both"/>
                    <w:rPr>
                      <w:sz w:val="22"/>
                    </w:rPr>
                  </w:pPr>
                  <w:r>
                    <w:rPr>
                      <w:sz w:val="22"/>
                    </w:rPr>
                    <w:t>2.10</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Затраты, связанные с уплатой налога на добавленную стоимость (НДС)</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Принимаются в соответствии с действующим законодательством Российской Федерации</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Дополнительная информация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3.1</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Среднее расстояние и способы транспортировки материалов</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Разработать в ПОС и согласовать с Заказчиком перед составлением сметной документации Сводную ведомость об источниках получения, расстояниях и способах доставки материалов составить согласно приказа Минстроя России от 04.08.2020 N 421/пр (п. 63.1.)</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3.2</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 xml:space="preserve">Расчет укрупненных единичных расценок.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3.2.1. Составить ведомость конструктивных решений (в соответствии с приказом № 841 Минстроя РФ, раздел VI.)</w:t>
                  </w:r>
                </w:p>
                <w:p>
                  <w:pPr>
                    <w:pStyle w:val="Normal"/>
                    <w:widowControl/>
                    <w:spacing w:lineRule="auto" w:line="276"/>
                    <w:jc w:val="both"/>
                    <w:rPr>
                      <w:sz w:val="22"/>
                    </w:rPr>
                  </w:pPr>
                  <w:r>
                    <w:rPr>
                      <w:sz w:val="22"/>
                    </w:rPr>
                    <w:t>3.2.2. Составить укрупненные единичные расценки в соответствие с приказом Минстроя РФ № 841</w:t>
                  </w:r>
                </w:p>
                <w:p>
                  <w:pPr>
                    <w:pStyle w:val="Normal"/>
                    <w:widowControl/>
                    <w:spacing w:lineRule="auto" w:line="276"/>
                    <w:jc w:val="both"/>
                    <w:rPr>
                      <w:sz w:val="22"/>
                    </w:rPr>
                  </w:pPr>
                  <w:r>
                    <w:rPr>
                      <w:sz w:val="22"/>
                    </w:rPr>
                    <w:t>3.2.3. Форму укрупненных единичных расценок принять в соответствие с приложением № 6 к приказу Минстроя РФ № 841 (без учёта фактической и прогнозной инфляции)</w:t>
                  </w:r>
                </w:p>
                <w:p>
                  <w:pPr>
                    <w:pStyle w:val="Normal"/>
                    <w:widowControl/>
                    <w:spacing w:lineRule="auto" w:line="276"/>
                    <w:jc w:val="both"/>
                    <w:rPr>
                      <w:sz w:val="22"/>
                    </w:rPr>
                  </w:pPr>
                  <w:r>
                    <w:rPr>
                      <w:sz w:val="22"/>
                    </w:rPr>
                    <w:t xml:space="preserve">3.2.4. Локальные сметные расчёты разбить на укрупнённые единичные расценки (конструктивные элементы). Нумерация должна соответствовать утвержденным сметам, прошедшим государственную экспертизу. </w:t>
                  </w:r>
                </w:p>
                <w:p>
                  <w:pPr>
                    <w:pStyle w:val="Normal"/>
                    <w:widowControl/>
                    <w:spacing w:lineRule="auto" w:line="276"/>
                    <w:jc w:val="both"/>
                    <w:rPr>
                      <w:sz w:val="22"/>
                    </w:rPr>
                  </w:pPr>
                  <w:r>
                    <w:rPr>
                      <w:sz w:val="22"/>
                    </w:rPr>
                    <w:t>3.2.5. Итоговая стоимость по сметному расчёту и прочим затратам в укрупненных единичных расценках должна соответствовать стоимости затрат до копеек, прошедших государственную экспертизу.</w:t>
                  </w:r>
                </w:p>
                <w:p>
                  <w:pPr>
                    <w:pStyle w:val="Normal"/>
                    <w:widowControl/>
                    <w:spacing w:lineRule="auto" w:line="276"/>
                    <w:jc w:val="both"/>
                    <w:rPr>
                      <w:sz w:val="22"/>
                    </w:rPr>
                  </w:pPr>
                  <w:r>
                    <w:rPr>
                      <w:sz w:val="22"/>
                    </w:rPr>
                    <w:t>3.2.6.  В составе цены конструктивных решений (элементов), комплексов (видов) работ учитываются прямые затраты (затраты на оплату труда рабочих-строителей, затраты на приобретение материалов, изделий и конструкций, затраты на эксплуатацию машин и механизмов), накладные расходы, сметная прибыль, затраты на строительство временных зданий и сооружений, затраты, связанные с удорожанием работ в зимнее время.</w:t>
                  </w:r>
                </w:p>
                <w:p>
                  <w:pPr>
                    <w:pStyle w:val="Normal"/>
                    <w:widowControl/>
                    <w:spacing w:lineRule="auto" w:line="276"/>
                    <w:jc w:val="both"/>
                    <w:rPr>
                      <w:sz w:val="22"/>
                    </w:rPr>
                  </w:pPr>
                  <w:r>
                    <w:rPr>
                      <w:sz w:val="22"/>
                    </w:rPr>
                    <w:t>3.2.7. Непредвиденные работы и затраты выделяются отдельной строкой в укрупненных единичных расценках.</w:t>
                  </w:r>
                </w:p>
                <w:p>
                  <w:pPr>
                    <w:pStyle w:val="Normal"/>
                    <w:widowControl/>
                    <w:spacing w:lineRule="auto" w:line="276"/>
                    <w:jc w:val="both"/>
                    <w:rPr>
                      <w:sz w:val="22"/>
                    </w:rPr>
                  </w:pPr>
                  <w:r>
                    <w:rPr>
                      <w:sz w:val="22"/>
                    </w:rPr>
                    <w:t>3.2.8. Прочие работы и затраты определяются в соответствие с п.38 приказа Минстроя РФ № 841.</w:t>
                  </w:r>
                </w:p>
                <w:p>
                  <w:pPr>
                    <w:pStyle w:val="Normal"/>
                    <w:widowControl/>
                    <w:spacing w:lineRule="auto" w:line="276"/>
                    <w:jc w:val="both"/>
                    <w:rPr>
                      <w:sz w:val="22"/>
                    </w:rPr>
                  </w:pPr>
                  <w:r>
                    <w:rPr>
                      <w:sz w:val="22"/>
                    </w:rPr>
                    <w:t>3.2.9. Затраты на временные здания и сооружения, составленные локальными сметными расчётами, выделяются отдельно в смете Договора.</w:t>
                  </w:r>
                </w:p>
                <w:p>
                  <w:pPr>
                    <w:pStyle w:val="Normal"/>
                    <w:widowControl/>
                    <w:spacing w:lineRule="auto" w:line="276"/>
                    <w:jc w:val="both"/>
                    <w:rPr>
                      <w:sz w:val="22"/>
                    </w:rPr>
                  </w:pPr>
                  <w:r>
                    <w:rPr>
                      <w:sz w:val="22"/>
                    </w:rPr>
                    <w:t>3.2.10. Оборудование выделяется отдельной строкой в укрупненных единичных расценках.</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b/>
                      <w:sz w:val="22"/>
                    </w:rPr>
                  </w:pPr>
                  <w:r>
                    <w:rPr>
                      <w:b/>
                      <w:sz w:val="22"/>
                    </w:rPr>
                    <w:t xml:space="preserve">Оформление расчетов </w:t>
                  </w:r>
                </w:p>
              </w:tc>
              <w:tc>
                <w:tcPr>
                  <w:tcW w:w="6664"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3.3</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Наличие документации в томе «Сметы»</w:t>
                  </w:r>
                </w:p>
              </w:tc>
              <w:tc>
                <w:tcPr>
                  <w:tcW w:w="6664" w:type="dxa"/>
                  <w:tcBorders>
                    <w:top w:val="single" w:sz="4" w:space="0" w:color="000000"/>
                    <w:bottom w:val="single" w:sz="4" w:space="0" w:color="000000"/>
                    <w:end w:val="single" w:sz="4" w:space="0" w:color="000000"/>
                  </w:tcBorders>
                  <w:vAlign w:val="center"/>
                </w:tcPr>
                <w:p>
                  <w:pPr>
                    <w:pStyle w:val="Normal"/>
                    <w:widowControl/>
                    <w:numPr>
                      <w:ilvl w:val="2"/>
                      <w:numId w:val="15"/>
                    </w:numPr>
                    <w:tabs>
                      <w:tab w:val="clear" w:pos="708"/>
                      <w:tab w:val="left" w:pos="252" w:leader="none"/>
                      <w:tab w:val="left" w:pos="580" w:leader="none"/>
                    </w:tabs>
                    <w:spacing w:lineRule="auto" w:line="276" w:before="0" w:after="0"/>
                    <w:ind w:start="13"/>
                    <w:contextualSpacing/>
                    <w:jc w:val="both"/>
                    <w:rPr>
                      <w:sz w:val="22"/>
                    </w:rPr>
                  </w:pPr>
                  <w:r>
                    <w:rPr>
                      <w:sz w:val="22"/>
                    </w:rPr>
                    <w:t>Пояснительная записка (указать применяемую СНБ и дату редакции, уровень цен, применяемые нормативы, размеры лимитов на непредвиденные работы и затраты, на авторский надзор и т.д., коэффициенты к НР и СП, а также технико-экономические показатели, в том числе на измеритель).</w:t>
                  </w:r>
                </w:p>
                <w:p>
                  <w:pPr>
                    <w:pStyle w:val="Normal"/>
                    <w:widowControl/>
                    <w:numPr>
                      <w:ilvl w:val="2"/>
                      <w:numId w:val="15"/>
                    </w:numPr>
                    <w:tabs>
                      <w:tab w:val="clear" w:pos="708"/>
                      <w:tab w:val="left" w:pos="252" w:leader="none"/>
                      <w:tab w:val="left" w:pos="580" w:leader="none"/>
                    </w:tabs>
                    <w:spacing w:lineRule="auto" w:line="276" w:before="0" w:after="0"/>
                    <w:ind w:firstLine="2" w:start="13"/>
                    <w:contextualSpacing/>
                    <w:jc w:val="both"/>
                    <w:rPr>
                      <w:sz w:val="22"/>
                    </w:rPr>
                  </w:pPr>
                  <w:r>
                    <w:rPr>
                      <w:sz w:val="22"/>
                    </w:rPr>
                    <w:t>ССРСС в текущем уровне цен заверяется подписью и печатью проектировщика и Заказчика. Выполнить отдельный ССРСС на каждый этап и сводку затрат на весь объект;</w:t>
                  </w:r>
                </w:p>
                <w:p>
                  <w:pPr>
                    <w:pStyle w:val="Normal"/>
                    <w:widowControl/>
                    <w:numPr>
                      <w:ilvl w:val="2"/>
                      <w:numId w:val="15"/>
                    </w:numPr>
                    <w:tabs>
                      <w:tab w:val="clear" w:pos="708"/>
                      <w:tab w:val="left" w:pos="252" w:leader="none"/>
                      <w:tab w:val="left" w:pos="580" w:leader="none"/>
                    </w:tabs>
                    <w:spacing w:lineRule="auto" w:line="276" w:before="0" w:after="0"/>
                    <w:ind w:hanging="1" w:start="10"/>
                    <w:contextualSpacing/>
                    <w:jc w:val="both"/>
                    <w:rPr>
                      <w:sz w:val="22"/>
                    </w:rPr>
                  </w:pPr>
                  <w:r>
                    <w:rPr>
                      <w:sz w:val="22"/>
                    </w:rPr>
                    <w:t>Расчет возвратных выполнить на каждый с указанием объемов и стоимости возможной реализации, подписанный составителем;</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Локальные сметные расчеты, подписанные составителем.</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Ресурсные ведомости, подписанные составителем (по каждой локальной смете и общая на весь объект), в т.ч. в программе Гранд-смета, использованной для составления смет.</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Согласованная Заказчиком Сводная ведомость об источниках получения, расстояниях и способах доставки материалов.</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Мониторинг цен (конъюнктурный анализ) подписанный составителем и Заказчиком. Транспортные калькуляции, подписанные составителем.</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Расчеты на прочие работы и затраты, подписанные составителем.</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 xml:space="preserve">Обосновывающие документы (копии сводной смета на ПИР, договор на ГЭ, проверку достоверности, расчеты, прайс - листы, коммерческие предложения, тарифы, снимки экрана ("скриншот"), содержащие изображения соответствующих страниц сайтов с указанием даты и времени их формирования. </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Том «Сметная документация» предоставляется Заказчику с оригиналами подписей и печатей (синими).</w:t>
                  </w:r>
                </w:p>
                <w:p>
                  <w:pPr>
                    <w:pStyle w:val="Normal"/>
                    <w:widowControl/>
                    <w:numPr>
                      <w:ilvl w:val="2"/>
                      <w:numId w:val="15"/>
                    </w:numPr>
                    <w:tabs>
                      <w:tab w:val="clear" w:pos="708"/>
                      <w:tab w:val="left" w:pos="252" w:leader="none"/>
                      <w:tab w:val="left" w:pos="580" w:leader="none"/>
                    </w:tabs>
                    <w:spacing w:lineRule="auto" w:line="276"/>
                    <w:jc w:val="both"/>
                    <w:rPr>
                      <w:sz w:val="22"/>
                    </w:rPr>
                  </w:pPr>
                  <w:r>
                    <w:rPr>
                      <w:sz w:val="22"/>
                    </w:rPr>
                    <w:t>Каждый расчет должен быть подписан составителем.</w:t>
                  </w:r>
                </w:p>
              </w:tc>
            </w:tr>
            <w:tr>
              <w:trPr>
                <w:trHeight w:val="556" w:hRule="atLeast"/>
              </w:trPr>
              <w:tc>
                <w:tcPr>
                  <w:tcW w:w="70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3.4</w:t>
                  </w:r>
                </w:p>
              </w:tc>
              <w:tc>
                <w:tcPr>
                  <w:tcW w:w="2977" w:type="dxa"/>
                  <w:tcBorders>
                    <w:top w:val="single" w:sz="4" w:space="0" w:color="000000"/>
                    <w:bottom w:val="single" w:sz="4" w:space="0" w:color="000000"/>
                    <w:end w:val="single" w:sz="4" w:space="0" w:color="000000"/>
                  </w:tcBorders>
                  <w:vAlign w:val="center"/>
                </w:tcPr>
                <w:p>
                  <w:pPr>
                    <w:pStyle w:val="Normal"/>
                    <w:widowControl/>
                    <w:spacing w:lineRule="auto" w:line="276"/>
                    <w:jc w:val="both"/>
                    <w:rPr>
                      <w:sz w:val="22"/>
                    </w:rPr>
                  </w:pPr>
                  <w:r>
                    <w:rPr>
                      <w:sz w:val="22"/>
                    </w:rPr>
                    <w:t>Наличие сметной документации на электронном носителе</w:t>
                  </w:r>
                </w:p>
              </w:tc>
              <w:tc>
                <w:tcPr>
                  <w:tcW w:w="6664" w:type="dxa"/>
                  <w:tcBorders>
                    <w:top w:val="single" w:sz="4" w:space="0" w:color="000000"/>
                    <w:bottom w:val="single" w:sz="4" w:space="0" w:color="000000"/>
                    <w:end w:val="single" w:sz="4" w:space="0" w:color="000000"/>
                  </w:tcBorders>
                  <w:vAlign w:val="center"/>
                </w:tcPr>
                <w:p>
                  <w:pPr>
                    <w:pStyle w:val="Normal"/>
                    <w:widowControl/>
                    <w:jc w:val="both"/>
                    <w:rPr>
                      <w:sz w:val="22"/>
                    </w:rPr>
                  </w:pPr>
                  <w:r>
                    <w:rPr>
                      <w:sz w:val="22"/>
                    </w:rPr>
                    <w:t>3.4.1 Локальные сметные расчет и ресурсные ведомости (в т.ч. общая на весь объект) в исходном формате *gsf и в промежуточном *xml, Excel;</w:t>
                  </w:r>
                </w:p>
                <w:p>
                  <w:pPr>
                    <w:pStyle w:val="Normal"/>
                    <w:widowControl/>
                    <w:jc w:val="both"/>
                    <w:rPr>
                      <w:sz w:val="22"/>
                    </w:rPr>
                  </w:pPr>
                  <w:r>
                    <w:rPr>
                      <w:sz w:val="22"/>
                    </w:rPr>
                    <w:t>3.4.2 Локальные сметные расчеты, разбитые на укрупненные единичные расценки в исходном формате *gsf и в промежуточном *xml.</w:t>
                  </w:r>
                </w:p>
                <w:p>
                  <w:pPr>
                    <w:pStyle w:val="Normal"/>
                    <w:widowControl/>
                    <w:jc w:val="both"/>
                    <w:rPr>
                      <w:sz w:val="22"/>
                    </w:rPr>
                  </w:pPr>
                  <w:r>
                    <w:rPr>
                      <w:sz w:val="22"/>
                    </w:rPr>
                    <w:t>3.4.3 Расчеты на прочие работы и затраты, учтенные в ССРСС;</w:t>
                  </w:r>
                </w:p>
                <w:p>
                  <w:pPr>
                    <w:pStyle w:val="Normal"/>
                    <w:widowControl/>
                    <w:jc w:val="both"/>
                    <w:rPr>
                      <w:sz w:val="22"/>
                    </w:rPr>
                  </w:pPr>
                  <w:r>
                    <w:rPr>
                      <w:sz w:val="22"/>
                    </w:rPr>
                    <w:t>3.4.4 Мониторинг цен (конъюнктурный анализ) в исходном формате *gsf и в промежуточном *xml, Excel и подписанный составителем и Заказчиком. Транспортные калькуляции, подписанные составителем, документы, обосновывающие стоимости материалов (прайс-листы, коммерческие предложения и т.д.);</w:t>
                  </w:r>
                </w:p>
                <w:p>
                  <w:pPr>
                    <w:pStyle w:val="Normal"/>
                    <w:widowControl/>
                    <w:jc w:val="both"/>
                    <w:rPr>
                      <w:sz w:val="22"/>
                    </w:rPr>
                  </w:pPr>
                  <w:r>
                    <w:rPr>
                      <w:sz w:val="22"/>
                    </w:rPr>
                    <w:t xml:space="preserve">3.4.5 ССРСС стоимости строительства текущем уровне цен в исходном формате *gsf и в промежуточном *xml, Excel </w:t>
                  </w:r>
                  <w:r>
                    <w:rPr>
                      <w:b/>
                      <w:sz w:val="22"/>
                    </w:rPr>
                    <w:t>(утвержденный ССРСС завязать на формулы);</w:t>
                  </w:r>
                </w:p>
                <w:p>
                  <w:pPr>
                    <w:pStyle w:val="Normal"/>
                    <w:widowControl/>
                    <w:jc w:val="both"/>
                    <w:rPr>
                      <w:sz w:val="22"/>
                    </w:rPr>
                  </w:pPr>
                  <w:r>
                    <w:rPr>
                      <w:sz w:val="22"/>
                    </w:rPr>
                    <w:t>3.4.6 Сводная ведомость объемов работ (формируется в составе ТКР) в исходном формате;</w:t>
                  </w:r>
                </w:p>
                <w:p>
                  <w:pPr>
                    <w:pStyle w:val="Normal"/>
                    <w:widowControl/>
                    <w:jc w:val="both"/>
                    <w:rPr>
                      <w:b/>
                      <w:sz w:val="22"/>
                    </w:rPr>
                  </w:pPr>
                  <w:r>
                    <w:rPr>
                      <w:sz w:val="22"/>
                    </w:rPr>
                    <w:t>3.4.7 Локальные сметные расчеты, разбитые на укрупненные единичные расценки в исходном формате *gsf.</w:t>
                  </w:r>
                </w:p>
                <w:p>
                  <w:pPr>
                    <w:pStyle w:val="Normal"/>
                    <w:widowControl/>
                    <w:jc w:val="both"/>
                    <w:rPr>
                      <w:sz w:val="22"/>
                    </w:rPr>
                  </w:pPr>
                  <w:r>
                    <w:rPr>
                      <w:sz w:val="22"/>
                    </w:rPr>
                    <w:t>3.4.8 Укрупненные единичные расценки (Смета Договора) в исходном формате Excel;</w:t>
                  </w:r>
                </w:p>
                <w:p>
                  <w:pPr>
                    <w:pStyle w:val="Normal"/>
                    <w:widowControl/>
                    <w:jc w:val="both"/>
                    <w:rPr>
                      <w:sz w:val="22"/>
                    </w:rPr>
                  </w:pPr>
                  <w:r>
                    <w:rPr>
                      <w:sz w:val="22"/>
                    </w:rPr>
                    <w:t xml:space="preserve">3.4.9 Каждый том предоставляется в формате PDF отдельным файлом в комплектации бумажной версии; </w:t>
                  </w:r>
                </w:p>
                <w:p>
                  <w:pPr>
                    <w:pStyle w:val="Normal"/>
                    <w:widowControl/>
                    <w:jc w:val="both"/>
                    <w:rPr>
                      <w:sz w:val="22"/>
                    </w:rPr>
                  </w:pPr>
                  <w:r>
                    <w:rPr>
                      <w:sz w:val="22"/>
                    </w:rPr>
                    <w:t xml:space="preserve">3.4.10 Оформление документации в соответствии с </w:t>
                  </w:r>
                  <w:r>
                    <w:rPr>
                      <w:b/>
                      <w:sz w:val="22"/>
                    </w:rPr>
                    <w:t>ГОСТ Р 21.101-2020</w:t>
                  </w:r>
                  <w:r>
                    <w:rPr>
                      <w:sz w:val="22"/>
                    </w:rPr>
                    <w:t>.</w:t>
                  </w:r>
                </w:p>
                <w:p>
                  <w:pPr>
                    <w:pStyle w:val="Normal"/>
                    <w:widowControl/>
                    <w:spacing w:lineRule="auto" w:line="276"/>
                    <w:jc w:val="both"/>
                    <w:rPr>
                      <w:sz w:val="22"/>
                    </w:rPr>
                  </w:pPr>
                  <w:r>
                    <w:rPr>
                      <w:sz w:val="22"/>
                    </w:rPr>
                    <w:t>3.4.11 Наличие проектной документации в полном объеме (техническая и сметная часть).</w:t>
                  </w:r>
                </w:p>
              </w:tc>
            </w:tr>
          </w:tbl>
          <w:p>
            <w:pPr>
              <w:pStyle w:val="Normal"/>
              <w:widowControl/>
              <w:jc w:val="center"/>
              <w:rPr>
                <w:b/>
                <w:i/>
                <w:i/>
                <w:sz w:val="22"/>
              </w:rPr>
            </w:pPr>
            <w:r>
              <w:rPr>
                <w:b/>
                <w:i/>
                <w:sz w:val="22"/>
              </w:rPr>
            </w:r>
          </w:p>
        </w:tc>
      </w:tr>
    </w:tbl>
    <w:tbl>
      <w:tblPr>
        <w:tblpPr w:vertAnchor="text" w:horzAnchor="margin" w:leftFromText="180" w:rightFromText="180" w:tblpX="0" w:tblpY="219"/>
        <w:tblW w:w="9924"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9924"/>
      </w:tblGrid>
      <w:tr>
        <w:trPr>
          <w:trHeight w:val="289"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t>В случае, если в техническом задании и приложениях к нему, приложениях к Договору указаны ссылки на документы – основания (технический регламент, ГОСТ и другие) (далее – документы) и при исполнении Договора указанные документы:</w:t>
            </w:r>
          </w:p>
          <w:p>
            <w:pPr>
              <w:pStyle w:val="112"/>
              <w:spacing w:lineRule="exact" w:line="300"/>
              <w:rPr>
                <w:rFonts w:ascii="Times New Roman" w:hAnsi="Times New Roman"/>
                <w:sz w:val="24"/>
              </w:rPr>
            </w:pPr>
            <w:r>
              <w:rPr>
                <w:rFonts w:ascii="Times New Roman" w:hAnsi="Times New Roman"/>
                <w:sz w:val="24"/>
              </w:rPr>
              <w:t>- заменены (изменены), то применяются заменяющие (измененные) документы;</w:t>
            </w:r>
          </w:p>
          <w:p>
            <w:pPr>
              <w:pStyle w:val="112"/>
              <w:spacing w:lineRule="exact" w:line="300"/>
              <w:rPr>
                <w:rFonts w:ascii="Times New Roman" w:hAnsi="Times New Roman"/>
                <w:sz w:val="24"/>
              </w:rPr>
            </w:pPr>
            <w:r>
              <w:rPr>
                <w:rFonts w:ascii="Times New Roman" w:hAnsi="Times New Roman"/>
                <w:sz w:val="24"/>
              </w:rPr>
              <w:t>- отменены без замены, то применяются положения в части, не затрагивающей эту отмену.</w:t>
            </w:r>
          </w:p>
        </w:tc>
      </w:tr>
      <w:tr>
        <w:trPr>
          <w:trHeight w:val="320" w:hRule="atLeast"/>
        </w:trPr>
        <w:tc>
          <w:tcPr>
            <w:tcW w:w="9924" w:type="dxa"/>
            <w:tcBorders/>
          </w:tcPr>
          <w:p>
            <w:pPr>
              <w:pStyle w:val="Normal"/>
              <w:widowControl/>
              <w:tabs>
                <w:tab w:val="clear" w:pos="708"/>
                <w:tab w:val="left" w:pos="707" w:leader="none"/>
              </w:tabs>
              <w:spacing w:lineRule="auto" w:line="266"/>
              <w:ind w:start="1" w:end="139"/>
              <w:jc w:val="both"/>
              <w:rPr>
                <w:sz w:val="24"/>
              </w:rPr>
            </w:pPr>
            <w:r>
              <w:rPr>
                <w:sz w:val="24"/>
              </w:rPr>
              <w:t>Указанные в Извещении о проведении закупки и (или) приложениях к нему товарные знаки (их словесные обозначения) читать в сочетании со словами «или эквивалент».</w:t>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Normal"/>
              <w:widowControl/>
              <w:tabs>
                <w:tab w:val="clear" w:pos="708"/>
                <w:tab w:val="left" w:pos="707" w:leader="none"/>
              </w:tabs>
              <w:spacing w:lineRule="auto" w:line="266"/>
              <w:ind w:start="1" w:end="139"/>
              <w:jc w:val="both"/>
              <w:rPr>
                <w:sz w:val="24"/>
              </w:rPr>
            </w:pPr>
            <w:r>
              <w:rPr>
                <w:sz w:val="24"/>
              </w:rPr>
            </w:r>
          </w:p>
          <w:p>
            <w:pPr>
              <w:pStyle w:val="112"/>
              <w:spacing w:lineRule="exact" w:line="300"/>
              <w:jc w:val="both"/>
              <w:rPr>
                <w:rFonts w:ascii="Times New Roman" w:hAnsi="Times New Roman"/>
                <w:sz w:val="24"/>
              </w:rPr>
            </w:pPr>
            <w:r>
              <w:rPr>
                <w:rFonts w:ascii="Times New Roman" w:hAnsi="Times New Roman"/>
                <w:sz w:val="24"/>
              </w:rPr>
            </w:r>
          </w:p>
        </w:tc>
      </w:tr>
      <w:tr>
        <w:trPr>
          <w:trHeight w:val="512"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r>
          </w:p>
        </w:tc>
      </w:tr>
      <w:tr>
        <w:trPr>
          <w:trHeight w:val="496" w:hRule="atLeast"/>
        </w:trPr>
        <w:tc>
          <w:tcPr>
            <w:tcW w:w="9924" w:type="dxa"/>
            <w:tcBorders/>
          </w:tcPr>
          <w:p>
            <w:pPr>
              <w:pStyle w:val="112"/>
              <w:spacing w:lineRule="exact" w:line="300"/>
              <w:rPr>
                <w:rFonts w:ascii="Times New Roman" w:hAnsi="Times New Roman"/>
                <w:sz w:val="24"/>
              </w:rPr>
            </w:pPr>
            <w:r>
              <w:rPr>
                <w:rFonts w:ascii="Times New Roman" w:hAnsi="Times New Roman"/>
                <w:sz w:val="24"/>
              </w:rPr>
            </w:r>
          </w:p>
        </w:tc>
      </w:tr>
    </w:tbl>
    <w:p>
      <w:pPr>
        <w:pStyle w:val="Normal"/>
        <w:widowControl/>
        <w:spacing w:lineRule="auto" w:line="276" w:before="0" w:after="200"/>
        <w:rPr>
          <w:sz w:val="26"/>
        </w:rPr>
      </w:pPr>
      <w:r>
        <w:rPr>
          <w:sz w:val="26"/>
        </w:rPr>
      </w:r>
    </w:p>
    <w:p>
      <w:pPr>
        <w:pStyle w:val="Normal"/>
        <w:widowControl/>
        <w:spacing w:lineRule="auto" w:line="276" w:before="0" w:after="200"/>
        <w:rPr>
          <w:sz w:val="26"/>
        </w:rPr>
      </w:pPr>
      <w:r>
        <w:rPr>
          <w:sz w:val="26"/>
        </w:rPr>
      </w:r>
    </w:p>
    <w:p>
      <w:pPr>
        <w:pStyle w:val="Normal"/>
        <w:widowControl/>
        <w:jc w:val="both"/>
        <w:rPr/>
      </w:pPr>
      <w:r>
        <w:rPr/>
      </w:r>
      <w:r>
        <w:br w:type="page"/>
      </w:r>
    </w:p>
    <w:p>
      <w:pPr>
        <w:pStyle w:val="Normal"/>
        <w:widowControl/>
        <w:spacing w:before="0" w:after="200"/>
        <w:contextualSpacing/>
        <w:jc w:val="end"/>
        <w:rPr>
          <w:b/>
          <w:sz w:val="24"/>
        </w:rPr>
      </w:pPr>
      <w:r>
        <w:rPr>
          <w:b/>
          <w:sz w:val="24"/>
        </w:rPr>
        <w:t>Приложение №2</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shd w:val="clear" w:color="auto" w:fill="FFFFFF" w:themeFill="background1"/>
        <w:jc w:val="end"/>
        <w:rPr>
          <w:b/>
          <w:sz w:val="24"/>
        </w:rPr>
      </w:pPr>
      <w:r>
        <w:rPr>
          <w:b/>
          <w:sz w:val="24"/>
        </w:rPr>
        <w:t xml:space="preserve">«Устройство недостающего освещения на автомобильных </w:t>
      </w:r>
    </w:p>
    <w:p>
      <w:pPr>
        <w:pStyle w:val="Normal"/>
        <w:widowControl/>
        <w:shd w:val="clear" w:color="auto" w:fill="FFFFFF" w:themeFill="background1"/>
        <w:jc w:val="end"/>
        <w:rPr>
          <w:b/>
          <w:sz w:val="24"/>
        </w:rPr>
      </w:pPr>
      <w:r>
        <w:rPr>
          <w:b/>
          <w:sz w:val="24"/>
        </w:rPr>
        <w:t>дорогах регионального значения Пермского края. Лот 5»</w:t>
      </w:r>
    </w:p>
    <w:p>
      <w:pPr>
        <w:pStyle w:val="Normal"/>
        <w:widowControl/>
        <w:spacing w:before="0" w:after="200"/>
        <w:contextualSpacing/>
        <w:jc w:val="end"/>
        <w:rPr>
          <w:b/>
          <w:sz w:val="24"/>
        </w:rPr>
      </w:pPr>
      <w:r>
        <w:rPr>
          <w:b/>
          <w:sz w:val="24"/>
        </w:rPr>
      </w:r>
    </w:p>
    <w:p>
      <w:pPr>
        <w:pStyle w:val="Normal"/>
        <w:widowControl/>
        <w:shd w:val="clear" w:color="auto" w:fill="FFFFFF" w:themeFill="background1"/>
        <w:spacing w:lineRule="auto" w:line="276" w:before="0" w:after="200"/>
        <w:jc w:val="center"/>
        <w:rPr>
          <w:b/>
          <w:i/>
          <w:i/>
          <w:sz w:val="24"/>
        </w:rPr>
      </w:pPr>
      <w:r>
        <w:rPr>
          <w:b/>
          <w:i/>
          <w:sz w:val="24"/>
        </w:rPr>
        <w:t>Перечень объектов, для которых необходима корректировка проектной документации</w:t>
      </w:r>
    </w:p>
    <w:tbl>
      <w:tblPr>
        <w:tblW w:w="9443"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170"/>
        <w:gridCol w:w="2090"/>
        <w:gridCol w:w="1135"/>
        <w:gridCol w:w="1135"/>
        <w:gridCol w:w="1135"/>
        <w:gridCol w:w="1777"/>
      </w:tblGrid>
      <w:tr>
        <w:trPr>
          <w:tblHeader w:val="true"/>
          <w:trHeight w:val="76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Местоположение</w:t>
            </w:r>
          </w:p>
        </w:tc>
        <w:tc>
          <w:tcPr>
            <w:tcW w:w="209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Населенный пункт</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Начало участка, км</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Конец участка, км</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Длина участка, км</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Реквизиты проектной документации</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tcPr>
          <w:p>
            <w:pPr>
              <w:pStyle w:val="Normal"/>
              <w:spacing w:before="0" w:after="0"/>
              <w:contextualSpacing/>
              <w:rPr>
                <w:sz w:val="24"/>
                <w:szCs w:val="24"/>
              </w:rPr>
            </w:pPr>
            <w:r>
              <w:rPr>
                <w:sz w:val="24"/>
                <w:szCs w:val="24"/>
              </w:rPr>
              <w:t>Бардымский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с.Барда</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0,000</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3,068</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3,068</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5-979-П-12</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Бардымский муниципальный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с.Бичурино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12,670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15,096</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2,426</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5-979-П-12</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Чайковский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д.Бормист</w:t>
            </w:r>
          </w:p>
        </w:tc>
        <w:tc>
          <w:tcPr>
            <w:tcW w:w="1135"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202,461</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202,984</w:t>
            </w:r>
          </w:p>
        </w:tc>
        <w:tc>
          <w:tcPr>
            <w:tcW w:w="1135"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0,523</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lang w:val="en-US"/>
              </w:rPr>
            </w:pPr>
            <w:r>
              <w:rPr>
                <w:sz w:val="24"/>
                <w:szCs w:val="24"/>
                <w:lang w:val="en-US"/>
              </w:rPr>
              <w:t>19011</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Чайковский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д.Нижняя Гарь</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214,601</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215,092</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0,491</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lang w:val="en-US"/>
              </w:rPr>
              <w:t>19011</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Чайковский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с.Сосново</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220,240</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223,146</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2,906</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lang w:val="en-US"/>
              </w:rPr>
              <w:t>19011</w:t>
            </w:r>
          </w:p>
        </w:tc>
      </w:tr>
      <w:tr>
        <w:trPr>
          <w:trHeight w:val="255"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Чайковский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д.Гаревая</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239,937</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240,749</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0,812</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lang w:val="en-US"/>
              </w:rPr>
              <w:t>19011</w:t>
            </w:r>
          </w:p>
        </w:tc>
      </w:tr>
      <w:tr>
        <w:trPr>
          <w:trHeight w:val="510" w:hRule="atLeast"/>
        </w:trPr>
        <w:tc>
          <w:tcPr>
            <w:tcW w:w="2170"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Чайковский городской округ</w:t>
            </w:r>
          </w:p>
        </w:tc>
        <w:tc>
          <w:tcPr>
            <w:tcW w:w="2090" w:type="dxa"/>
            <w:tcBorders>
              <w:top w:val="single" w:sz="4" w:space="0" w:color="000000"/>
              <w:start w:val="single" w:sz="4" w:space="0" w:color="000000"/>
              <w:bottom w:val="single" w:sz="4" w:space="0" w:color="000000"/>
              <w:end w:val="single" w:sz="4" w:space="0" w:color="000000"/>
            </w:tcBorders>
            <w:shd w:color="000000" w:fill="auto" w:val="clear"/>
            <w:vAlign w:val="center"/>
          </w:tcPr>
          <w:p>
            <w:pPr>
              <w:pStyle w:val="Normal"/>
              <w:spacing w:before="0" w:after="0"/>
              <w:contextualSpacing/>
              <w:rPr>
                <w:sz w:val="24"/>
                <w:szCs w:val="24"/>
              </w:rPr>
            </w:pPr>
            <w:r>
              <w:rPr>
                <w:sz w:val="24"/>
                <w:szCs w:val="24"/>
              </w:rPr>
              <w:t>с.Фоки</w:t>
            </w:r>
          </w:p>
        </w:tc>
        <w:tc>
          <w:tcPr>
            <w:tcW w:w="1135"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2,301</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4,405</w:t>
            </w:r>
          </w:p>
        </w:tc>
        <w:tc>
          <w:tcPr>
            <w:tcW w:w="1135" w:type="dxa"/>
            <w:tcBorders>
              <w:bottom w:val="single" w:sz="4" w:space="0" w:color="000000"/>
              <w:end w:val="single" w:sz="4" w:space="0" w:color="000000"/>
            </w:tcBorders>
            <w:shd w:color="auto" w:fill="auto" w:val="clear"/>
            <w:vAlign w:val="center"/>
          </w:tcPr>
          <w:p>
            <w:pPr>
              <w:pStyle w:val="Normal"/>
              <w:spacing w:before="0" w:after="0"/>
              <w:contextualSpacing/>
              <w:rPr>
                <w:sz w:val="24"/>
                <w:szCs w:val="24"/>
              </w:rPr>
            </w:pPr>
            <w:r>
              <w:rPr>
                <w:sz w:val="24"/>
                <w:szCs w:val="24"/>
              </w:rPr>
              <w:t>2,104</w:t>
            </w:r>
          </w:p>
        </w:tc>
        <w:tc>
          <w:tcPr>
            <w:tcW w:w="1777"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lang w:val="en-US"/>
              </w:rPr>
              <w:t>19011</w:t>
            </w:r>
          </w:p>
        </w:tc>
      </w:tr>
    </w:tbl>
    <w:p>
      <w:pPr>
        <w:pStyle w:val="Normal"/>
        <w:widowControl/>
        <w:shd w:val="clear" w:color="auto" w:fill="FFFFFF" w:themeFill="background1"/>
        <w:spacing w:before="0" w:after="0"/>
        <w:contextualSpacing/>
        <w:rPr>
          <w:sz w:val="24"/>
        </w:rPr>
      </w:pPr>
      <w:r>
        <w:rPr>
          <w:sz w:val="24"/>
        </w:rPr>
      </w:r>
    </w:p>
    <w:p>
      <w:pPr>
        <w:pStyle w:val="Normal"/>
        <w:widowControl/>
        <w:shd w:val="clear" w:color="auto" w:fill="FFFFFF" w:themeFill="background1"/>
        <w:spacing w:before="0" w:after="0"/>
        <w:contextualSpacing/>
        <w:rPr>
          <w:sz w:val="24"/>
        </w:rPr>
      </w:pPr>
      <w:r>
        <w:rPr>
          <w:sz w:val="24"/>
        </w:rPr>
      </w:r>
    </w:p>
    <w:p>
      <w:pPr>
        <w:pStyle w:val="Normal"/>
        <w:widowControl/>
        <w:shd w:val="clear" w:color="auto" w:fill="FFFFFF" w:themeFill="background1"/>
        <w:spacing w:before="0" w:after="0"/>
        <w:contextualSpacing/>
        <w:rPr>
          <w:sz w:val="24"/>
        </w:rPr>
      </w:pPr>
      <w:r>
        <w:rPr>
          <w:sz w:val="24"/>
        </w:rPr>
        <w:t xml:space="preserve">Итого:                                                                                                   </w:t>
      </w:r>
      <w:r>
        <w:rPr>
          <w:sz w:val="24"/>
          <w:szCs w:val="24"/>
        </w:rPr>
        <w:t>1</w:t>
      </w:r>
      <w:r>
        <w:rPr>
          <w:sz w:val="24"/>
          <w:szCs w:val="24"/>
          <w:lang w:val="en-US"/>
        </w:rPr>
        <w:t>2</w:t>
      </w:r>
      <w:r>
        <w:rPr>
          <w:sz w:val="24"/>
          <w:szCs w:val="24"/>
        </w:rPr>
        <w:t>,</w:t>
      </w:r>
      <w:r>
        <w:rPr>
          <w:sz w:val="24"/>
          <w:szCs w:val="24"/>
          <w:lang w:val="en-US"/>
        </w:rPr>
        <w:t>33</w:t>
      </w:r>
      <w:r>
        <w:rPr>
          <w:sz w:val="24"/>
          <w:szCs w:val="24"/>
        </w:rPr>
        <w:t xml:space="preserve"> км</w:t>
      </w:r>
    </w:p>
    <w:p>
      <w:pPr>
        <w:pStyle w:val="Normal"/>
        <w:widowControl/>
        <w:shd w:val="clear" w:color="auto" w:fill="FFFFFF" w:themeFill="background1"/>
        <w:spacing w:before="0" w:after="0"/>
        <w:contextualSpacing/>
        <w:rPr>
          <w:sz w:val="24"/>
        </w:rPr>
      </w:pPr>
      <w:r>
        <w:rPr>
          <w:sz w:val="24"/>
        </w:rPr>
      </w:r>
    </w:p>
    <w:p>
      <w:pPr>
        <w:pStyle w:val="Normal"/>
        <w:widowControl/>
        <w:shd w:val="clear" w:color="auto" w:fill="FFFFFF" w:themeFill="background1"/>
        <w:spacing w:before="0" w:after="0"/>
        <w:contextualSpacing/>
        <w:rPr>
          <w:sz w:val="24"/>
        </w:rPr>
      </w:pPr>
      <w:r>
        <w:rPr>
          <w:sz w:val="24"/>
        </w:rPr>
      </w:r>
    </w:p>
    <w:p>
      <w:pPr>
        <w:pStyle w:val="Normal"/>
        <w:widowControl/>
        <w:shd w:val="clear" w:color="auto" w:fill="FFFFFF" w:themeFill="background1"/>
        <w:jc w:val="both"/>
        <w:rPr>
          <w:sz w:val="24"/>
        </w:rPr>
      </w:pPr>
      <w:r>
        <w:rPr>
          <w:sz w:val="24"/>
        </w:rPr>
      </w:r>
      <w:r>
        <w:br w:type="page"/>
      </w:r>
    </w:p>
    <w:p>
      <w:pPr>
        <w:pStyle w:val="Normal"/>
        <w:widowControl/>
        <w:spacing w:before="0" w:after="200"/>
        <w:contextualSpacing/>
        <w:jc w:val="end"/>
        <w:rPr>
          <w:b/>
          <w:sz w:val="24"/>
        </w:rPr>
      </w:pPr>
      <w:r>
        <w:rPr>
          <w:b/>
          <w:sz w:val="24"/>
        </w:rPr>
        <w:t>Приложение №3</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shd w:val="clear" w:color="auto" w:fill="FFFFFF" w:themeFill="background1"/>
        <w:jc w:val="end"/>
        <w:rPr>
          <w:b/>
          <w:sz w:val="24"/>
        </w:rPr>
      </w:pPr>
      <w:r>
        <w:rPr>
          <w:b/>
          <w:sz w:val="24"/>
        </w:rPr>
        <w:t xml:space="preserve">«Устройство недостающего освещения на автомобильных </w:t>
      </w:r>
    </w:p>
    <w:p>
      <w:pPr>
        <w:pStyle w:val="Normal"/>
        <w:widowControl/>
        <w:shd w:val="clear" w:color="auto" w:fill="FFFFFF" w:themeFill="background1"/>
        <w:jc w:val="end"/>
        <w:rPr>
          <w:b/>
          <w:sz w:val="24"/>
        </w:rPr>
      </w:pPr>
      <w:r>
        <w:rPr>
          <w:b/>
          <w:sz w:val="24"/>
        </w:rPr>
        <w:t>дорогах регионального значения Пермского края. Лот 5»</w:t>
      </w:r>
    </w:p>
    <w:p>
      <w:pPr>
        <w:pStyle w:val="Normal"/>
        <w:widowControl/>
        <w:spacing w:before="0" w:after="200"/>
        <w:contextualSpacing/>
        <w:jc w:val="end"/>
        <w:rPr>
          <w:b/>
          <w:sz w:val="24"/>
        </w:rPr>
      </w:pPr>
      <w:r>
        <w:rPr>
          <w:b/>
          <w:sz w:val="24"/>
        </w:rPr>
      </w:r>
    </w:p>
    <w:p>
      <w:pPr>
        <w:pStyle w:val="Normal"/>
        <w:widowControl/>
        <w:spacing w:before="0" w:after="200"/>
        <w:contextualSpacing/>
        <w:jc w:val="end"/>
        <w:rPr>
          <w:b/>
          <w:sz w:val="24"/>
        </w:rPr>
      </w:pPr>
      <w:r>
        <w:rPr>
          <w:b/>
          <w:sz w:val="24"/>
        </w:rPr>
      </w:r>
    </w:p>
    <w:p>
      <w:pPr>
        <w:pStyle w:val="Normal"/>
        <w:widowControl/>
        <w:spacing w:lineRule="auto" w:line="276" w:before="0" w:after="200"/>
        <w:jc w:val="center"/>
        <w:rPr>
          <w:b/>
          <w:i/>
          <w:i/>
          <w:sz w:val="24"/>
        </w:rPr>
      </w:pPr>
      <w:r>
        <w:rPr>
          <w:b/>
          <w:i/>
          <w:sz w:val="24"/>
        </w:rPr>
        <w:t>Перечень объектов, для которых необходимо произвести изыскания и проектирование</w:t>
      </w:r>
    </w:p>
    <w:tbl>
      <w:tblPr>
        <w:tblW w:w="9511" w:type="dxa"/>
        <w:jc w:val="start"/>
        <w:tblInd w:w="0" w:type="dxa"/>
        <w:tblLayout w:type="fixed"/>
        <w:tblCellMar>
          <w:top w:w="0" w:type="dxa"/>
          <w:start w:w="108" w:type="dxa"/>
          <w:bottom w:w="0" w:type="dxa"/>
          <w:end w:w="108" w:type="dxa"/>
        </w:tblCellMar>
        <w:tblLook w:val="04a0" w:noHBand="0" w:noVBand="1" w:firstColumn="1" w:lastRow="0" w:lastColumn="0" w:firstRow="1"/>
      </w:tblPr>
      <w:tblGrid>
        <w:gridCol w:w="2544"/>
        <w:gridCol w:w="1992"/>
        <w:gridCol w:w="1659"/>
        <w:gridCol w:w="1658"/>
        <w:gridCol w:w="1658"/>
      </w:tblGrid>
      <w:tr>
        <w:trPr>
          <w:tblHeader w:val="true"/>
          <w:trHeight w:val="510"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Местоположение</w:t>
            </w:r>
          </w:p>
        </w:tc>
        <w:tc>
          <w:tcPr>
            <w:tcW w:w="199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Населенный пункт</w:t>
            </w:r>
          </w:p>
        </w:tc>
        <w:tc>
          <w:tcPr>
            <w:tcW w:w="165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Начало участка, км</w:t>
            </w:r>
          </w:p>
        </w:tc>
        <w:tc>
          <w:tcPr>
            <w:tcW w:w="16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Конец участка, км</w:t>
            </w:r>
          </w:p>
        </w:tc>
        <w:tc>
          <w:tcPr>
            <w:tcW w:w="165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rFonts w:eastAsia="Times New Roman"/>
                <w:b/>
                <w:bCs/>
                <w:sz w:val="24"/>
                <w:szCs w:val="24"/>
                <w:lang w:eastAsia="ru-RU"/>
              </w:rPr>
            </w:pPr>
            <w:r>
              <w:rPr>
                <w:rFonts w:eastAsia="Times New Roman"/>
                <w:b/>
                <w:bCs/>
                <w:sz w:val="24"/>
                <w:szCs w:val="24"/>
                <w:lang w:eastAsia="ru-RU"/>
              </w:rPr>
              <w:t>Длина участка, км</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Еловский муниципальный округ</w:t>
            </w:r>
          </w:p>
        </w:tc>
        <w:tc>
          <w:tcPr>
            <w:tcW w:w="199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с.Елово</w:t>
            </w:r>
          </w:p>
        </w:tc>
        <w:tc>
          <w:tcPr>
            <w:tcW w:w="165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1,532</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1,711</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0,179</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Бардымский муниципальный округ</w:t>
            </w:r>
          </w:p>
        </w:tc>
        <w:tc>
          <w:tcPr>
            <w:tcW w:w="1992"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д.Бардабашка-I</w:t>
            </w:r>
          </w:p>
        </w:tc>
        <w:tc>
          <w:tcPr>
            <w:tcW w:w="1659"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19,501</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20,596</w:t>
            </w:r>
          </w:p>
        </w:tc>
        <w:tc>
          <w:tcPr>
            <w:tcW w:w="1658" w:type="dxa"/>
            <w:tcBorders>
              <w:top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1,095</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Еловский муниципальный округ</w:t>
            </w:r>
          </w:p>
        </w:tc>
        <w:tc>
          <w:tcPr>
            <w:tcW w:w="1992"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д.Ятыш</w:t>
            </w:r>
          </w:p>
        </w:tc>
        <w:tc>
          <w:tcPr>
            <w:tcW w:w="1659"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25,035</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26,550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1,515</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Еловский муниципальный округ</w:t>
            </w:r>
          </w:p>
        </w:tc>
        <w:tc>
          <w:tcPr>
            <w:tcW w:w="1992"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с.Куштомак</w:t>
            </w:r>
          </w:p>
        </w:tc>
        <w:tc>
          <w:tcPr>
            <w:tcW w:w="1659"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26,550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29,661</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3,111</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Еловский муниципальный округ</w:t>
            </w:r>
          </w:p>
        </w:tc>
        <w:tc>
          <w:tcPr>
            <w:tcW w:w="1992"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с.Суганка</w:t>
            </w:r>
          </w:p>
        </w:tc>
        <w:tc>
          <w:tcPr>
            <w:tcW w:w="1659"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29,661</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32,044</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2,383</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Еловский муниципальный округ</w:t>
            </w:r>
          </w:p>
        </w:tc>
        <w:tc>
          <w:tcPr>
            <w:tcW w:w="1992"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д.Жуланы</w:t>
            </w:r>
          </w:p>
        </w:tc>
        <w:tc>
          <w:tcPr>
            <w:tcW w:w="1659"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38,098</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38,685</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0,587</w:t>
            </w:r>
          </w:p>
        </w:tc>
      </w:tr>
      <w:tr>
        <w:trPr>
          <w:trHeight w:val="255" w:hRule="atLeast"/>
        </w:trPr>
        <w:tc>
          <w:tcPr>
            <w:tcW w:w="2544"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Пермский муниципальный округ</w:t>
            </w:r>
          </w:p>
        </w:tc>
        <w:tc>
          <w:tcPr>
            <w:tcW w:w="1992" w:type="dxa"/>
            <w:tcBorders>
              <w:start w:val="single" w:sz="4" w:space="0" w:color="000000"/>
              <w:bottom w:val="single" w:sz="4" w:space="0" w:color="000000"/>
              <w:end w:val="single" w:sz="4" w:space="0" w:color="000000"/>
            </w:tcBorders>
            <w:shd w:color="auto" w:fill="auto" w:val="clear"/>
            <w:vAlign w:val="center"/>
          </w:tcPr>
          <w:p>
            <w:pPr>
              <w:pStyle w:val="Normal"/>
              <w:jc w:val="center"/>
              <w:rPr>
                <w:sz w:val="24"/>
                <w:szCs w:val="24"/>
              </w:rPr>
            </w:pPr>
            <w:r>
              <w:rPr>
                <w:sz w:val="24"/>
                <w:szCs w:val="24"/>
              </w:rPr>
              <w:t>с.Нижний Пальник</w:t>
            </w:r>
          </w:p>
        </w:tc>
        <w:tc>
          <w:tcPr>
            <w:tcW w:w="1659" w:type="dxa"/>
            <w:tcBorders>
              <w:start w:val="single" w:sz="4" w:space="0" w:color="000000"/>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8,510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8,970</w:t>
            </w:r>
          </w:p>
        </w:tc>
        <w:tc>
          <w:tcPr>
            <w:tcW w:w="1658" w:type="dxa"/>
            <w:tcBorders>
              <w:bottom w:val="single" w:sz="4" w:space="0" w:color="000000"/>
              <w:end w:val="single" w:sz="4" w:space="0" w:color="000000"/>
            </w:tcBorders>
            <w:shd w:color="auto" w:fill="auto" w:val="clear"/>
            <w:vAlign w:val="center"/>
          </w:tcPr>
          <w:p>
            <w:pPr>
              <w:pStyle w:val="Normal"/>
              <w:spacing w:before="0" w:after="0"/>
              <w:contextualSpacing/>
              <w:jc w:val="center"/>
              <w:rPr>
                <w:sz w:val="24"/>
                <w:szCs w:val="24"/>
              </w:rPr>
            </w:pPr>
            <w:r>
              <w:rPr>
                <w:sz w:val="24"/>
                <w:szCs w:val="24"/>
              </w:rPr>
              <w:t>0,460</w:t>
            </w:r>
          </w:p>
        </w:tc>
      </w:tr>
    </w:tbl>
    <w:p>
      <w:pPr>
        <w:pStyle w:val="Normal"/>
        <w:widowControl/>
        <w:spacing w:before="0" w:after="0"/>
        <w:contextualSpacing/>
        <w:rPr>
          <w:sz w:val="24"/>
        </w:rPr>
      </w:pPr>
      <w:r>
        <w:rPr>
          <w:sz w:val="24"/>
        </w:rPr>
      </w:r>
    </w:p>
    <w:p>
      <w:pPr>
        <w:pStyle w:val="Normal"/>
        <w:widowControl/>
        <w:spacing w:before="0" w:after="0"/>
        <w:contextualSpacing/>
        <w:rPr>
          <w:sz w:val="24"/>
        </w:rPr>
      </w:pPr>
      <w:r>
        <w:rPr>
          <w:sz w:val="24"/>
        </w:rPr>
        <w:t xml:space="preserve">Итого:                                                                                                                               </w:t>
      </w:r>
      <w:r>
        <w:rPr>
          <w:sz w:val="24"/>
          <w:szCs w:val="24"/>
          <w:lang w:val="en-US"/>
        </w:rPr>
        <w:t>9,33</w:t>
      </w:r>
      <w:r>
        <w:rPr>
          <w:sz w:val="24"/>
          <w:szCs w:val="24"/>
        </w:rPr>
        <w:t xml:space="preserve"> км</w:t>
      </w:r>
    </w:p>
    <w:p>
      <w:pPr>
        <w:pStyle w:val="Normal"/>
        <w:widowControl/>
        <w:spacing w:before="0" w:after="0"/>
        <w:contextualSpacing/>
        <w:rPr>
          <w:sz w:val="24"/>
        </w:rPr>
      </w:pPr>
      <w:r>
        <w:rPr>
          <w:sz w:val="24"/>
        </w:rPr>
      </w:r>
    </w:p>
    <w:p>
      <w:pPr>
        <w:pStyle w:val="Normal"/>
        <w:widowControl/>
        <w:spacing w:before="0" w:after="0"/>
        <w:contextualSpacing/>
        <w:rPr>
          <w:rFonts w:ascii="Calibri" w:hAnsi="Calibri"/>
          <w:sz w:val="22"/>
        </w:rPr>
      </w:pPr>
      <w:r>
        <w:rPr>
          <w:sz w:val="24"/>
        </w:rPr>
        <w:t xml:space="preserve"> </w:t>
      </w:r>
      <w:r>
        <w:br w:type="page"/>
      </w:r>
    </w:p>
    <w:p>
      <w:pPr>
        <w:pStyle w:val="Normal"/>
        <w:widowControl/>
        <w:spacing w:before="0" w:after="200"/>
        <w:contextualSpacing/>
        <w:jc w:val="end"/>
        <w:rPr>
          <w:b/>
          <w:sz w:val="24"/>
        </w:rPr>
      </w:pPr>
      <w:r>
        <w:rPr>
          <w:b/>
          <w:sz w:val="24"/>
        </w:rPr>
        <w:t>Приложение №4</w:t>
      </w:r>
    </w:p>
    <w:p>
      <w:pPr>
        <w:pStyle w:val="Normal"/>
        <w:widowControl/>
        <w:jc w:val="end"/>
        <w:rPr>
          <w:b/>
          <w:sz w:val="24"/>
        </w:rPr>
      </w:pPr>
      <w:r>
        <w:rPr>
          <w:b/>
          <w:sz w:val="24"/>
        </w:rPr>
        <w:t xml:space="preserve">к Техническому заданию на выполнение работ по </w:t>
      </w:r>
    </w:p>
    <w:p>
      <w:pPr>
        <w:pStyle w:val="Normal"/>
        <w:widowControl/>
        <w:jc w:val="end"/>
        <w:rPr>
          <w:b/>
          <w:sz w:val="24"/>
        </w:rPr>
      </w:pPr>
      <w:r>
        <w:rPr>
          <w:b/>
          <w:sz w:val="24"/>
        </w:rPr>
        <w:t xml:space="preserve">разработке и корректировке проектной и рабочей </w:t>
      </w:r>
    </w:p>
    <w:p>
      <w:pPr>
        <w:pStyle w:val="Normal"/>
        <w:widowControl/>
        <w:jc w:val="end"/>
        <w:rPr>
          <w:b/>
          <w:sz w:val="24"/>
        </w:rPr>
      </w:pPr>
      <w:r>
        <w:rPr>
          <w:b/>
          <w:sz w:val="24"/>
        </w:rPr>
        <w:t>документации по объекту:</w:t>
      </w:r>
    </w:p>
    <w:p>
      <w:pPr>
        <w:pStyle w:val="Normal"/>
        <w:widowControl/>
        <w:shd w:val="clear" w:color="auto" w:fill="FFFFFF" w:themeFill="background1"/>
        <w:jc w:val="end"/>
        <w:rPr>
          <w:b/>
          <w:sz w:val="24"/>
        </w:rPr>
      </w:pPr>
      <w:r>
        <w:rPr>
          <w:b/>
          <w:sz w:val="24"/>
        </w:rPr>
        <w:t xml:space="preserve">«Устройство недостающего освещения на автомобильных </w:t>
      </w:r>
    </w:p>
    <w:p>
      <w:pPr>
        <w:pStyle w:val="Normal"/>
        <w:widowControl/>
        <w:shd w:val="clear" w:color="auto" w:fill="FFFFFF" w:themeFill="background1"/>
        <w:jc w:val="end"/>
        <w:rPr>
          <w:b/>
          <w:sz w:val="24"/>
        </w:rPr>
      </w:pPr>
      <w:r>
        <w:rPr>
          <w:b/>
          <w:sz w:val="24"/>
        </w:rPr>
        <w:t>дорогах регионального значения Пермского края. Лот 5»</w:t>
      </w:r>
    </w:p>
    <w:p>
      <w:pPr>
        <w:pStyle w:val="Normal"/>
        <w:widowControl/>
        <w:jc w:val="end"/>
        <w:rPr>
          <w:b/>
          <w:sz w:val="24"/>
        </w:rPr>
      </w:pPr>
      <w:r>
        <w:rPr>
          <w:b/>
          <w:sz w:val="24"/>
        </w:rPr>
      </w:r>
    </w:p>
    <w:p>
      <w:pPr>
        <w:pStyle w:val="Normal"/>
        <w:widowControl/>
        <w:spacing w:before="0" w:after="200"/>
        <w:contextualSpacing/>
        <w:jc w:val="center"/>
        <w:rPr>
          <w:b/>
          <w:i/>
          <w:i/>
          <w:sz w:val="24"/>
        </w:rPr>
      </w:pPr>
      <w:r>
        <w:rPr>
          <w:b/>
          <w:i/>
          <w:sz w:val="24"/>
        </w:rPr>
        <w:t>Требования к товару, используемому в процессе выполнения работ</w:t>
      </w:r>
    </w:p>
    <w:tbl>
      <w:tblPr>
        <w:tblW w:w="10915" w:type="dxa"/>
        <w:jc w:val="start"/>
        <w:tblInd w:w="-572" w:type="dxa"/>
        <w:tblLayout w:type="fixed"/>
        <w:tblCellMar>
          <w:top w:w="0" w:type="dxa"/>
          <w:start w:w="108" w:type="dxa"/>
          <w:bottom w:w="0" w:type="dxa"/>
          <w:end w:w="108" w:type="dxa"/>
        </w:tblCellMar>
        <w:tblLook w:val="04a0" w:noHBand="0" w:noVBand="1" w:firstColumn="1" w:lastRow="0" w:lastColumn="0" w:firstRow="1"/>
      </w:tblPr>
      <w:tblGrid>
        <w:gridCol w:w="467"/>
        <w:gridCol w:w="2084"/>
        <w:gridCol w:w="3685"/>
        <w:gridCol w:w="4678"/>
      </w:tblGrid>
      <w:tr>
        <w:trPr>
          <w:trHeight w:val="224" w:hRule="atLeast"/>
        </w:trPr>
        <w:tc>
          <w:tcPr>
            <w:tcW w:w="467"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both"/>
              <w:rPr>
                <w:sz w:val="24"/>
              </w:rPr>
            </w:pPr>
            <w:r>
              <w:rPr>
                <w:b/>
                <w:sz w:val="24"/>
              </w:rPr>
              <w:t>№</w:t>
            </w:r>
          </w:p>
        </w:tc>
        <w:tc>
          <w:tcPr>
            <w:tcW w:w="2084" w:type="dxa"/>
            <w:tcBorders>
              <w:top w:val="single" w:sz="4" w:space="0" w:color="000000"/>
              <w:start w:val="single" w:sz="4" w:space="0" w:color="000000"/>
              <w:bottom w:val="single" w:sz="4" w:space="0" w:color="000000"/>
              <w:end w:val="single" w:sz="4" w:space="0" w:color="000000"/>
            </w:tcBorders>
            <w:vAlign w:val="center"/>
          </w:tcPr>
          <w:p>
            <w:pPr>
              <w:pStyle w:val="Normal"/>
              <w:widowControl/>
              <w:spacing w:before="0" w:after="0"/>
              <w:contextualSpacing/>
              <w:jc w:val="center"/>
              <w:rPr>
                <w:b/>
                <w:sz w:val="24"/>
              </w:rPr>
            </w:pPr>
            <w:r>
              <w:rPr>
                <w:b/>
                <w:sz w:val="24"/>
              </w:rPr>
              <w:t>Наименование</w:t>
            </w:r>
          </w:p>
          <w:p>
            <w:pPr>
              <w:pStyle w:val="Normal"/>
              <w:widowControl/>
              <w:spacing w:before="0" w:after="0"/>
              <w:contextualSpacing/>
              <w:jc w:val="both"/>
              <w:rPr>
                <w:sz w:val="24"/>
              </w:rPr>
            </w:pPr>
            <w:r>
              <w:rPr>
                <w:sz w:val="24"/>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b/>
                <w:sz w:val="24"/>
              </w:rPr>
            </w:pPr>
            <w:r>
              <w:rPr>
                <w:b/>
                <w:sz w:val="24"/>
              </w:rPr>
              <w:t>Наименование характеристики</w:t>
            </w:r>
          </w:p>
          <w:p>
            <w:pPr>
              <w:pStyle w:val="Normal"/>
              <w:widowControl/>
              <w:spacing w:before="0" w:after="0"/>
              <w:contextualSpacing/>
              <w:jc w:val="both"/>
              <w:rPr>
                <w:sz w:val="24"/>
              </w:rPr>
            </w:pPr>
            <w:r>
              <w:rPr>
                <w:sz w:val="24"/>
              </w:rPr>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b/>
                <w:sz w:val="24"/>
              </w:rPr>
              <w:t>Значение характеристики</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1</w:t>
            </w:r>
          </w:p>
        </w:tc>
        <w:tc>
          <w:tcPr>
            <w:tcW w:w="208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Шкаф управления наружным освещением (ШУНО) с контроллером управления</w:t>
            </w:r>
          </w:p>
          <w:p>
            <w:pPr>
              <w:pStyle w:val="Normal"/>
              <w:widowControl/>
              <w:spacing w:before="0" w:after="0"/>
              <w:contextualSpacing/>
              <w:jc w:val="both"/>
              <w:rPr>
                <w:sz w:val="24"/>
              </w:rPr>
            </w:pPr>
            <w:r>
              <w:rPr>
                <w:sz w:val="24"/>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Применение и назначение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Управление наружным освещением</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фаз</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3</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контакторов, управляющих фазами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главной цепи, 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380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цепи управления, 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220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Номинальный ток, 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100/160/250/300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Коммутационные аппараты</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Контактор (максимальный ток 95-300 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Контакты состояния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 каждый отходящих автомат</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Степень защиты по ГОСТ 14254-2015</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Не менее IP 54</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Диапазон рабочих температур, °С, не уже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От –45 до +40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Защита от несанкционированного доступа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Внутренний механический замок</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Варианты крепления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 ТП, на опоре, на земле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Управление линиями освещения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По годовому графику (в автоматическом и ручном режиме) с возможностью дистанционного включения и выключения</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Сигнализация об аварийных ситуациях</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Несанкционированное вскрытие шкафа, отсутствие входного напряжения, срабатывание защитной автоматики, отсутствие тока при включении освещения по расписанию или команде диспетчера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Организация связи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lang w:val="en-US"/>
              </w:rPr>
            </w:pPr>
            <w:r>
              <w:rPr>
                <w:sz w:val="24"/>
                <w:lang w:val="en-US"/>
              </w:rPr>
              <w:t xml:space="preserve">GSM/GPRS/EDGE (850/900/1800/1900 </w:t>
            </w:r>
            <w:r>
              <w:rPr>
                <w:sz w:val="24"/>
              </w:rPr>
              <w:t>МГц</w:t>
            </w:r>
            <w:r>
              <w:rPr>
                <w:sz w:val="24"/>
                <w:lang w:val="en-US"/>
              </w:rPr>
              <w:t xml:space="preserve">), </w:t>
            </w:r>
            <w:r>
              <w:rPr>
                <w:sz w:val="24"/>
              </w:rPr>
              <w:t>опционально</w:t>
            </w:r>
            <w:r>
              <w:rPr>
                <w:sz w:val="24"/>
                <w:lang w:val="en-US"/>
              </w:rPr>
              <w:t xml:space="preserve"> 3G/4G, Ethernet</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lang w:val="en-US"/>
              </w:rPr>
            </w:pPr>
            <w:r>
              <w:rPr>
                <w:lang w:val="en-US"/>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lang w:val="en-US"/>
              </w:rPr>
            </w:pPr>
            <w:r>
              <w:rPr>
                <w:lang w:val="en-US"/>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Учет электрических характеристик сети уличного освещения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 xml:space="preserve">3 фазный учет электроэнергии (активной, реактивной) – данные за сутки, передача всех показаний на верхний уровень в автоматическом режиме и по запросу диспетчера  </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Годовой график работы осветительных приборов</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Гибкая система дистанционного изменения годового графика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Работа в составе автоматизированной системы (АСУНО и КУЭ)</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Шкаф управления должен быть укомплектован контроллером управления освещением</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2</w:t>
            </w:r>
          </w:p>
        </w:tc>
        <w:tc>
          <w:tcPr>
            <w:tcW w:w="208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Контроллер управления освещением</w:t>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Варианты установки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 xml:space="preserve">Крепление на DIN-рейку </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Материал корпуса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Металл, пластик.</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Степень защиты</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IP20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120"/>
              <w:contextualSpacing/>
              <w:jc w:val="both"/>
              <w:rPr>
                <w:sz w:val="24"/>
              </w:rPr>
            </w:pPr>
            <w:r>
              <w:rPr>
                <w:sz w:val="24"/>
              </w:rPr>
              <w:t>Поддержка каналов связи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Любые операторы связи, предоставляющие услуги SMS, GPRS, GSM, на территории расположения объекта.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Интерфейс для работы с внешними модулями (приборами учета)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RS-485</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Количество интерфейсов RS-485, шт.</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Возможность подключения счетчиков электроэнергии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аккумулятора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морозостойкий, сменный</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Автономное время работы от аккумулятора, часов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1 часа</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Дискретный опторазвязанный вход типа «контакт с внешним питанием 15 В»: количество</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27</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изоляции дискретных входов, 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2500</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Дискретный выход типа «контакт с внешним питанием 220 В», 1А: количество</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не менее 6 шт.</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Количество используемых SIM-карт,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не менее 2</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Напряжение питания, В</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~176…264</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Низковольтный выход +15В, шт.,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не менее 1</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Частота питающего напряжения, Гц</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50</w:t>
            </w:r>
          </w:p>
        </w:tc>
      </w:tr>
      <w:tr>
        <w:trPr>
          <w:trHeight w:val="372"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200"/>
              <w:contextualSpacing/>
              <w:jc w:val="both"/>
              <w:rPr>
                <w:sz w:val="24"/>
              </w:rPr>
            </w:pPr>
            <w:r>
              <w:rPr>
                <w:sz w:val="24"/>
              </w:rPr>
              <w:t>Индикаторы</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Индикация наличия питания;</w:t>
            </w:r>
          </w:p>
          <w:p>
            <w:pPr>
              <w:pStyle w:val="Normal"/>
              <w:widowControl/>
              <w:tabs>
                <w:tab w:val="clear" w:pos="708"/>
                <w:tab w:val="left" w:pos="176" w:leader="none"/>
              </w:tabs>
              <w:spacing w:before="0" w:after="0"/>
              <w:ind w:start="34"/>
              <w:contextualSpacing/>
              <w:jc w:val="both"/>
              <w:rPr>
                <w:sz w:val="24"/>
              </w:rPr>
            </w:pPr>
            <w:r>
              <w:rPr>
                <w:sz w:val="24"/>
              </w:rPr>
              <w:t>Индикация уровня сигнала сети;</w:t>
            </w:r>
          </w:p>
          <w:p>
            <w:pPr>
              <w:pStyle w:val="Normal"/>
              <w:widowControl/>
              <w:spacing w:before="0" w:after="0"/>
              <w:contextualSpacing/>
              <w:jc w:val="both"/>
              <w:rPr>
                <w:sz w:val="24"/>
              </w:rPr>
            </w:pPr>
            <w:r>
              <w:rPr>
                <w:sz w:val="24"/>
              </w:rPr>
              <w:t>Индикация обмена по интерфейсу RS-485.</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Размещение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Внутри щита управления наружным освещением</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 xml:space="preserve">Обновление автоматизированной системы управления наружным освещением (АСУНО)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Дистанционное обновление программного обеспечения через Web интерфейс системы</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Подключение внешних устройств и датчиков по интерфейсу RS-485</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Контроллер поддерживает возможность подключения и передачи данных на сервер от внешних устройств по интерфейсу RS-485 Предусмотрена поддержка приборов учёта с типовыми протоколами.</w:t>
            </w:r>
          </w:p>
          <w:p>
            <w:pPr>
              <w:pStyle w:val="Normal"/>
              <w:widowControl/>
              <w:spacing w:before="0" w:after="0"/>
              <w:contextualSpacing/>
              <w:jc w:val="both"/>
              <w:rPr>
                <w:sz w:val="24"/>
              </w:rPr>
            </w:pPr>
            <w:r>
              <w:rPr>
                <w:sz w:val="24"/>
              </w:rPr>
              <w:t>Возможность расширения за счет подключения модулей дискретного ввода-вывода.</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3</w:t>
            </w:r>
          </w:p>
        </w:tc>
        <w:tc>
          <w:tcPr>
            <w:tcW w:w="208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Модуль индивидуального управления и мониторинга работоспособности светильников</w:t>
            </w:r>
          </w:p>
          <w:p>
            <w:pPr>
              <w:pStyle w:val="Normal"/>
              <w:widowControl/>
              <w:spacing w:before="0" w:after="0"/>
              <w:contextualSpacing/>
              <w:jc w:val="both"/>
              <w:rPr>
                <w:sz w:val="24"/>
              </w:rPr>
            </w:pPr>
            <w:r>
              <w:rPr>
                <w:sz w:val="24"/>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Стандарты крепления модуля (контроллера) к корпусу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NEMA 7-pin (наружное крепление) или Zhaga (наружное крепление)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Каналы дистанционной передачи данных</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GSM или LoRaWAN</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Номинальное сертифицированное напряжение (при питании модуля от сети переменного напряжения)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220В-240В/50 Гц.</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Номинальное сертифицированное напряжение (при питании модуля от драйвера, при соответствующем конструктивном исполнении)</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176" w:leader="none"/>
              </w:tabs>
              <w:spacing w:before="0" w:after="0"/>
              <w:ind w:start="34"/>
              <w:contextualSpacing/>
              <w:jc w:val="both"/>
              <w:rPr>
                <w:sz w:val="24"/>
              </w:rPr>
            </w:pPr>
            <w:r>
              <w:rPr>
                <w:sz w:val="24"/>
              </w:rPr>
              <w:t>12 - 24В</w:t>
            </w:r>
          </w:p>
          <w:p>
            <w:pPr>
              <w:pStyle w:val="Normal"/>
              <w:widowControl/>
              <w:spacing w:before="0" w:after="0"/>
              <w:contextualSpacing/>
              <w:jc w:val="both"/>
              <w:rPr>
                <w:sz w:val="24"/>
              </w:rPr>
            </w:pPr>
            <w:r>
              <w:rPr>
                <w:sz w:val="24"/>
              </w:rPr>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2"/>
              </w:rPr>
              <w:t>Степень защиты оболочки, не менее</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IP65</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Климатическое исполнение, °С</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 xml:space="preserve">от -45 до +40 </w:t>
              <w:br/>
              <w:t>(У1, ГОСТ 15150-69)</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Интерфейс управления драйвером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0-10В и/или DALI</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использования криптопротокола</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SSLv3/TLS.</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vAlign w:val="center"/>
          </w:tcPr>
          <w:p>
            <w:pPr>
              <w:pStyle w:val="Normal"/>
              <w:widowControl/>
              <w:spacing w:before="0" w:after="0"/>
              <w:contextualSpacing/>
              <w:jc w:val="both"/>
              <w:rPr>
                <w:sz w:val="24"/>
              </w:rPr>
            </w:pPr>
            <w:r>
              <w:rPr>
                <w:sz w:val="24"/>
              </w:rPr>
              <w:t>Тип алгоритма шифрования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AES-128</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включения/выключения, диммирования светильника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Регулировка мощности светильника осуществляется как в автоматическом режиме (по запрограммированному сценарию), так и по командам оператора</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Передача информации о состоянии светильника (включен/выключен), режиме работы (потребляемой мощности)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 xml:space="preserve">Технология определения координат </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spacing w:before="0" w:after="0"/>
              <w:contextualSpacing/>
              <w:jc w:val="both"/>
              <w:rPr>
                <w:sz w:val="24"/>
              </w:rPr>
            </w:pPr>
            <w:r>
              <w:rPr>
                <w:sz w:val="24"/>
              </w:rPr>
              <w:t>GPS/ГЛОНАСС</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дистанционного обновления, встроенного ПО модуля</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Синхронизация времени по сети или GPS/ГЛОНАСС</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Возможность функционирования в автономном режиме (работа по расписанию, управление драйвером светодиодного светильника) при отсутствии связи с удаленным сервером</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Наличие</w:t>
            </w:r>
          </w:p>
        </w:tc>
      </w:tr>
      <w:tr>
        <w:trPr>
          <w:trHeight w:val="224" w:hRule="atLeast"/>
        </w:trPr>
        <w:tc>
          <w:tcPr>
            <w:tcW w:w="467"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4</w:t>
            </w:r>
          </w:p>
        </w:tc>
        <w:tc>
          <w:tcPr>
            <w:tcW w:w="2084" w:type="dxa"/>
            <w:vMerge w:val="restart"/>
            <w:tcBorders>
              <w:top w:val="single" w:sz="4" w:space="0" w:color="000000"/>
              <w:start w:val="single" w:sz="4" w:space="0" w:color="000000"/>
              <w:bottom w:val="single" w:sz="4" w:space="0" w:color="000000"/>
              <w:end w:val="single" w:sz="4" w:space="0" w:color="000000"/>
            </w:tcBorders>
          </w:tcPr>
          <w:p>
            <w:pPr>
              <w:pStyle w:val="Normal"/>
              <w:widowControl/>
              <w:spacing w:before="0" w:after="0"/>
              <w:contextualSpacing/>
              <w:jc w:val="both"/>
              <w:rPr>
                <w:sz w:val="24"/>
              </w:rPr>
            </w:pPr>
            <w:r>
              <w:rPr>
                <w:sz w:val="24"/>
              </w:rPr>
              <w:t>Программное обеспечение –  АСУНО, 1 шт.</w:t>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обеспечивать работу обслуживающих организаций по следующему рабочему функционалу, должно быть предустановленным на серверное оборудование</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tabs>
                <w:tab w:val="clear" w:pos="708"/>
                <w:tab w:val="left" w:pos="203" w:leader="none"/>
              </w:tabs>
              <w:spacing w:before="0" w:after="0"/>
              <w:contextualSpacing/>
              <w:jc w:val="both"/>
              <w:rPr>
                <w:sz w:val="24"/>
              </w:rPr>
            </w:pPr>
            <w:r>
              <w:rPr>
                <w:sz w:val="24"/>
              </w:rPr>
              <w:t>а. Единый интерфейс с АСУНО для входа и проведения работ с массивами данных, назначения их конкретному исполнителю (группе исполнителей) и контроль за их выполнением;</w:t>
            </w:r>
          </w:p>
          <w:p>
            <w:pPr>
              <w:pStyle w:val="Normal"/>
              <w:widowControl/>
              <w:numPr>
                <w:ilvl w:val="0"/>
                <w:numId w:val="16"/>
              </w:numPr>
              <w:tabs>
                <w:tab w:val="clear" w:pos="708"/>
                <w:tab w:val="left" w:pos="203" w:leader="none"/>
              </w:tabs>
              <w:spacing w:lineRule="auto" w:line="276" w:before="0" w:after="200"/>
              <w:ind w:hanging="0" w:start="0"/>
              <w:contextualSpacing/>
              <w:jc w:val="both"/>
              <w:rPr>
                <w:sz w:val="24"/>
              </w:rPr>
            </w:pPr>
            <w:r>
              <w:rPr>
                <w:sz w:val="24"/>
              </w:rPr>
              <w:t>Доступ для работников обсуживающих организаций должен быть реализован в виде удаленного доступа через Веб-интерфейс;</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обеспечивать дистанционную работу шкафов управления наружным освещением со следующими функциями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управление и диагностика шкафов с центрального диспетчерского пункта;</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шкафы и их группы должны работать во всех возможных режимах работы (расписание, команда диспетчера);</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отображение времени до следующего переключения;</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возможность каскадного управления шкафами управления;</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мнемосхемы шкафа управления;</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наличие встроенного визуального редактора отображения шкафов на карте города с указанием местоположения шкафа;</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состояний шкафа на карте города (работает/авария/нет связи);</w:t>
            </w:r>
          </w:p>
          <w:p>
            <w:pPr>
              <w:pStyle w:val="Normal"/>
              <w:widowControl/>
              <w:numPr>
                <w:ilvl w:val="1"/>
                <w:numId w:val="17"/>
              </w:numPr>
              <w:tabs>
                <w:tab w:val="clear" w:pos="708"/>
                <w:tab w:val="left" w:pos="203" w:leader="none"/>
              </w:tabs>
              <w:spacing w:lineRule="auto" w:line="276" w:before="0" w:after="200"/>
              <w:ind w:hanging="81" w:start="0"/>
              <w:contextualSpacing/>
              <w:jc w:val="both"/>
              <w:rPr>
                <w:sz w:val="24"/>
              </w:rPr>
            </w:pPr>
            <w:r>
              <w:rPr>
                <w:sz w:val="24"/>
              </w:rPr>
              <w:t>управления шкафами должно выполняться по сетям GSM 850/900/1800/1900, GPRS/EDGE.</w:t>
            </w:r>
          </w:p>
        </w:tc>
      </w:tr>
      <w:tr>
        <w:trPr>
          <w:trHeight w:val="224"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Программное обеспечение Системы должно поддерживать дистанционную работу модулей управления светильниками со следующими функциями</w:t>
            </w:r>
          </w:p>
        </w:tc>
        <w:tc>
          <w:tcPr>
            <w:tcW w:w="4678" w:type="dxa"/>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numPr>
                <w:ilvl w:val="1"/>
                <w:numId w:val="18"/>
              </w:numPr>
              <w:tabs>
                <w:tab w:val="clear" w:pos="708"/>
                <w:tab w:val="left" w:pos="203" w:leader="none"/>
              </w:tabs>
              <w:spacing w:lineRule="auto" w:line="276" w:before="0" w:after="60"/>
              <w:ind w:hanging="81" w:start="0"/>
              <w:contextualSpacing/>
              <w:jc w:val="both"/>
              <w:rPr>
                <w:sz w:val="24"/>
              </w:rPr>
            </w:pPr>
            <w:r>
              <w:rPr>
                <w:sz w:val="24"/>
              </w:rPr>
              <w:t xml:space="preserve"> </w:t>
            </w:r>
            <w:r>
              <w:rPr>
                <w:sz w:val="24"/>
              </w:rPr>
              <w:t>дистанционное управление мощностью (диммирование) каждого светильника как индивидуально, так и в составе группы светильников от 0 до 100%;</w:t>
            </w:r>
          </w:p>
          <w:p>
            <w:pPr>
              <w:pStyle w:val="Normal"/>
              <w:widowControl/>
              <w:numPr>
                <w:ilvl w:val="1"/>
                <w:numId w:val="18"/>
              </w:numPr>
              <w:tabs>
                <w:tab w:val="clear" w:pos="708"/>
                <w:tab w:val="left" w:pos="203" w:leader="none"/>
              </w:tabs>
              <w:spacing w:lineRule="auto" w:line="276" w:before="0" w:after="60"/>
              <w:ind w:hanging="81" w:start="0"/>
              <w:contextualSpacing/>
              <w:jc w:val="both"/>
              <w:rPr>
                <w:sz w:val="24"/>
              </w:rPr>
            </w:pPr>
            <w:r>
              <w:rPr>
                <w:sz w:val="24"/>
              </w:rPr>
              <w:t>возможность адресного диагностирования состояния каждого светильника по следующим параметрам:</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состояние светильника (работает/не работает);</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наличие связи (есть/нет);</w:t>
            </w:r>
          </w:p>
          <w:p>
            <w:pPr>
              <w:pStyle w:val="Normal"/>
              <w:widowControl/>
              <w:tabs>
                <w:tab w:val="clear" w:pos="708"/>
                <w:tab w:val="left" w:pos="203" w:leader="none"/>
              </w:tabs>
              <w:spacing w:before="0" w:after="0"/>
              <w:ind w:hanging="81"/>
              <w:contextualSpacing/>
              <w:jc w:val="both"/>
              <w:rPr>
                <w:sz w:val="24"/>
              </w:rPr>
            </w:pPr>
            <w:r>
              <w:rPr>
                <w:sz w:val="24"/>
              </w:rPr>
              <w:t xml:space="preserve">● </w:t>
            </w:r>
            <w:r>
              <w:rPr>
                <w:sz w:val="24"/>
              </w:rPr>
              <w:t>режим работы (уровень диммирования);</w:t>
            </w:r>
          </w:p>
          <w:p>
            <w:pPr>
              <w:pStyle w:val="Normal"/>
              <w:widowControl/>
              <w:numPr>
                <w:ilvl w:val="1"/>
                <w:numId w:val="18"/>
              </w:numPr>
              <w:tabs>
                <w:tab w:val="clear" w:pos="708"/>
                <w:tab w:val="left" w:pos="203" w:leader="none"/>
              </w:tabs>
              <w:spacing w:lineRule="auto" w:line="276" w:before="0" w:after="200"/>
              <w:ind w:hanging="81" w:start="0"/>
              <w:contextualSpacing/>
              <w:jc w:val="both"/>
              <w:rPr>
                <w:sz w:val="24"/>
              </w:rPr>
            </w:pPr>
            <w:r>
              <w:rPr>
                <w:sz w:val="24"/>
              </w:rPr>
              <w:t>индивидуальные светильники и их группы должны работать во всех возможных режимах работы (расписание, команда диспетчера);</w:t>
            </w:r>
          </w:p>
          <w:p>
            <w:pPr>
              <w:pStyle w:val="Normal"/>
              <w:widowControl/>
              <w:numPr>
                <w:ilvl w:val="1"/>
                <w:numId w:val="18"/>
              </w:numPr>
              <w:tabs>
                <w:tab w:val="clear" w:pos="708"/>
                <w:tab w:val="left" w:pos="203" w:leader="none"/>
              </w:tabs>
              <w:spacing w:lineRule="auto" w:line="276" w:before="0" w:after="200"/>
              <w:ind w:hanging="81" w:start="0"/>
              <w:contextualSpacing/>
              <w:jc w:val="both"/>
              <w:rPr>
                <w:sz w:val="24"/>
              </w:rPr>
            </w:pPr>
            <w:r>
              <w:rPr>
                <w:sz w:val="24"/>
              </w:rPr>
              <w:t xml:space="preserve">возможность отображения каждого светильника на карте города с автоматическим определением геопозиции с помощью GPS/ГЛОНАСС-модуля, встроенного в модуль управления светильником; </w:t>
            </w:r>
          </w:p>
          <w:p>
            <w:pPr>
              <w:pStyle w:val="Normal"/>
              <w:widowControl/>
              <w:numPr>
                <w:ilvl w:val="1"/>
                <w:numId w:val="18"/>
              </w:numPr>
              <w:tabs>
                <w:tab w:val="clear" w:pos="708"/>
                <w:tab w:val="left" w:pos="203" w:leader="none"/>
              </w:tabs>
              <w:spacing w:lineRule="auto" w:line="276" w:before="0" w:after="200"/>
              <w:ind w:hanging="81" w:start="0"/>
              <w:contextualSpacing/>
              <w:jc w:val="both"/>
              <w:rPr>
                <w:sz w:val="24"/>
              </w:rPr>
            </w:pPr>
            <w:r>
              <w:rPr>
                <w:sz w:val="24"/>
              </w:rPr>
              <w:t>возможность отображения статусов светильников (уровень диммирования/состояние светильника) на электронной карте города.</w:t>
            </w:r>
          </w:p>
        </w:tc>
      </w:tr>
      <w:tr>
        <w:trPr>
          <w:trHeight w:val="985" w:hRule="atLeast"/>
        </w:trPr>
        <w:tc>
          <w:tcPr>
            <w:tcW w:w="467"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2084" w:type="dxa"/>
            <w:vMerge w:val="continue"/>
            <w:tcBorders>
              <w:top w:val="single" w:sz="4" w:space="0" w:color="000000"/>
              <w:start w:val="single" w:sz="4" w:space="0" w:color="000000"/>
              <w:bottom w:val="single" w:sz="4" w:space="0" w:color="000000"/>
              <w:end w:val="single" w:sz="4" w:space="0" w:color="000000"/>
            </w:tcBorders>
          </w:tcPr>
          <w:p>
            <w:pPr>
              <w:pStyle w:val="Normal"/>
              <w:jc w:val="both"/>
              <w:rPr/>
            </w:pPr>
            <w:r>
              <w:rPr/>
            </w:r>
          </w:p>
        </w:tc>
        <w:tc>
          <w:tcPr>
            <w:tcW w:w="3685" w:type="dxa"/>
            <w:tcBorders>
              <w:top w:val="single" w:sz="4" w:space="0" w:color="000000"/>
              <w:start w:val="single" w:sz="4" w:space="0" w:color="000000"/>
              <w:bottom w:val="single" w:sz="4" w:space="0" w:color="000000"/>
              <w:end w:val="single" w:sz="4" w:space="0" w:color="000000"/>
            </w:tcBorders>
            <w:shd w:color="auto" w:fill="FFFFFF" w:val="clear"/>
          </w:tcPr>
          <w:p>
            <w:pPr>
              <w:pStyle w:val="Normal"/>
              <w:widowControl/>
              <w:spacing w:before="0" w:after="0"/>
              <w:contextualSpacing/>
              <w:jc w:val="both"/>
              <w:rPr>
                <w:sz w:val="24"/>
              </w:rPr>
            </w:pPr>
            <w:r>
              <w:rPr>
                <w:sz w:val="24"/>
              </w:rPr>
              <w:t xml:space="preserve">Программное обеспечение Системы должно иметь функционал управления сервисами, сопутствующими наружному освещению </w:t>
            </w:r>
          </w:p>
        </w:tc>
        <w:tc>
          <w:tcPr>
            <w:tcW w:w="4678" w:type="dxa"/>
            <w:tcBorders>
              <w:top w:val="single" w:sz="4" w:space="0" w:color="000000"/>
              <w:start w:val="single" w:sz="4" w:space="0" w:color="000000"/>
              <w:bottom w:val="single" w:sz="4" w:space="0" w:color="000000"/>
              <w:end w:val="single" w:sz="4" w:space="0" w:color="000000"/>
            </w:tcBorders>
            <w:shd w:color="auto" w:fill="auto" w:val="clear"/>
          </w:tcPr>
          <w:p>
            <w:pPr>
              <w:pStyle w:val="Normal"/>
              <w:widowControl/>
              <w:spacing w:before="0" w:after="0"/>
              <w:contextualSpacing/>
              <w:jc w:val="both"/>
              <w:rPr>
                <w:sz w:val="24"/>
              </w:rPr>
            </w:pPr>
            <w:r>
              <w:rPr>
                <w:sz w:val="24"/>
              </w:rPr>
              <w:t xml:space="preserve">Управления и мониторинг устройствами световой сигнализации на пешеходных переходах (опционально). </w:t>
            </w:r>
          </w:p>
        </w:tc>
      </w:tr>
    </w:tbl>
    <w:p>
      <w:pPr>
        <w:pStyle w:val="Normal"/>
        <w:rPr/>
      </w:pPr>
      <w:r>
        <w:rPr/>
      </w:r>
    </w:p>
    <w:sectPr>
      <w:headerReference w:type="even" r:id="rId2"/>
      <w:headerReference w:type="default" r:id="rId3"/>
      <w:headerReference w:type="first" r:id="rId4"/>
      <w:type w:val="nextPage"/>
      <w:pgSz w:w="11906" w:h="16838"/>
      <w:pgMar w:left="993" w:right="426" w:gutter="0" w:header="0" w:top="539" w:footer="0" w:bottom="1077"/>
      <w:pgNumType w:fmt="decimal"/>
      <w:formProt w:val="false"/>
      <w:titlePg/>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XO Thames">
    <w:charset w:val="01" w:characterSet="utf-8"/>
    <w:family w:val="roman"/>
    <w:pitch w:val="variable"/>
  </w:font>
  <w:font w:name="Calibri">
    <w:charset w:val="01" w:characterSet="utf-8"/>
    <w:family w:val="roman"/>
    <w:pitch w:val="variable"/>
  </w:font>
  <w:font w:name="Tms Rmn">
    <w:altName w:val="Times New Roman"/>
    <w:charset w:val="01" w:characterSet="utf-8"/>
    <w:family w:val="roman"/>
    <w:pitch w:val="variable"/>
  </w:font>
  <w:font w:name="Segoe UI">
    <w:charset w:val="01" w:characterSet="utf-8"/>
    <w:family w:val="swiss"/>
    <w:pitch w:val="variable"/>
  </w:font>
  <w:font w:name="Liberation Sans">
    <w:altName w:val="Arial"/>
    <w:charset w:val="01" w:characterSet="utf-8"/>
    <w:family w:val="swiss"/>
    <w:pitch w:val="variable"/>
  </w:font>
  <w:font w:name="Arial">
    <w:charset w:val="01" w:characterSet="utf-8"/>
    <w:family w:val="swiss"/>
    <w:pitch w:val="variable"/>
  </w:font>
  <w:font w:name="Calibri">
    <w:charset w:val="01" w:characterSet="utf-8"/>
    <w:family w:val="swiss"/>
    <w:pitch w:val="variable"/>
  </w:font>
  <w:font w:name="Symbol">
    <w:charset w:val="02"/>
    <w:family w:val="auto"/>
    <w:pitch w:val="default"/>
  </w:font>
  <w:font w:name="Courier New">
    <w:charset w:val="01"/>
    <w:family w:val="modern"/>
    <w:pitch w:val="fixed"/>
  </w:font>
  <w:font w:name="Wingdings">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ind w:end="360"/>
      <w:rPr/>
    </w:pPr>
    <w:r>
      <w:rPr/>
      <mc:AlternateContent>
        <mc:Choice Requires="wps">
          <w:drawing>
            <wp:anchor behindDoc="1" distT="0" distB="0" distL="0" distR="0" simplePos="0" locked="0" layoutInCell="0" allowOverlap="1" relativeHeight="2">
              <wp:simplePos x="0" y="0"/>
              <wp:positionH relativeFrom="margin">
                <wp:align>right</wp:align>
              </wp:positionH>
              <wp:positionV relativeFrom="paragraph">
                <wp:posOffset>635</wp:posOffset>
              </wp:positionV>
              <wp:extent cx="152400" cy="635"/>
              <wp:effectExtent l="0" t="635" r="0" b="0"/>
              <wp:wrapSquare wrapText="bothSides"/>
              <wp:docPr id="1" name="Picture 1"/>
              <a:graphic xmlns:a="http://schemas.openxmlformats.org/drawingml/2006/main">
                <a:graphicData uri="http://schemas.microsoft.com/office/word/2010/wordprocessingShape">
                  <wps:wsp>
                    <wps:cNvSpPr/>
                    <wps:spPr>
                      <a:xfrm>
                        <a:off x="0" y="0"/>
                        <a:ext cx="152280" cy="720"/>
                      </a:xfrm>
                      <a:prstGeom prst="rect">
                        <a:avLst/>
                      </a:prstGeom>
                      <a:noFill/>
                      <a:ln w="0">
                        <a:noFill/>
                      </a:ln>
                    </wps:spPr>
                    <wps:style>
                      <a:lnRef idx="0"/>
                      <a:fillRef idx="0"/>
                      <a:effectRef idx="0"/>
                      <a:fontRef idx="minor"/>
                    </wps:style>
                    <wps:txbx>
                      <w:txbxContent>
                        <w:p>
                          <w:pPr>
                            <w:pStyle w:val="Header"/>
                            <w:rPr/>
                          </w:pPr>
                          <w:r>
                            <w:rPr/>
                            <w:fldChar w:fldCharType="begin"/>
                          </w:r>
                          <w:r>
                            <w:rPr/>
                            <w:instrText xml:space="preserve"> PAGE </w:instrText>
                          </w:r>
                          <w:r>
                            <w:rPr/>
                            <w:fldChar w:fldCharType="separate"/>
                          </w:r>
                          <w:r>
                            <w:rPr/>
                            <w:t>0</w:t>
                          </w:r>
                          <w:r>
                            <w:rPr/>
                            <w:fldChar w:fldCharType="end"/>
                          </w:r>
                        </w:p>
                      </w:txbxContent>
                    </wps:txbx>
                    <wps:bodyPr lIns="0" rIns="0" tIns="0" bIns="0" anchor="t">
                      <a:spAutoFit/>
                    </wps:bodyPr>
                  </wps:wsp>
                </a:graphicData>
              </a:graphic>
            </wp:anchor>
          </w:drawing>
        </mc:Choice>
        <mc:Fallback>
          <w:pict>
            <v:rect id="shape_0" ID="Picture 1" path="m0,0l-2147483645,0l-2147483645,-2147483646l0,-2147483646xe" stroked="f" o:allowincell="f" style="position:absolute;margin-left:0pt;margin-top:0.05pt;width:11.95pt;height:0pt;mso-wrap-style:square;v-text-anchor:top;mso-position-horizontal:right;mso-position-horizontal-relative:margin">
              <v:fill o:detectmouseclick="t" on="false"/>
              <v:stroke color="#3465a4" joinstyle="round" endcap="flat"/>
              <v:textbox>
                <w:txbxContent>
                  <w:p>
                    <w:pPr>
                      <w:pStyle w:val="Header"/>
                      <w:rPr/>
                    </w:pPr>
                    <w:r>
                      <w:rPr/>
                      <w:fldChar w:fldCharType="begin"/>
                    </w:r>
                    <w:r>
                      <w:rPr/>
                      <w:instrText xml:space="preserve"> PAGE </w:instrText>
                    </w:r>
                    <w:r>
                      <w:rPr/>
                      <w:fldChar w:fldCharType="separate"/>
                    </w:r>
                    <w:r>
                      <w:rPr/>
                      <w:t>0</w:t>
                    </w:r>
                    <w: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928"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3">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4">
    <w:lvl w:ilvl="0">
      <w:start w:val="17"/>
      <w:numFmt w:val="decimal"/>
      <w:lvlText w:val="%1."/>
      <w:lvlJc w:val="start"/>
      <w:pPr>
        <w:tabs>
          <w:tab w:val="num" w:pos="0"/>
        </w:tabs>
        <w:ind w:start="480" w:hanging="480"/>
      </w:pPr>
      <w:rPr/>
    </w:lvl>
    <w:lvl w:ilvl="1">
      <w:start w:val="1"/>
      <w:numFmt w:val="decimal"/>
      <w:lvlText w:val="%1.%2."/>
      <w:lvlJc w:val="start"/>
      <w:pPr>
        <w:tabs>
          <w:tab w:val="num" w:pos="0"/>
        </w:tabs>
        <w:ind w:start="840" w:hanging="480"/>
      </w:pPr>
      <w:rPr/>
    </w:lvl>
    <w:lvl w:ilvl="2">
      <w:start w:val="1"/>
      <w:numFmt w:val="decimal"/>
      <w:lvlText w:val="%1.%2.%3."/>
      <w:lvlJc w:val="start"/>
      <w:pPr>
        <w:tabs>
          <w:tab w:val="num" w:pos="0"/>
        </w:tabs>
        <w:ind w:start="1440" w:hanging="720"/>
      </w:pPr>
      <w:rPr/>
    </w:lvl>
    <w:lvl w:ilvl="3">
      <w:start w:val="1"/>
      <w:numFmt w:val="upperLetter"/>
      <w:lvlText w:val="%1.%2.%3.%4."/>
      <w:lvlJc w:val="start"/>
      <w:pPr>
        <w:tabs>
          <w:tab w:val="num" w:pos="0"/>
        </w:tabs>
        <w:ind w:start="1800" w:hanging="720"/>
      </w:pPr>
      <w:rPr/>
    </w:lvl>
    <w:lvl w:ilvl="4">
      <w:start w:val="1"/>
      <w:numFmt w:val="decimal"/>
      <w:lvlText w:val="%1.%2.%3.%4.%5."/>
      <w:lvlJc w:val="start"/>
      <w:pPr>
        <w:tabs>
          <w:tab w:val="num" w:pos="0"/>
        </w:tabs>
        <w:ind w:start="2520" w:hanging="1080"/>
      </w:pPr>
      <w:rPr/>
    </w:lvl>
    <w:lvl w:ilvl="5">
      <w:start w:val="1"/>
      <w:numFmt w:val="decimal"/>
      <w:lvlText w:val="%1.%2.%3.%4.%5.%6."/>
      <w:lvlJc w:val="start"/>
      <w:pPr>
        <w:tabs>
          <w:tab w:val="num" w:pos="0"/>
        </w:tabs>
        <w:ind w:start="2880" w:hanging="1080"/>
      </w:pPr>
      <w:rPr/>
    </w:lvl>
    <w:lvl w:ilvl="6">
      <w:start w:val="1"/>
      <w:numFmt w:val="decimal"/>
      <w:lvlText w:val="%1.%2.%3.%4.%5.%6.%7."/>
      <w:lvlJc w:val="start"/>
      <w:pPr>
        <w:tabs>
          <w:tab w:val="num" w:pos="0"/>
        </w:tabs>
        <w:ind w:start="3600" w:hanging="1440"/>
      </w:pPr>
      <w:rPr/>
    </w:lvl>
    <w:lvl w:ilvl="7">
      <w:start w:val="1"/>
      <w:numFmt w:val="decimal"/>
      <w:lvlText w:val="%1.%2.%3.%4.%5.%6.%7.%8."/>
      <w:lvlJc w:val="start"/>
      <w:pPr>
        <w:tabs>
          <w:tab w:val="num" w:pos="0"/>
        </w:tabs>
        <w:ind w:start="3960" w:hanging="1440"/>
      </w:pPr>
      <w:rPr/>
    </w:lvl>
    <w:lvl w:ilvl="8">
      <w:start w:val="1"/>
      <w:numFmt w:val="decimal"/>
      <w:lvlText w:val="%1.%2.%3.%4.%5.%6.%7.%8.%9."/>
      <w:lvlJc w:val="start"/>
      <w:pPr>
        <w:tabs>
          <w:tab w:val="num" w:pos="0"/>
        </w:tabs>
        <w:ind w:start="4680" w:hanging="1800"/>
      </w:pPr>
      <w:rPr/>
    </w:lvl>
  </w:abstractNum>
  <w:abstractNum w:abstractNumId="5">
    <w:lvl w:ilvl="0">
      <w:start w:val="1"/>
      <w:numFmt w:val="decimal"/>
      <w:lvlText w:val="%1."/>
      <w:lvlJc w:val="start"/>
      <w:pPr>
        <w:tabs>
          <w:tab w:val="num" w:pos="0"/>
        </w:tabs>
        <w:ind w:start="1070" w:hanging="360"/>
      </w:pPr>
      <w:rPr/>
    </w:lvl>
    <w:lvl w:ilvl="1">
      <w:start w:val="1"/>
      <w:numFmt w:val="decimal"/>
      <w:lvlText w:val="%1.%2."/>
      <w:lvlJc w:val="start"/>
      <w:pPr>
        <w:tabs>
          <w:tab w:val="num" w:pos="0"/>
        </w:tabs>
        <w:ind w:start="720" w:hanging="360"/>
      </w:pPr>
      <w:rPr>
        <w:dstrike w:val="false"/>
        <w:strike w:val="false"/>
        <w:sz w:val="24"/>
      </w:rPr>
    </w:lvl>
    <w:lvl w:ilvl="2">
      <w:start w:val="1"/>
      <w:numFmt w:val="decimal"/>
      <w:lvlText w:val="%1.%2.%3."/>
      <w:lvlJc w:val="start"/>
      <w:pPr>
        <w:tabs>
          <w:tab w:val="num" w:pos="0"/>
        </w:tabs>
        <w:ind w:start="1080" w:hanging="720"/>
      </w:pPr>
      <w:rPr/>
    </w:lvl>
    <w:lvl w:ilvl="3">
      <w:start w:val="1"/>
      <w:numFmt w:val="decimal"/>
      <w:lvlText w:val="%1.%2.%3.%4."/>
      <w:lvlJc w:val="start"/>
      <w:pPr>
        <w:tabs>
          <w:tab w:val="num" w:pos="0"/>
        </w:tabs>
        <w:ind w:start="1080" w:hanging="720"/>
      </w:pPr>
      <w:rPr/>
    </w:lvl>
    <w:lvl w:ilvl="4">
      <w:start w:val="1"/>
      <w:numFmt w:val="decimal"/>
      <w:lvlText w:val="%1.%2.%3.%4.%5."/>
      <w:lvlJc w:val="start"/>
      <w:pPr>
        <w:tabs>
          <w:tab w:val="num" w:pos="0"/>
        </w:tabs>
        <w:ind w:start="1440" w:hanging="1080"/>
      </w:pPr>
      <w:rPr/>
    </w:lvl>
    <w:lvl w:ilvl="5">
      <w:start w:val="1"/>
      <w:numFmt w:val="decimal"/>
      <w:lvlText w:val="%1.%2.%3.%4.%5.%6."/>
      <w:lvlJc w:val="start"/>
      <w:pPr>
        <w:tabs>
          <w:tab w:val="num" w:pos="0"/>
        </w:tabs>
        <w:ind w:start="1440" w:hanging="1080"/>
      </w:pPr>
      <w:rPr/>
    </w:lvl>
    <w:lvl w:ilvl="6">
      <w:start w:val="1"/>
      <w:numFmt w:val="decimal"/>
      <w:lvlText w:val="%1.%2.%3.%4.%5.%6.%7."/>
      <w:lvlJc w:val="start"/>
      <w:pPr>
        <w:tabs>
          <w:tab w:val="num" w:pos="0"/>
        </w:tabs>
        <w:ind w:start="1800" w:hanging="1440"/>
      </w:pPr>
      <w:rPr/>
    </w:lvl>
    <w:lvl w:ilvl="7">
      <w:start w:val="1"/>
      <w:numFmt w:val="decimal"/>
      <w:lvlText w:val="%1.%2.%3.%4.%5.%6.%7.%8."/>
      <w:lvlJc w:val="start"/>
      <w:pPr>
        <w:tabs>
          <w:tab w:val="num" w:pos="0"/>
        </w:tabs>
        <w:ind w:start="1800" w:hanging="1440"/>
      </w:pPr>
      <w:rPr/>
    </w:lvl>
    <w:lvl w:ilvl="8">
      <w:start w:val="1"/>
      <w:numFmt w:val="decimal"/>
      <w:lvlText w:val="%1.%2.%3.%4.%5.%6.%7.%8.%9."/>
      <w:lvlJc w:val="start"/>
      <w:pPr>
        <w:tabs>
          <w:tab w:val="num" w:pos="0"/>
        </w:tabs>
        <w:ind w:start="2160" w:hanging="1800"/>
      </w:pPr>
      <w:rPr/>
    </w:lvl>
  </w:abstractNum>
  <w:abstractNum w:abstractNumId="6">
    <w:lvl w:ilvl="0">
      <w:numFmt w:val="bullet"/>
      <w:lvlText w:val="•"/>
      <w:lvlJc w:val="start"/>
      <w:pPr>
        <w:tabs>
          <w:tab w:val="num" w:pos="0"/>
        </w:tabs>
        <w:ind w:start="6364" w:hanging="708"/>
      </w:pPr>
      <w:rPr>
        <w:rFonts w:ascii="Times New Roman" w:hAnsi="Times New Roman" w:cs="Times New Roman" w:hint="default"/>
        <w:sz w:val="28"/>
        <w:spacing w:val="0"/>
        <w:i w:val="false"/>
        <w:b w:val="false"/>
      </w:rPr>
    </w:lvl>
    <w:lvl w:ilvl="1">
      <w:start w:val="0"/>
      <w:numFmt w:val="bullet"/>
      <w:lvlText w:val=""/>
      <w:lvlJc w:val="start"/>
      <w:pPr>
        <w:tabs>
          <w:tab w:val="num" w:pos="0"/>
        </w:tabs>
        <w:ind w:start="7235" w:hanging="708"/>
      </w:pPr>
      <w:rPr>
        <w:rFonts w:ascii="Symbol" w:hAnsi="Symbol" w:cs="Symbol" w:hint="default"/>
      </w:rPr>
    </w:lvl>
    <w:lvl w:ilvl="2">
      <w:start w:val="0"/>
      <w:numFmt w:val="bullet"/>
      <w:lvlText w:val=""/>
      <w:lvlJc w:val="start"/>
      <w:pPr>
        <w:tabs>
          <w:tab w:val="num" w:pos="0"/>
        </w:tabs>
        <w:ind w:start="8114" w:hanging="708"/>
      </w:pPr>
      <w:rPr>
        <w:rFonts w:ascii="Symbol" w:hAnsi="Symbol" w:cs="Symbol" w:hint="default"/>
      </w:rPr>
    </w:lvl>
    <w:lvl w:ilvl="3">
      <w:start w:val="0"/>
      <w:numFmt w:val="bullet"/>
      <w:lvlText w:val=""/>
      <w:lvlJc w:val="start"/>
      <w:pPr>
        <w:tabs>
          <w:tab w:val="num" w:pos="0"/>
        </w:tabs>
        <w:ind w:start="8993" w:hanging="708"/>
      </w:pPr>
      <w:rPr>
        <w:rFonts w:ascii="Symbol" w:hAnsi="Symbol" w:cs="Symbol" w:hint="default"/>
      </w:rPr>
    </w:lvl>
    <w:lvl w:ilvl="4">
      <w:start w:val="0"/>
      <w:numFmt w:val="bullet"/>
      <w:lvlText w:val=""/>
      <w:lvlJc w:val="start"/>
      <w:pPr>
        <w:tabs>
          <w:tab w:val="num" w:pos="0"/>
        </w:tabs>
        <w:ind w:start="9872" w:hanging="708"/>
      </w:pPr>
      <w:rPr>
        <w:rFonts w:ascii="Symbol" w:hAnsi="Symbol" w:cs="Symbol" w:hint="default"/>
      </w:rPr>
    </w:lvl>
    <w:lvl w:ilvl="5">
      <w:start w:val="0"/>
      <w:numFmt w:val="bullet"/>
      <w:lvlText w:val=""/>
      <w:lvlJc w:val="start"/>
      <w:pPr>
        <w:tabs>
          <w:tab w:val="num" w:pos="0"/>
        </w:tabs>
        <w:ind w:start="10752" w:hanging="708"/>
      </w:pPr>
      <w:rPr>
        <w:rFonts w:ascii="Symbol" w:hAnsi="Symbol" w:cs="Symbol" w:hint="default"/>
      </w:rPr>
    </w:lvl>
    <w:lvl w:ilvl="6">
      <w:start w:val="0"/>
      <w:numFmt w:val="bullet"/>
      <w:lvlText w:val=""/>
      <w:lvlJc w:val="start"/>
      <w:pPr>
        <w:tabs>
          <w:tab w:val="num" w:pos="0"/>
        </w:tabs>
        <w:ind w:start="11631" w:hanging="708"/>
      </w:pPr>
      <w:rPr>
        <w:rFonts w:ascii="Symbol" w:hAnsi="Symbol" w:cs="Symbol" w:hint="default"/>
      </w:rPr>
    </w:lvl>
    <w:lvl w:ilvl="7">
      <w:start w:val="0"/>
      <w:numFmt w:val="bullet"/>
      <w:lvlText w:val=""/>
      <w:lvlJc w:val="start"/>
      <w:pPr>
        <w:tabs>
          <w:tab w:val="num" w:pos="0"/>
        </w:tabs>
        <w:ind w:start="12510" w:hanging="708"/>
      </w:pPr>
      <w:rPr>
        <w:rFonts w:ascii="Symbol" w:hAnsi="Symbol" w:cs="Symbol" w:hint="default"/>
      </w:rPr>
    </w:lvl>
    <w:lvl w:ilvl="8">
      <w:start w:val="0"/>
      <w:numFmt w:val="bullet"/>
      <w:lvlText w:val=""/>
      <w:lvlJc w:val="start"/>
      <w:pPr>
        <w:tabs>
          <w:tab w:val="num" w:pos="0"/>
        </w:tabs>
        <w:ind w:start="13389" w:hanging="708"/>
      </w:pPr>
      <w:rPr>
        <w:rFonts w:ascii="Symbol" w:hAnsi="Symbol" w:cs="Symbol" w:hint="default"/>
      </w:rPr>
    </w:lvl>
  </w:abstractNum>
  <w:abstractNum w:abstractNumId="7">
    <w:lvl w:ilvl="0">
      <w:start w:val="1"/>
      <w:numFmt w:val="decimal"/>
      <w:lvlText w:val="%1."/>
      <w:lvlJc w:val="start"/>
      <w:pPr>
        <w:tabs>
          <w:tab w:val="num" w:pos="0"/>
        </w:tabs>
        <w:ind w:start="1" w:hanging="708"/>
      </w:pPr>
      <w:rPr>
        <w:sz w:val="24"/>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8">
    <w:lvl w:ilvl="0">
      <w:start w:val="1"/>
      <w:numFmt w:val="bullet"/>
      <w:lvlText w:val=""/>
      <w:lvlJc w:val="start"/>
      <w:pPr>
        <w:tabs>
          <w:tab w:val="num" w:pos="0"/>
        </w:tabs>
        <w:ind w:start="720" w:hanging="360"/>
      </w:pPr>
      <w:rPr>
        <w:rFonts w:ascii="Symbol" w:hAnsi="Symbol" w:cs="Symbol" w:hint="default"/>
      </w:rPr>
    </w:lvl>
    <w:lvl w:ilvl="1">
      <w:start w:val="1"/>
      <w:numFmt w:val="bullet"/>
      <w:lvlText w:val="o"/>
      <w:lvlJc w:val="start"/>
      <w:pPr>
        <w:tabs>
          <w:tab w:val="num" w:pos="0"/>
        </w:tabs>
        <w:ind w:start="1440" w:hanging="360"/>
      </w:pPr>
      <w:rPr>
        <w:rFonts w:ascii="Courier New" w:hAnsi="Courier New" w:cs="Courier New" w:hint="default"/>
      </w:rPr>
    </w:lvl>
    <w:lvl w:ilvl="2">
      <w:start w:val="1"/>
      <w:numFmt w:val="bullet"/>
      <w:lvlText w:val=""/>
      <w:lvlJc w:val="start"/>
      <w:pPr>
        <w:tabs>
          <w:tab w:val="num" w:pos="0"/>
        </w:tabs>
        <w:ind w:start="2160" w:hanging="360"/>
      </w:pPr>
      <w:rPr>
        <w:rFonts w:ascii="Wingdings" w:hAnsi="Wingdings" w:cs="Wingdings" w:hint="default"/>
      </w:rPr>
    </w:lvl>
    <w:lvl w:ilvl="3">
      <w:start w:val="1"/>
      <w:numFmt w:val="bullet"/>
      <w:lvlText w:val=""/>
      <w:lvlJc w:val="start"/>
      <w:pPr>
        <w:tabs>
          <w:tab w:val="num" w:pos="0"/>
        </w:tabs>
        <w:ind w:start="2880" w:hanging="360"/>
      </w:pPr>
      <w:rPr>
        <w:rFonts w:ascii="Symbol" w:hAnsi="Symbol" w:cs="Symbol" w:hint="default"/>
      </w:rPr>
    </w:lvl>
    <w:lvl w:ilvl="4">
      <w:start w:val="1"/>
      <w:numFmt w:val="bullet"/>
      <w:lvlText w:val="o"/>
      <w:lvlJc w:val="start"/>
      <w:pPr>
        <w:tabs>
          <w:tab w:val="num" w:pos="0"/>
        </w:tabs>
        <w:ind w:start="3600" w:hanging="360"/>
      </w:pPr>
      <w:rPr>
        <w:rFonts w:ascii="Courier New" w:hAnsi="Courier New" w:cs="Courier New" w:hint="default"/>
      </w:rPr>
    </w:lvl>
    <w:lvl w:ilvl="5">
      <w:start w:val="1"/>
      <w:numFmt w:val="bullet"/>
      <w:lvlText w:val=""/>
      <w:lvlJc w:val="start"/>
      <w:pPr>
        <w:tabs>
          <w:tab w:val="num" w:pos="0"/>
        </w:tabs>
        <w:ind w:start="4320" w:hanging="360"/>
      </w:pPr>
      <w:rPr>
        <w:rFonts w:ascii="Wingdings" w:hAnsi="Wingdings" w:cs="Wingdings" w:hint="default"/>
      </w:rPr>
    </w:lvl>
    <w:lvl w:ilvl="6">
      <w:start w:val="1"/>
      <w:numFmt w:val="bullet"/>
      <w:lvlText w:val=""/>
      <w:lvlJc w:val="start"/>
      <w:pPr>
        <w:tabs>
          <w:tab w:val="num" w:pos="0"/>
        </w:tabs>
        <w:ind w:start="5040" w:hanging="360"/>
      </w:pPr>
      <w:rPr>
        <w:rFonts w:ascii="Symbol" w:hAnsi="Symbol" w:cs="Symbol" w:hint="default"/>
      </w:rPr>
    </w:lvl>
    <w:lvl w:ilvl="7">
      <w:start w:val="1"/>
      <w:numFmt w:val="bullet"/>
      <w:lvlText w:val="o"/>
      <w:lvlJc w:val="start"/>
      <w:pPr>
        <w:tabs>
          <w:tab w:val="num" w:pos="0"/>
        </w:tabs>
        <w:ind w:start="5760" w:hanging="360"/>
      </w:pPr>
      <w:rPr>
        <w:rFonts w:ascii="Courier New" w:hAnsi="Courier New" w:cs="Courier New" w:hint="default"/>
      </w:rPr>
    </w:lvl>
    <w:lvl w:ilvl="8">
      <w:start w:val="1"/>
      <w:numFmt w:val="bullet"/>
      <w:lvlText w:val=""/>
      <w:lvlJc w:val="start"/>
      <w:pPr>
        <w:tabs>
          <w:tab w:val="num" w:pos="0"/>
        </w:tabs>
        <w:ind w:start="6480" w:hanging="360"/>
      </w:pPr>
      <w:rPr>
        <w:rFonts w:ascii="Wingdings" w:hAnsi="Wingdings" w:cs="Wingdings" w:hint="default"/>
      </w:rPr>
    </w:lvl>
  </w:abstractNum>
  <w:abstractNum w:abstractNumId="9">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10">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11">
    <w:lvl w:ilvl="0">
      <w:start w:val="1"/>
      <w:numFmt w:val="decimal"/>
      <w:lvlText w:val="%1."/>
      <w:lvlJc w:val="start"/>
      <w:pPr>
        <w:tabs>
          <w:tab w:val="num" w:pos="0"/>
        </w:tabs>
        <w:ind w:start="1" w:hanging="708"/>
      </w:pPr>
      <w:rPr>
        <w:sz w:val="28"/>
        <w:spacing w:val="0"/>
        <w:i w:val="false"/>
        <w:b w:val="false"/>
        <w:rFonts w:ascii="Times New Roman" w:hAnsi="Times New Roman"/>
      </w:rPr>
    </w:lvl>
    <w:lvl w:ilvl="1">
      <w:start w:val="0"/>
      <w:numFmt w:val="bullet"/>
      <w:lvlText w:val="•"/>
      <w:lvlJc w:val="start"/>
      <w:pPr>
        <w:tabs>
          <w:tab w:val="num" w:pos="0"/>
        </w:tabs>
        <w:ind w:start="708" w:hanging="708"/>
      </w:pPr>
      <w:rPr>
        <w:rFonts w:ascii="Times New Roman" w:hAnsi="Times New Roman" w:cs="Times New Roman" w:hint="default"/>
        <w:sz w:val="28"/>
        <w:spacing w:val="0"/>
        <w:i w:val="false"/>
        <w:b w:val="false"/>
      </w:rPr>
    </w:lvl>
    <w:lvl w:ilvl="2">
      <w:start w:val="0"/>
      <w:numFmt w:val="bullet"/>
      <w:lvlText w:val=""/>
      <w:lvlJc w:val="start"/>
      <w:pPr>
        <w:tabs>
          <w:tab w:val="num" w:pos="0"/>
        </w:tabs>
        <w:ind w:start="1676" w:hanging="708"/>
      </w:pPr>
      <w:rPr>
        <w:rFonts w:ascii="Symbol" w:hAnsi="Symbol" w:cs="Symbol" w:hint="default"/>
      </w:rPr>
    </w:lvl>
    <w:lvl w:ilvl="3">
      <w:start w:val="0"/>
      <w:numFmt w:val="bullet"/>
      <w:lvlText w:val=""/>
      <w:lvlJc w:val="start"/>
      <w:pPr>
        <w:tabs>
          <w:tab w:val="num" w:pos="0"/>
        </w:tabs>
        <w:ind w:start="2653" w:hanging="708"/>
      </w:pPr>
      <w:rPr>
        <w:rFonts w:ascii="Symbol" w:hAnsi="Symbol" w:cs="Symbol" w:hint="default"/>
      </w:rPr>
    </w:lvl>
    <w:lvl w:ilvl="4">
      <w:start w:val="0"/>
      <w:numFmt w:val="bullet"/>
      <w:lvlText w:val=""/>
      <w:lvlJc w:val="start"/>
      <w:pPr>
        <w:tabs>
          <w:tab w:val="num" w:pos="0"/>
        </w:tabs>
        <w:ind w:start="3630" w:hanging="708"/>
      </w:pPr>
      <w:rPr>
        <w:rFonts w:ascii="Symbol" w:hAnsi="Symbol" w:cs="Symbol" w:hint="default"/>
      </w:rPr>
    </w:lvl>
    <w:lvl w:ilvl="5">
      <w:start w:val="0"/>
      <w:numFmt w:val="bullet"/>
      <w:lvlText w:val=""/>
      <w:lvlJc w:val="start"/>
      <w:pPr>
        <w:tabs>
          <w:tab w:val="num" w:pos="0"/>
        </w:tabs>
        <w:ind w:start="4607" w:hanging="708"/>
      </w:pPr>
      <w:rPr>
        <w:rFonts w:ascii="Symbol" w:hAnsi="Symbol" w:cs="Symbol" w:hint="default"/>
      </w:rPr>
    </w:lvl>
    <w:lvl w:ilvl="6">
      <w:start w:val="0"/>
      <w:numFmt w:val="bullet"/>
      <w:lvlText w:val=""/>
      <w:lvlJc w:val="start"/>
      <w:pPr>
        <w:tabs>
          <w:tab w:val="num" w:pos="0"/>
        </w:tabs>
        <w:ind w:start="5584" w:hanging="708"/>
      </w:pPr>
      <w:rPr>
        <w:rFonts w:ascii="Symbol" w:hAnsi="Symbol" w:cs="Symbol" w:hint="default"/>
      </w:rPr>
    </w:lvl>
    <w:lvl w:ilvl="7">
      <w:start w:val="0"/>
      <w:numFmt w:val="bullet"/>
      <w:lvlText w:val=""/>
      <w:lvlJc w:val="start"/>
      <w:pPr>
        <w:tabs>
          <w:tab w:val="num" w:pos="0"/>
        </w:tabs>
        <w:ind w:start="6561" w:hanging="708"/>
      </w:pPr>
      <w:rPr>
        <w:rFonts w:ascii="Symbol" w:hAnsi="Symbol" w:cs="Symbol" w:hint="default"/>
      </w:rPr>
    </w:lvl>
    <w:lvl w:ilvl="8">
      <w:start w:val="0"/>
      <w:numFmt w:val="bullet"/>
      <w:lvlText w:val=""/>
      <w:lvlJc w:val="start"/>
      <w:pPr>
        <w:tabs>
          <w:tab w:val="num" w:pos="0"/>
        </w:tabs>
        <w:ind w:start="7538" w:hanging="708"/>
      </w:pPr>
      <w:rPr>
        <w:rFonts w:ascii="Symbol" w:hAnsi="Symbol" w:cs="Symbol" w:hint="default"/>
      </w:rPr>
    </w:lvl>
  </w:abstractNum>
  <w:abstractNum w:abstractNumId="12">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3">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4">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5">
    <w:lvl w:ilvl="0">
      <w:numFmt w:val="decimal"/>
      <w:lvlText w:val=""/>
      <w:lvlJc w:val="start"/>
      <w:pPr>
        <w:tabs>
          <w:tab w:val="num" w:pos="0"/>
        </w:tabs>
        <w:ind w:start="0" w:hanging="0"/>
      </w:pPr>
      <w:rPr/>
    </w:lvl>
    <w:lvl w:ilvl="1">
      <w:start w:val="0"/>
      <w:numFmt w:val="decimal"/>
      <w:lvlText w:val=""/>
      <w:lvlJc w:val="start"/>
      <w:pPr>
        <w:tabs>
          <w:tab w:val="num" w:pos="0"/>
        </w:tabs>
        <w:ind w:start="0" w:hanging="0"/>
      </w:pPr>
      <w:rPr/>
    </w:lvl>
    <w:lvl w:ilvl="2">
      <w:start w:val="0"/>
      <w:numFmt w:val="decimal"/>
      <w:lvlText w:val=""/>
      <w:lvlJc w:val="start"/>
      <w:pPr>
        <w:tabs>
          <w:tab w:val="num" w:pos="0"/>
        </w:tabs>
        <w:ind w:start="0" w:hanging="0"/>
      </w:pPr>
      <w:rPr/>
    </w:lvl>
    <w:lvl w:ilvl="3">
      <w:start w:val="0"/>
      <w:numFmt w:val="decimal"/>
      <w:lvlText w:val=""/>
      <w:lvlJc w:val="start"/>
      <w:pPr>
        <w:tabs>
          <w:tab w:val="num" w:pos="0"/>
        </w:tabs>
        <w:ind w:start="0" w:hanging="0"/>
      </w:pPr>
      <w:rPr/>
    </w:lvl>
    <w:lvl w:ilvl="4">
      <w:start w:val="0"/>
      <w:numFmt w:val="decimal"/>
      <w:lvlText w:val=""/>
      <w:lvlJc w:val="start"/>
      <w:pPr>
        <w:tabs>
          <w:tab w:val="num" w:pos="0"/>
        </w:tabs>
        <w:ind w:start="0" w:hanging="0"/>
      </w:pPr>
      <w:rPr/>
    </w:lvl>
    <w:lvl w:ilvl="5">
      <w:start w:val="0"/>
      <w:numFmt w:val="decimal"/>
      <w:lvlText w:val=""/>
      <w:lvlJc w:val="start"/>
      <w:pPr>
        <w:tabs>
          <w:tab w:val="num" w:pos="0"/>
        </w:tabs>
        <w:ind w:start="0" w:hanging="0"/>
      </w:pPr>
      <w:rPr/>
    </w:lvl>
    <w:lvl w:ilvl="6">
      <w:start w:val="0"/>
      <w:numFmt w:val="decimal"/>
      <w:lvlText w:val=""/>
      <w:lvlJc w:val="start"/>
      <w:pPr>
        <w:tabs>
          <w:tab w:val="num" w:pos="0"/>
        </w:tabs>
        <w:ind w:start="0" w:hanging="0"/>
      </w:pPr>
      <w:rPr/>
    </w:lvl>
    <w:lvl w:ilvl="7">
      <w:start w:val="0"/>
      <w:numFmt w:val="decimal"/>
      <w:lvlText w:val=""/>
      <w:lvlJc w:val="start"/>
      <w:pPr>
        <w:tabs>
          <w:tab w:val="num" w:pos="0"/>
        </w:tabs>
        <w:ind w:start="0" w:hanging="0"/>
      </w:pPr>
      <w:rPr/>
    </w:lvl>
    <w:lvl w:ilvl="8">
      <w:start w:val="0"/>
      <w:numFmt w:val="decimal"/>
      <w:lvlText w:val=""/>
      <w:lvlJc w:val="start"/>
      <w:pPr>
        <w:tabs>
          <w:tab w:val="num" w:pos="0"/>
        </w:tabs>
        <w:ind w:start="0" w:hanging="0"/>
      </w:pPr>
      <w:rPr/>
    </w:lvl>
  </w:abstractNum>
  <w:abstractNum w:abstractNumId="16">
    <w:lvl w:ilvl="0">
      <w:start w:val="2"/>
      <w:numFmt w:val="lowerLetter"/>
      <w:lvlText w:val="%1."/>
      <w:lvlJc w:val="start"/>
      <w:pPr>
        <w:tabs>
          <w:tab w:val="num" w:pos="0"/>
        </w:tabs>
        <w:ind w:start="735" w:hanging="360"/>
      </w:pPr>
      <w:rPr/>
    </w:lvl>
    <w:lvl w:ilvl="1">
      <w:start w:val="1"/>
      <w:numFmt w:val="lowerLetter"/>
      <w:lvlText w:val="%2."/>
      <w:lvlJc w:val="start"/>
      <w:pPr>
        <w:tabs>
          <w:tab w:val="num" w:pos="0"/>
        </w:tabs>
        <w:ind w:start="1455" w:hanging="360"/>
      </w:pPr>
      <w:rPr/>
    </w:lvl>
    <w:lvl w:ilvl="2">
      <w:start w:val="1"/>
      <w:numFmt w:val="lowerRoman"/>
      <w:lvlText w:val="%3."/>
      <w:lvlJc w:val="end"/>
      <w:pPr>
        <w:tabs>
          <w:tab w:val="num" w:pos="0"/>
        </w:tabs>
        <w:ind w:start="2175" w:hanging="180"/>
      </w:pPr>
      <w:rPr/>
    </w:lvl>
    <w:lvl w:ilvl="3">
      <w:start w:val="1"/>
      <w:numFmt w:val="decimal"/>
      <w:lvlText w:val="%4."/>
      <w:lvlJc w:val="start"/>
      <w:pPr>
        <w:tabs>
          <w:tab w:val="num" w:pos="0"/>
        </w:tabs>
        <w:ind w:start="2895" w:hanging="360"/>
      </w:pPr>
      <w:rPr/>
    </w:lvl>
    <w:lvl w:ilvl="4">
      <w:start w:val="1"/>
      <w:numFmt w:val="lowerLetter"/>
      <w:lvlText w:val="%5."/>
      <w:lvlJc w:val="start"/>
      <w:pPr>
        <w:tabs>
          <w:tab w:val="num" w:pos="0"/>
        </w:tabs>
        <w:ind w:start="3615" w:hanging="360"/>
      </w:pPr>
      <w:rPr/>
    </w:lvl>
    <w:lvl w:ilvl="5">
      <w:start w:val="1"/>
      <w:numFmt w:val="lowerRoman"/>
      <w:lvlText w:val="%6."/>
      <w:lvlJc w:val="end"/>
      <w:pPr>
        <w:tabs>
          <w:tab w:val="num" w:pos="0"/>
        </w:tabs>
        <w:ind w:start="4335" w:hanging="180"/>
      </w:pPr>
      <w:rPr/>
    </w:lvl>
    <w:lvl w:ilvl="6">
      <w:start w:val="1"/>
      <w:numFmt w:val="decimal"/>
      <w:lvlText w:val="%7."/>
      <w:lvlJc w:val="start"/>
      <w:pPr>
        <w:tabs>
          <w:tab w:val="num" w:pos="0"/>
        </w:tabs>
        <w:ind w:start="5055" w:hanging="360"/>
      </w:pPr>
      <w:rPr/>
    </w:lvl>
    <w:lvl w:ilvl="7">
      <w:start w:val="1"/>
      <w:numFmt w:val="lowerLetter"/>
      <w:lvlText w:val="%8."/>
      <w:lvlJc w:val="start"/>
      <w:pPr>
        <w:tabs>
          <w:tab w:val="num" w:pos="0"/>
        </w:tabs>
        <w:ind w:start="5775" w:hanging="360"/>
      </w:pPr>
      <w:rPr/>
    </w:lvl>
    <w:lvl w:ilvl="8">
      <w:start w:val="1"/>
      <w:numFmt w:val="lowerRoman"/>
      <w:lvlText w:val="%9."/>
      <w:lvlJc w:val="end"/>
      <w:pPr>
        <w:tabs>
          <w:tab w:val="num" w:pos="0"/>
        </w:tabs>
        <w:ind w:start="6495" w:hanging="180"/>
      </w:pPr>
      <w:rPr/>
    </w:lvl>
  </w:abstractNum>
  <w:abstractNum w:abstractNumId="17">
    <w:lvl w:ilvl="0">
      <w:start w:val="1"/>
      <w:numFmt w:val="russianLower"/>
      <w:lvlText w:val="%1."/>
      <w:lvlJc w:val="start"/>
      <w:pPr>
        <w:tabs>
          <w:tab w:val="num" w:pos="0"/>
        </w:tabs>
        <w:ind w:start="2160" w:hanging="360"/>
      </w:pPr>
      <w:rPr/>
    </w:lvl>
    <w:lvl w:ilvl="1">
      <w:start w:val="1"/>
      <w:numFmt w:val="lowerLetter"/>
      <w:lvlText w:val="%2."/>
      <w:lvlJc w:val="start"/>
      <w:pPr>
        <w:tabs>
          <w:tab w:val="num" w:pos="0"/>
        </w:tabs>
        <w:ind w:start="2880" w:hanging="360"/>
      </w:pPr>
      <w:rPr/>
    </w:lvl>
    <w:lvl w:ilvl="2">
      <w:start w:val="1"/>
      <w:numFmt w:val="lowerRoman"/>
      <w:lvlText w:val="%3."/>
      <w:lvlJc w:val="end"/>
      <w:pPr>
        <w:tabs>
          <w:tab w:val="num" w:pos="0"/>
        </w:tabs>
        <w:ind w:start="3600" w:hanging="180"/>
      </w:pPr>
      <w:rPr/>
    </w:lvl>
    <w:lvl w:ilvl="3">
      <w:start w:val="1"/>
      <w:numFmt w:val="decimal"/>
      <w:lvlText w:val="%4."/>
      <w:lvlJc w:val="start"/>
      <w:pPr>
        <w:tabs>
          <w:tab w:val="num" w:pos="0"/>
        </w:tabs>
        <w:ind w:start="4320" w:hanging="360"/>
      </w:pPr>
      <w:rPr/>
    </w:lvl>
    <w:lvl w:ilvl="4">
      <w:start w:val="1"/>
      <w:numFmt w:val="lowerLetter"/>
      <w:lvlText w:val="%5."/>
      <w:lvlJc w:val="start"/>
      <w:pPr>
        <w:tabs>
          <w:tab w:val="num" w:pos="0"/>
        </w:tabs>
        <w:ind w:start="5040" w:hanging="360"/>
      </w:pPr>
      <w:rPr/>
    </w:lvl>
    <w:lvl w:ilvl="5">
      <w:start w:val="1"/>
      <w:numFmt w:val="lowerRoman"/>
      <w:lvlText w:val="%6."/>
      <w:lvlJc w:val="end"/>
      <w:pPr>
        <w:tabs>
          <w:tab w:val="num" w:pos="0"/>
        </w:tabs>
        <w:ind w:start="5760" w:hanging="180"/>
      </w:pPr>
      <w:rPr/>
    </w:lvl>
    <w:lvl w:ilvl="6">
      <w:start w:val="1"/>
      <w:numFmt w:val="decimal"/>
      <w:lvlText w:val="%7."/>
      <w:lvlJc w:val="start"/>
      <w:pPr>
        <w:tabs>
          <w:tab w:val="num" w:pos="0"/>
        </w:tabs>
        <w:ind w:start="6480" w:hanging="360"/>
      </w:pPr>
      <w:rPr/>
    </w:lvl>
    <w:lvl w:ilvl="7">
      <w:start w:val="1"/>
      <w:numFmt w:val="lowerLetter"/>
      <w:lvlText w:val="%8."/>
      <w:lvlJc w:val="start"/>
      <w:pPr>
        <w:tabs>
          <w:tab w:val="num" w:pos="0"/>
        </w:tabs>
        <w:ind w:start="7200" w:hanging="360"/>
      </w:pPr>
      <w:rPr/>
    </w:lvl>
    <w:lvl w:ilvl="8">
      <w:start w:val="1"/>
      <w:numFmt w:val="lowerRoman"/>
      <w:lvlText w:val="%9."/>
      <w:lvlJc w:val="end"/>
      <w:pPr>
        <w:tabs>
          <w:tab w:val="num" w:pos="0"/>
        </w:tabs>
        <w:ind w:start="7920" w:hanging="180"/>
      </w:pPr>
      <w:rPr/>
    </w:lvl>
  </w:abstractNum>
  <w:abstractNum w:abstractNumId="18">
    <w:lvl w:ilvl="0">
      <w:start w:val="1"/>
      <w:numFmt w:val="russianLower"/>
      <w:lvlText w:val="%1."/>
      <w:lvlJc w:val="start"/>
      <w:pPr>
        <w:tabs>
          <w:tab w:val="num" w:pos="0"/>
        </w:tabs>
        <w:ind w:start="1347" w:hanging="360"/>
      </w:pPr>
      <w:rPr/>
    </w:lvl>
    <w:lvl w:ilvl="1">
      <w:start w:val="1"/>
      <w:numFmt w:val="lowerLetter"/>
      <w:lvlText w:val="%2."/>
      <w:lvlJc w:val="start"/>
      <w:pPr>
        <w:tabs>
          <w:tab w:val="num" w:pos="0"/>
        </w:tabs>
        <w:ind w:start="2062" w:hanging="360"/>
      </w:pPr>
      <w:rPr/>
    </w:lvl>
    <w:lvl w:ilvl="2">
      <w:start w:val="1"/>
      <w:numFmt w:val="lowerRoman"/>
      <w:lvlText w:val="%3."/>
      <w:lvlJc w:val="end"/>
      <w:pPr>
        <w:tabs>
          <w:tab w:val="num" w:pos="0"/>
        </w:tabs>
        <w:ind w:start="2787" w:hanging="180"/>
      </w:pPr>
      <w:rPr/>
    </w:lvl>
    <w:lvl w:ilvl="3">
      <w:start w:val="1"/>
      <w:numFmt w:val="decimal"/>
      <w:lvlText w:val="%4."/>
      <w:lvlJc w:val="start"/>
      <w:pPr>
        <w:tabs>
          <w:tab w:val="num" w:pos="0"/>
        </w:tabs>
        <w:ind w:start="3507" w:hanging="360"/>
      </w:pPr>
      <w:rPr/>
    </w:lvl>
    <w:lvl w:ilvl="4">
      <w:start w:val="1"/>
      <w:numFmt w:val="lowerLetter"/>
      <w:lvlText w:val="%5."/>
      <w:lvlJc w:val="start"/>
      <w:pPr>
        <w:tabs>
          <w:tab w:val="num" w:pos="0"/>
        </w:tabs>
        <w:ind w:start="4227" w:hanging="360"/>
      </w:pPr>
      <w:rPr/>
    </w:lvl>
    <w:lvl w:ilvl="5">
      <w:start w:val="1"/>
      <w:numFmt w:val="lowerRoman"/>
      <w:lvlText w:val="%6."/>
      <w:lvlJc w:val="end"/>
      <w:pPr>
        <w:tabs>
          <w:tab w:val="num" w:pos="0"/>
        </w:tabs>
        <w:ind w:start="4947" w:hanging="180"/>
      </w:pPr>
      <w:rPr/>
    </w:lvl>
    <w:lvl w:ilvl="6">
      <w:start w:val="1"/>
      <w:numFmt w:val="decimal"/>
      <w:lvlText w:val="%7."/>
      <w:lvlJc w:val="start"/>
      <w:pPr>
        <w:tabs>
          <w:tab w:val="num" w:pos="0"/>
        </w:tabs>
        <w:ind w:start="5667" w:hanging="360"/>
      </w:pPr>
      <w:rPr/>
    </w:lvl>
    <w:lvl w:ilvl="7">
      <w:start w:val="1"/>
      <w:numFmt w:val="lowerLetter"/>
      <w:lvlText w:val="%8."/>
      <w:lvlJc w:val="start"/>
      <w:pPr>
        <w:tabs>
          <w:tab w:val="num" w:pos="0"/>
        </w:tabs>
        <w:ind w:start="6387" w:hanging="360"/>
      </w:pPr>
      <w:rPr/>
    </w:lvl>
    <w:lvl w:ilvl="8">
      <w:start w:val="1"/>
      <w:numFmt w:val="lowerRoman"/>
      <w:lvlText w:val="%9."/>
      <w:lvlJc w:val="end"/>
      <w:pPr>
        <w:tabs>
          <w:tab w:val="num" w:pos="0"/>
        </w:tabs>
        <w:ind w:start="7107" w:hanging="180"/>
      </w:pPr>
      <w:rPr/>
    </w:lvl>
  </w:abstractNum>
  <w:abstractNum w:abstractNumId="19">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ahoma" w:cs="Noto Sans"/>
        <w:color w:val="000000"/>
        <w:sz w:val="24"/>
        <w:lang w:val="ru-RU" w:eastAsia="zh-CN" w:bidi="hi-IN"/>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val="false"/>
      <w:suppressAutoHyphens w:val="true"/>
      <w:bidi w:val="0"/>
      <w:spacing w:before="0" w:after="0"/>
      <w:jc w:val="start"/>
    </w:pPr>
    <w:rPr>
      <w:rFonts w:ascii="Times New Roman" w:hAnsi="Times New Roman" w:eastAsia="Tahoma" w:cs="Noto Sans"/>
      <w:color w:val="000000"/>
      <w:kern w:val="0"/>
      <w:sz w:val="20"/>
      <w:szCs w:val="20"/>
      <w:lang w:val="ru-RU" w:eastAsia="zh-CN" w:bidi="hi-IN"/>
    </w:rPr>
  </w:style>
  <w:style w:type="paragraph" w:styleId="Heading1">
    <w:name w:val="heading 1"/>
    <w:next w:val="Normal"/>
    <w:uiPriority w:val="9"/>
    <w:qFormat/>
    <w:pPr>
      <w:widowControl/>
      <w:suppressAutoHyphens w:val="true"/>
      <w:bidi w:val="0"/>
      <w:spacing w:before="120" w:after="120"/>
      <w:jc w:val="both"/>
      <w:outlineLvl w:val="0"/>
    </w:pPr>
    <w:rPr>
      <w:rFonts w:ascii="XO Thames" w:hAnsi="XO Thames" w:eastAsia="Tahoma" w:cs="Noto Sans"/>
      <w:b/>
      <w:color w:val="000000"/>
      <w:kern w:val="0"/>
      <w:sz w:val="32"/>
      <w:szCs w:val="20"/>
      <w:lang w:val="ru-RU" w:eastAsia="zh-CN" w:bidi="hi-IN"/>
    </w:rPr>
  </w:style>
  <w:style w:type="paragraph" w:styleId="Heading2">
    <w:name w:val="heading 2"/>
    <w:next w:val="Normal"/>
    <w:uiPriority w:val="9"/>
    <w:qFormat/>
    <w:pPr>
      <w:widowControl/>
      <w:suppressAutoHyphens w:val="true"/>
      <w:bidi w:val="0"/>
      <w:spacing w:before="120" w:after="120"/>
      <w:jc w:val="both"/>
      <w:outlineLvl w:val="1"/>
    </w:pPr>
    <w:rPr>
      <w:rFonts w:ascii="XO Thames" w:hAnsi="XO Thames" w:eastAsia="Tahoma" w:cs="Noto Sans"/>
      <w:b/>
      <w:color w:val="000000"/>
      <w:kern w:val="0"/>
      <w:sz w:val="28"/>
      <w:szCs w:val="20"/>
      <w:lang w:val="ru-RU" w:eastAsia="zh-CN" w:bidi="hi-IN"/>
    </w:rPr>
  </w:style>
  <w:style w:type="paragraph" w:styleId="Heading3">
    <w:name w:val="heading 3"/>
    <w:next w:val="Normal"/>
    <w:uiPriority w:val="9"/>
    <w:qFormat/>
    <w:pPr>
      <w:widowControl/>
      <w:suppressAutoHyphens w:val="true"/>
      <w:bidi w:val="0"/>
      <w:spacing w:before="120" w:after="120"/>
      <w:jc w:val="both"/>
      <w:outlineLvl w:val="2"/>
    </w:pPr>
    <w:rPr>
      <w:rFonts w:ascii="XO Thames" w:hAnsi="XO Thames" w:eastAsia="Tahoma" w:cs="Noto Sans"/>
      <w:b/>
      <w:color w:val="000000"/>
      <w:kern w:val="0"/>
      <w:sz w:val="26"/>
      <w:szCs w:val="20"/>
      <w:lang w:val="ru-RU" w:eastAsia="zh-CN" w:bidi="hi-IN"/>
    </w:rPr>
  </w:style>
  <w:style w:type="paragraph" w:styleId="Heading4">
    <w:name w:val="heading 4"/>
    <w:next w:val="Normal"/>
    <w:uiPriority w:val="9"/>
    <w:qFormat/>
    <w:pPr>
      <w:widowControl/>
      <w:suppressAutoHyphens w:val="true"/>
      <w:bidi w:val="0"/>
      <w:spacing w:before="120" w:after="120"/>
      <w:jc w:val="both"/>
      <w:outlineLvl w:val="3"/>
    </w:pPr>
    <w:rPr>
      <w:rFonts w:ascii="XO Thames" w:hAnsi="XO Thames" w:eastAsia="Tahoma" w:cs="Noto Sans"/>
      <w:b/>
      <w:color w:val="000000"/>
      <w:kern w:val="0"/>
      <w:sz w:val="24"/>
      <w:szCs w:val="20"/>
      <w:lang w:val="ru-RU" w:eastAsia="zh-CN" w:bidi="hi-IN"/>
    </w:rPr>
  </w:style>
  <w:style w:type="paragraph" w:styleId="Heading5">
    <w:name w:val="heading 5"/>
    <w:next w:val="Normal"/>
    <w:uiPriority w:val="9"/>
    <w:qFormat/>
    <w:pPr>
      <w:widowControl/>
      <w:suppressAutoHyphens w:val="true"/>
      <w:bidi w:val="0"/>
      <w:spacing w:before="120" w:after="120"/>
      <w:jc w:val="both"/>
      <w:outlineLvl w:val="4"/>
    </w:pPr>
    <w:rPr>
      <w:rFonts w:ascii="XO Thames" w:hAnsi="XO Thames" w:eastAsia="Tahoma" w:cs="Noto Sans"/>
      <w:b/>
      <w:color w:val="000000"/>
      <w:kern w:val="0"/>
      <w:sz w:val="22"/>
      <w:szCs w:val="20"/>
      <w:lang w:val="ru-RU" w:eastAsia="zh-CN" w:bidi="hi-IN"/>
    </w:rPr>
  </w:style>
  <w:style w:type="character" w:styleId="DefaultParagraphFont" w:default="1">
    <w:name w:val="Default Paragraph Font"/>
    <w:uiPriority w:val="1"/>
    <w:semiHidden/>
    <w:unhideWhenUsed/>
    <w:qFormat/>
    <w:rPr/>
  </w:style>
  <w:style w:type="character" w:styleId="Contents2" w:customStyle="1">
    <w:name w:val="Contents 2"/>
    <w:qFormat/>
    <w:rPr>
      <w:rFonts w:ascii="XO Thames" w:hAnsi="XO Thames"/>
      <w:sz w:val="28"/>
    </w:rPr>
  </w:style>
  <w:style w:type="character" w:styleId="Marginalia" w:customStyle="1">
    <w:name w:val="Marginalia"/>
    <w:qFormat/>
    <w:rPr/>
  </w:style>
  <w:style w:type="character" w:styleId="Contents4" w:customStyle="1">
    <w:name w:val="Contents 4"/>
    <w:qFormat/>
    <w:rPr>
      <w:rFonts w:ascii="XO Thames" w:hAnsi="XO Thames"/>
      <w:sz w:val="28"/>
    </w:rPr>
  </w:style>
  <w:style w:type="character" w:styleId="Textbody" w:customStyle="1">
    <w:name w:val="Text body"/>
    <w:qFormat/>
    <w:rPr>
      <w:color w:val="000000"/>
      <w:sz w:val="28"/>
    </w:rPr>
  </w:style>
  <w:style w:type="character" w:styleId="Contents6" w:customStyle="1">
    <w:name w:val="Contents 6"/>
    <w:qFormat/>
    <w:rPr>
      <w:rFonts w:ascii="XO Thames" w:hAnsi="XO Thames"/>
      <w:sz w:val="28"/>
    </w:rPr>
  </w:style>
  <w:style w:type="character" w:styleId="Contents7" w:customStyle="1">
    <w:name w:val="Contents 7"/>
    <w:qFormat/>
    <w:rPr>
      <w:rFonts w:ascii="XO Thames" w:hAnsi="XO Thames"/>
      <w:sz w:val="28"/>
    </w:rPr>
  </w:style>
  <w:style w:type="character" w:styleId="Endnote" w:customStyle="1">
    <w:name w:val="Endnote"/>
    <w:link w:val="Endnote1"/>
    <w:qFormat/>
    <w:rPr>
      <w:rFonts w:ascii="XO Thames" w:hAnsi="XO Thames"/>
      <w:sz w:val="22"/>
    </w:rPr>
  </w:style>
  <w:style w:type="character" w:styleId="Heading31" w:customStyle="1">
    <w:name w:val="Heading 31"/>
    <w:qFormat/>
    <w:rPr>
      <w:rFonts w:ascii="XO Thames" w:hAnsi="XO Thames"/>
      <w:b/>
      <w:sz w:val="26"/>
    </w:rPr>
  </w:style>
  <w:style w:type="character" w:styleId="Header1" w:customStyle="1">
    <w:name w:val="Header1"/>
    <w:qFormat/>
    <w:rPr/>
  </w:style>
  <w:style w:type="character" w:styleId="2Exact" w:customStyle="1">
    <w:name w:val="Основной текст (2) Exact"/>
    <w:link w:val="2Exact1"/>
    <w:qFormat/>
    <w:rPr>
      <w:rFonts w:ascii="Calibri" w:hAnsi="Calibri" w:asciiTheme="minorHAnsi" w:hAnsiTheme="minorHAnsi"/>
      <w:b/>
      <w:color w:val="000000"/>
      <w:spacing w:val="3"/>
      <w:sz w:val="13"/>
    </w:rPr>
  </w:style>
  <w:style w:type="character" w:styleId="1" w:customStyle="1">
    <w:name w:val="Тема примечания1"/>
    <w:basedOn w:val="Marginalia"/>
    <w:link w:val="annotationsubject1"/>
    <w:qFormat/>
    <w:rPr>
      <w:b/>
    </w:rPr>
  </w:style>
  <w:style w:type="character" w:styleId="Contents3" w:customStyle="1">
    <w:name w:val="Contents 3"/>
    <w:qFormat/>
    <w:rPr>
      <w:rFonts w:ascii="XO Thames" w:hAnsi="XO Thames"/>
      <w:sz w:val="28"/>
    </w:rPr>
  </w:style>
  <w:style w:type="character" w:styleId="11" w:customStyle="1">
    <w:name w:val="Номер страницы1"/>
    <w:link w:val="111"/>
    <w:qFormat/>
    <w:rPr>
      <w:rFonts w:ascii="Calibri" w:hAnsi="Calibri" w:asciiTheme="minorHAnsi" w:hAnsiTheme="minorHAnsi"/>
      <w:sz w:val="22"/>
    </w:rPr>
  </w:style>
  <w:style w:type="character" w:styleId="Heading51" w:customStyle="1">
    <w:name w:val="Heading 51"/>
    <w:qFormat/>
    <w:rPr>
      <w:rFonts w:ascii="XO Thames" w:hAnsi="XO Thames"/>
      <w:b/>
      <w:sz w:val="22"/>
    </w:rPr>
  </w:style>
  <w:style w:type="character" w:styleId="Heading11" w:customStyle="1">
    <w:name w:val="Heading 11"/>
    <w:qFormat/>
    <w:rPr>
      <w:rFonts w:ascii="XO Thames" w:hAnsi="XO Thames"/>
      <w:b/>
      <w:sz w:val="32"/>
    </w:rPr>
  </w:style>
  <w:style w:type="character" w:styleId="Hyperlink">
    <w:name w:val="Hyperlink"/>
    <w:rPr>
      <w:color w:val="0000FF"/>
      <w:u w:val="single"/>
    </w:rPr>
  </w:style>
  <w:style w:type="character" w:styleId="Footnote" w:customStyle="1">
    <w:name w:val="Footnote"/>
    <w:link w:val="Footnote1"/>
    <w:qFormat/>
    <w:rPr>
      <w:rFonts w:ascii="XO Thames" w:hAnsi="XO Thames"/>
      <w:sz w:val="22"/>
    </w:rPr>
  </w:style>
  <w:style w:type="character" w:styleId="Contents1" w:customStyle="1">
    <w:name w:val="Contents 1"/>
    <w:qFormat/>
    <w:rPr>
      <w:rFonts w:ascii="XO Thames" w:hAnsi="XO Thames"/>
      <w:b/>
      <w:sz w:val="28"/>
    </w:rPr>
  </w:style>
  <w:style w:type="character" w:styleId="12" w:customStyle="1">
    <w:name w:val="Абзац списка1"/>
    <w:link w:val="ListParagraph1"/>
    <w:qFormat/>
    <w:rPr/>
  </w:style>
  <w:style w:type="character" w:styleId="Style71" w:customStyle="1">
    <w:name w:val="Style7"/>
    <w:link w:val="Style711"/>
    <w:qFormat/>
    <w:rPr>
      <w:sz w:val="24"/>
    </w:rPr>
  </w:style>
  <w:style w:type="character" w:styleId="HeaderandFooter" w:customStyle="1">
    <w:name w:val="Header and Footer"/>
    <w:qFormat/>
    <w:rPr>
      <w:rFonts w:ascii="XO Thames" w:hAnsi="XO Thames"/>
      <w:sz w:val="28"/>
    </w:rPr>
  </w:style>
  <w:style w:type="character" w:styleId="Contents9" w:customStyle="1">
    <w:name w:val="Contents 9"/>
    <w:qFormat/>
    <w:rPr>
      <w:rFonts w:ascii="XO Thames" w:hAnsi="XO Thames"/>
      <w:sz w:val="28"/>
    </w:rPr>
  </w:style>
  <w:style w:type="character" w:styleId="13" w:customStyle="1">
    <w:name w:val="Обычный1"/>
    <w:link w:val="112"/>
    <w:qFormat/>
    <w:rPr>
      <w:rFonts w:ascii="Tms Rmn" w:hAnsi="Tms Rmn"/>
      <w:color w:val="000000"/>
      <w:sz w:val="20"/>
    </w:rPr>
  </w:style>
  <w:style w:type="character" w:styleId="Contents8" w:customStyle="1">
    <w:name w:val="Contents 8"/>
    <w:qFormat/>
    <w:rPr>
      <w:rFonts w:ascii="XO Thames" w:hAnsi="XO Thames"/>
      <w:sz w:val="28"/>
    </w:rPr>
  </w:style>
  <w:style w:type="character" w:styleId="Style31" w:customStyle="1">
    <w:name w:val="Style3"/>
    <w:link w:val="Style311"/>
    <w:qFormat/>
    <w:rPr>
      <w:sz w:val="24"/>
    </w:rPr>
  </w:style>
  <w:style w:type="character" w:styleId="CommentReference">
    <w:name w:val="annotation reference"/>
    <w:basedOn w:val="DefaultParagraphFont"/>
    <w:link w:val="annotationreference1"/>
    <w:qFormat/>
    <w:rPr>
      <w:sz w:val="16"/>
    </w:rPr>
  </w:style>
  <w:style w:type="character" w:styleId="14" w:customStyle="1">
    <w:name w:val="Текст выноски1"/>
    <w:link w:val="BalloonText1"/>
    <w:qFormat/>
    <w:rPr>
      <w:rFonts w:ascii="Segoe UI" w:hAnsi="Segoe UI"/>
      <w:sz w:val="18"/>
    </w:rPr>
  </w:style>
  <w:style w:type="character" w:styleId="Contents5" w:customStyle="1">
    <w:name w:val="Contents 5"/>
    <w:qFormat/>
    <w:rPr>
      <w:rFonts w:ascii="XO Thames" w:hAnsi="XO Thames"/>
      <w:sz w:val="28"/>
    </w:rPr>
  </w:style>
  <w:style w:type="character" w:styleId="FontStyle12" w:customStyle="1">
    <w:name w:val="Font Style12"/>
    <w:link w:val="FontStyle121"/>
    <w:qFormat/>
    <w:rPr>
      <w:color w:val="000000"/>
      <w:sz w:val="22"/>
    </w:rPr>
  </w:style>
  <w:style w:type="character" w:styleId="Subtitle1" w:customStyle="1">
    <w:name w:val="Subtitle1"/>
    <w:qFormat/>
    <w:rPr>
      <w:rFonts w:ascii="XO Thames" w:hAnsi="XO Thames"/>
      <w:i/>
      <w:sz w:val="24"/>
    </w:rPr>
  </w:style>
  <w:style w:type="character" w:styleId="Title1" w:customStyle="1">
    <w:name w:val="Title1"/>
    <w:qFormat/>
    <w:rPr>
      <w:rFonts w:ascii="XO Thames" w:hAnsi="XO Thames"/>
      <w:b/>
      <w:caps/>
      <w:sz w:val="40"/>
    </w:rPr>
  </w:style>
  <w:style w:type="character" w:styleId="Heading41" w:customStyle="1">
    <w:name w:val="Heading 41"/>
    <w:qFormat/>
    <w:rPr>
      <w:rFonts w:ascii="XO Thames" w:hAnsi="XO Thames"/>
      <w:b/>
      <w:sz w:val="24"/>
    </w:rPr>
  </w:style>
  <w:style w:type="character" w:styleId="Heading21" w:customStyle="1">
    <w:name w:val="Heading 21"/>
    <w:qFormat/>
    <w:rPr>
      <w:rFonts w:ascii="XO Thames" w:hAnsi="XO Thames"/>
      <w:b/>
      <w:sz w:val="28"/>
    </w:rPr>
  </w:style>
  <w:style w:type="character" w:styleId="2" w:customStyle="1">
    <w:name w:val="Обычный2"/>
    <w:link w:val="21"/>
    <w:qFormat/>
    <w:rPr>
      <w:rFonts w:ascii="Tms Rmn" w:hAnsi="Tms Rmn"/>
      <w:color w:val="000000"/>
      <w:sz w:val="20"/>
    </w:rPr>
  </w:style>
  <w:style w:type="character" w:styleId="user" w:customStyle="1">
    <w:name w:val="Символ нумерации (user)"/>
    <w:qFormat/>
    <w:rPr/>
  </w:style>
  <w:style w:type="character" w:styleId="Style9" w:customStyle="1">
    <w:name w:val="Абзац списка Знак"/>
    <w:link w:val="ListParagraph"/>
    <w:uiPriority w:val="34"/>
    <w:qFormat/>
    <w:rsid w:val="00363e5a"/>
    <w:rPr>
      <w:rFonts w:eastAsia="Times New Roman" w:cs="Times New Roman"/>
      <w:sz w:val="20"/>
      <w:lang w:eastAsia="ru-RU" w:bidi="ar-SA"/>
    </w:rPr>
  </w:style>
  <w:style w:type="paragraph" w:styleId="Style10">
    <w:name w:val="Заголовок"/>
    <w:basedOn w:val="Normal"/>
    <w:next w:val="BodyText"/>
    <w:qFormat/>
    <w:pPr>
      <w:keepNext w:val="true"/>
      <w:spacing w:before="240" w:after="120"/>
    </w:pPr>
    <w:rPr>
      <w:rFonts w:ascii="Liberation Sans" w:hAnsi="Liberation Sans" w:eastAsia="Tahoma" w:cs="Noto Sans"/>
      <w:sz w:val="28"/>
      <w:szCs w:val="28"/>
    </w:rPr>
  </w:style>
  <w:style w:type="paragraph" w:styleId="BodyText">
    <w:name w:val="Body Text"/>
    <w:basedOn w:val="Normal"/>
    <w:pPr>
      <w:widowControl/>
      <w:ind w:start="1"/>
      <w:jc w:val="both"/>
    </w:pPr>
    <w:rPr>
      <w:sz w:val="28"/>
    </w:rPr>
  </w:style>
  <w:style w:type="paragraph" w:styleId="List">
    <w:name w:val="List"/>
    <w:basedOn w:val="BodyText"/>
    <w:pPr/>
    <w:rPr/>
  </w:style>
  <w:style w:type="paragraph" w:styleId="Caption">
    <w:name w:val="caption"/>
    <w:basedOn w:val="Normal"/>
    <w:qFormat/>
    <w:pPr>
      <w:suppressLineNumbers/>
      <w:spacing w:before="120" w:after="120"/>
    </w:pPr>
    <w:rPr>
      <w:i/>
      <w:iCs/>
      <w:sz w:val="24"/>
      <w:szCs w:val="24"/>
    </w:rPr>
  </w:style>
  <w:style w:type="paragraph" w:styleId="Style11">
    <w:name w:val="Указатель"/>
    <w:basedOn w:val="Normal"/>
    <w:qFormat/>
    <w:pPr>
      <w:suppressLineNumbers/>
    </w:pPr>
    <w:rPr>
      <w:rFonts w:cs="Noto Sans"/>
    </w:rPr>
  </w:style>
  <w:style w:type="paragraph" w:styleId="Title">
    <w:name w:val="Title"/>
    <w:next w:val="BodyText"/>
    <w:uiPriority w:val="10"/>
    <w:qFormat/>
    <w:pPr>
      <w:widowControl/>
      <w:suppressAutoHyphens w:val="true"/>
      <w:bidi w:val="0"/>
      <w:spacing w:before="567" w:after="567"/>
      <w:jc w:val="center"/>
    </w:pPr>
    <w:rPr>
      <w:rFonts w:ascii="XO Thames" w:hAnsi="XO Thames" w:eastAsia="Tahoma" w:cs="Noto Sans"/>
      <w:b/>
      <w:caps/>
      <w:color w:val="000000"/>
      <w:kern w:val="0"/>
      <w:sz w:val="40"/>
      <w:szCs w:val="20"/>
      <w:lang w:val="ru-RU" w:eastAsia="zh-CN" w:bidi="hi-IN"/>
    </w:rPr>
  </w:style>
  <w:style w:type="paragraph" w:styleId="IndexHeading">
    <w:name w:val="index heading"/>
    <w:basedOn w:val="Normal"/>
    <w:qFormat/>
    <w:pPr>
      <w:suppressLineNumbers/>
    </w:pPr>
    <w:rPr/>
  </w:style>
  <w:style w:type="paragraph" w:styleId="TOC2">
    <w:name w:val="toc 2"/>
    <w:next w:val="Normal"/>
    <w:uiPriority w:val="39"/>
    <w:pPr>
      <w:widowControl/>
      <w:suppressAutoHyphens w:val="true"/>
      <w:bidi w:val="0"/>
      <w:spacing w:before="0" w:after="0"/>
      <w:ind w:start="200"/>
      <w:jc w:val="start"/>
    </w:pPr>
    <w:rPr>
      <w:rFonts w:ascii="XO Thames" w:hAnsi="XO Thames" w:eastAsia="Tahoma" w:cs="Noto Sans"/>
      <w:color w:val="000000"/>
      <w:kern w:val="0"/>
      <w:sz w:val="28"/>
      <w:szCs w:val="20"/>
      <w:lang w:val="ru-RU" w:eastAsia="zh-CN" w:bidi="hi-IN"/>
    </w:rPr>
  </w:style>
  <w:style w:type="paragraph" w:styleId="CommentText">
    <w:name w:val="annotation text"/>
    <w:basedOn w:val="Normal"/>
    <w:pPr/>
    <w:rPr/>
  </w:style>
  <w:style w:type="paragraph" w:styleId="TOC4">
    <w:name w:val="toc 4"/>
    <w:next w:val="Normal"/>
    <w:uiPriority w:val="39"/>
    <w:pPr>
      <w:widowControl/>
      <w:suppressAutoHyphens w:val="true"/>
      <w:bidi w:val="0"/>
      <w:spacing w:before="0" w:after="0"/>
      <w:ind w:start="600"/>
      <w:jc w:val="start"/>
    </w:pPr>
    <w:rPr>
      <w:rFonts w:ascii="XO Thames" w:hAnsi="XO Thames" w:eastAsia="Tahoma" w:cs="Noto Sans"/>
      <w:color w:val="000000"/>
      <w:kern w:val="0"/>
      <w:sz w:val="28"/>
      <w:szCs w:val="20"/>
      <w:lang w:val="ru-RU" w:eastAsia="zh-CN" w:bidi="hi-IN"/>
    </w:rPr>
  </w:style>
  <w:style w:type="paragraph" w:styleId="TOC6">
    <w:name w:val="toc 6"/>
    <w:next w:val="Normal"/>
    <w:uiPriority w:val="39"/>
    <w:pPr>
      <w:widowControl/>
      <w:suppressAutoHyphens w:val="true"/>
      <w:bidi w:val="0"/>
      <w:spacing w:before="0" w:after="0"/>
      <w:ind w:start="1000"/>
      <w:jc w:val="start"/>
    </w:pPr>
    <w:rPr>
      <w:rFonts w:ascii="XO Thames" w:hAnsi="XO Thames" w:eastAsia="Tahoma" w:cs="Noto Sans"/>
      <w:color w:val="000000"/>
      <w:kern w:val="0"/>
      <w:sz w:val="28"/>
      <w:szCs w:val="20"/>
      <w:lang w:val="ru-RU" w:eastAsia="zh-CN" w:bidi="hi-IN"/>
    </w:rPr>
  </w:style>
  <w:style w:type="paragraph" w:styleId="TOC7">
    <w:name w:val="toc 7"/>
    <w:next w:val="Normal"/>
    <w:uiPriority w:val="39"/>
    <w:pPr>
      <w:widowControl/>
      <w:suppressAutoHyphens w:val="true"/>
      <w:bidi w:val="0"/>
      <w:spacing w:before="0" w:after="0"/>
      <w:ind w:start="1200"/>
      <w:jc w:val="start"/>
    </w:pPr>
    <w:rPr>
      <w:rFonts w:ascii="XO Thames" w:hAnsi="XO Thames" w:eastAsia="Tahoma" w:cs="Noto Sans"/>
      <w:color w:val="000000"/>
      <w:kern w:val="0"/>
      <w:sz w:val="28"/>
      <w:szCs w:val="20"/>
      <w:lang w:val="ru-RU" w:eastAsia="zh-CN" w:bidi="hi-IN"/>
    </w:rPr>
  </w:style>
  <w:style w:type="paragraph" w:styleId="Endnote1" w:customStyle="1">
    <w:name w:val="Endnote1"/>
    <w:link w:val="Endnote"/>
    <w:qFormat/>
    <w:pPr>
      <w:widowControl/>
      <w:suppressAutoHyphens w:val="true"/>
      <w:bidi w:val="0"/>
      <w:spacing w:before="0" w:after="0"/>
      <w:ind w:firstLine="851"/>
      <w:jc w:val="both"/>
    </w:pPr>
    <w:rPr>
      <w:rFonts w:ascii="XO Thames" w:hAnsi="XO Thames" w:eastAsia="Tahoma" w:cs="Noto Sans"/>
      <w:color w:val="000000"/>
      <w:kern w:val="0"/>
      <w:sz w:val="22"/>
      <w:szCs w:val="20"/>
      <w:lang w:val="ru-RU" w:eastAsia="zh-CN" w:bidi="hi-IN"/>
    </w:rPr>
  </w:style>
  <w:style w:type="paragraph" w:styleId="user1" w:customStyle="1">
    <w:name w:val="Колонтитулы (user)"/>
    <w:qFormat/>
    <w:pPr>
      <w:widowControl/>
      <w:suppressAutoHyphens w:val="true"/>
      <w:bidi w:val="0"/>
      <w:spacing w:before="0" w:after="0"/>
      <w:jc w:val="both"/>
    </w:pPr>
    <w:rPr>
      <w:rFonts w:ascii="XO Thames" w:hAnsi="XO Thames" w:eastAsia="Tahoma" w:cs="Noto Sans"/>
      <w:color w:val="000000"/>
      <w:kern w:val="0"/>
      <w:sz w:val="28"/>
      <w:szCs w:val="20"/>
      <w:lang w:val="ru-RU" w:eastAsia="zh-CN" w:bidi="hi-IN"/>
    </w:rPr>
  </w:style>
  <w:style w:type="paragraph" w:styleId="Style12">
    <w:name w:val="Колонтитулы"/>
    <w:basedOn w:val="Normal"/>
    <w:qFormat/>
    <w:pPr/>
    <w:rPr/>
  </w:style>
  <w:style w:type="paragraph" w:styleId="Header">
    <w:name w:val="header"/>
    <w:basedOn w:val="Normal"/>
    <w:pPr>
      <w:widowControl/>
      <w:tabs>
        <w:tab w:val="clear" w:pos="708"/>
        <w:tab w:val="center" w:pos="4677" w:leader="none"/>
        <w:tab w:val="right" w:pos="9355" w:leader="none"/>
      </w:tabs>
    </w:pPr>
    <w:rPr/>
  </w:style>
  <w:style w:type="paragraph" w:styleId="2Exact1" w:customStyle="1">
    <w:name w:val="Основной текст (2) Exact1"/>
    <w:link w:val="2Exact"/>
    <w:qFormat/>
    <w:pPr>
      <w:widowControl/>
      <w:suppressAutoHyphens w:val="true"/>
      <w:bidi w:val="0"/>
      <w:spacing w:lineRule="auto" w:line="276" w:before="0" w:after="200"/>
      <w:jc w:val="start"/>
    </w:pPr>
    <w:rPr>
      <w:rFonts w:ascii="Calibri" w:hAnsi="Calibri" w:asciiTheme="minorHAnsi" w:hAnsiTheme="minorHAnsi" w:eastAsia="Tahoma" w:cs="Noto Sans"/>
      <w:b/>
      <w:color w:val="000000"/>
      <w:spacing w:val="3"/>
      <w:kern w:val="0"/>
      <w:sz w:val="13"/>
      <w:szCs w:val="20"/>
      <w:lang w:val="ru-RU" w:eastAsia="zh-CN" w:bidi="hi-IN"/>
    </w:rPr>
  </w:style>
  <w:style w:type="paragraph" w:styleId="annotationsubject1" w:customStyle="1">
    <w:name w:val="annotation subject1"/>
    <w:basedOn w:val="CommentText"/>
    <w:next w:val="CommentText"/>
    <w:link w:val="1"/>
    <w:qFormat/>
    <w:pPr/>
    <w:rPr>
      <w:b/>
    </w:rPr>
  </w:style>
  <w:style w:type="paragraph" w:styleId="TOC3">
    <w:name w:val="toc 3"/>
    <w:next w:val="Normal"/>
    <w:uiPriority w:val="39"/>
    <w:pPr>
      <w:widowControl/>
      <w:suppressAutoHyphens w:val="true"/>
      <w:bidi w:val="0"/>
      <w:spacing w:before="0" w:after="0"/>
      <w:ind w:start="400"/>
      <w:jc w:val="start"/>
    </w:pPr>
    <w:rPr>
      <w:rFonts w:ascii="XO Thames" w:hAnsi="XO Thames" w:eastAsia="Tahoma" w:cs="Noto Sans"/>
      <w:color w:val="000000"/>
      <w:kern w:val="0"/>
      <w:sz w:val="28"/>
      <w:szCs w:val="20"/>
      <w:lang w:val="ru-RU" w:eastAsia="zh-CN" w:bidi="hi-IN"/>
    </w:rPr>
  </w:style>
  <w:style w:type="paragraph" w:styleId="111" w:customStyle="1">
    <w:name w:val="Номер страницы11"/>
    <w:basedOn w:val="Normal"/>
    <w:link w:val="11"/>
    <w:qFormat/>
    <w:pPr>
      <w:widowControl/>
      <w:spacing w:lineRule="auto" w:line="276" w:before="0" w:after="200"/>
    </w:pPr>
    <w:rPr>
      <w:rFonts w:ascii="Calibri" w:hAnsi="Calibri" w:asciiTheme="minorHAnsi" w:hAnsiTheme="minorHAnsi"/>
      <w:sz w:val="22"/>
    </w:rPr>
  </w:style>
  <w:style w:type="paragraph" w:styleId="Internetlink" w:customStyle="1">
    <w:name w:val="Internet link"/>
    <w:qFormat/>
    <w:pPr>
      <w:widowControl/>
      <w:suppressAutoHyphens w:val="true"/>
      <w:bidi w:val="0"/>
      <w:spacing w:before="0" w:after="0"/>
      <w:jc w:val="both"/>
    </w:pPr>
    <w:rPr>
      <w:rFonts w:ascii="Times New Roman" w:hAnsi="Times New Roman" w:eastAsia="Tahoma" w:cs="Noto Sans"/>
      <w:color w:val="0000FF"/>
      <w:kern w:val="0"/>
      <w:sz w:val="24"/>
      <w:szCs w:val="20"/>
      <w:u w:val="single"/>
      <w:lang w:val="ru-RU" w:eastAsia="zh-CN" w:bidi="hi-IN"/>
    </w:rPr>
  </w:style>
  <w:style w:type="paragraph" w:styleId="Footnote1" w:customStyle="1">
    <w:name w:val="Footnote1"/>
    <w:link w:val="Footnote"/>
    <w:qFormat/>
    <w:pPr>
      <w:widowControl/>
      <w:suppressAutoHyphens w:val="true"/>
      <w:bidi w:val="0"/>
      <w:spacing w:before="0" w:after="0"/>
      <w:ind w:firstLine="851"/>
      <w:jc w:val="both"/>
    </w:pPr>
    <w:rPr>
      <w:rFonts w:ascii="XO Thames" w:hAnsi="XO Thames" w:eastAsia="Tahoma" w:cs="Noto Sans"/>
      <w:color w:val="000000"/>
      <w:kern w:val="0"/>
      <w:sz w:val="22"/>
      <w:szCs w:val="20"/>
      <w:lang w:val="ru-RU" w:eastAsia="zh-CN" w:bidi="hi-IN"/>
    </w:rPr>
  </w:style>
  <w:style w:type="paragraph" w:styleId="TOC1">
    <w:name w:val="toc 1"/>
    <w:next w:val="Normal"/>
    <w:uiPriority w:val="39"/>
    <w:pPr>
      <w:widowControl/>
      <w:suppressAutoHyphens w:val="true"/>
      <w:bidi w:val="0"/>
      <w:spacing w:before="0" w:after="0"/>
      <w:jc w:val="start"/>
    </w:pPr>
    <w:rPr>
      <w:rFonts w:ascii="XO Thames" w:hAnsi="XO Thames" w:eastAsia="Tahoma" w:cs="Noto Sans"/>
      <w:b/>
      <w:color w:val="000000"/>
      <w:kern w:val="0"/>
      <w:sz w:val="28"/>
      <w:szCs w:val="20"/>
      <w:lang w:val="ru-RU" w:eastAsia="zh-CN" w:bidi="hi-IN"/>
    </w:rPr>
  </w:style>
  <w:style w:type="paragraph" w:styleId="ListParagraph1" w:customStyle="1">
    <w:name w:val="List Paragraph1"/>
    <w:basedOn w:val="Normal"/>
    <w:link w:val="12"/>
    <w:qFormat/>
    <w:pPr>
      <w:widowControl/>
      <w:ind w:start="708"/>
    </w:pPr>
    <w:rPr/>
  </w:style>
  <w:style w:type="paragraph" w:styleId="DefaultParagraphFont1" w:customStyle="1">
    <w:name w:val="Default Paragraph Font1"/>
    <w:qFormat/>
    <w:pPr>
      <w:widowControl/>
      <w:suppressAutoHyphens w:val="true"/>
      <w:bidi w:val="0"/>
      <w:spacing w:before="0" w:after="0"/>
      <w:jc w:val="both"/>
    </w:pPr>
    <w:rPr>
      <w:rFonts w:ascii="Times New Roman" w:hAnsi="Times New Roman" w:eastAsia="Tahoma" w:cs="Noto Sans"/>
      <w:color w:val="000000"/>
      <w:kern w:val="0"/>
      <w:sz w:val="24"/>
      <w:szCs w:val="20"/>
      <w:lang w:val="ru-RU" w:eastAsia="zh-CN" w:bidi="hi-IN"/>
    </w:rPr>
  </w:style>
  <w:style w:type="paragraph" w:styleId="Style711" w:customStyle="1">
    <w:name w:val="Style71"/>
    <w:basedOn w:val="Normal"/>
    <w:link w:val="Style71"/>
    <w:qFormat/>
    <w:pPr>
      <w:widowControl/>
      <w:spacing w:lineRule="exact" w:line="274"/>
      <w:ind w:firstLine="367"/>
      <w:jc w:val="both"/>
    </w:pPr>
    <w:rPr>
      <w:sz w:val="24"/>
    </w:rPr>
  </w:style>
  <w:style w:type="paragraph" w:styleId="TOC9">
    <w:name w:val="toc 9"/>
    <w:next w:val="Normal"/>
    <w:uiPriority w:val="39"/>
    <w:pPr>
      <w:widowControl/>
      <w:suppressAutoHyphens w:val="true"/>
      <w:bidi w:val="0"/>
      <w:spacing w:before="0" w:after="0"/>
      <w:ind w:start="1600"/>
      <w:jc w:val="start"/>
    </w:pPr>
    <w:rPr>
      <w:rFonts w:ascii="XO Thames" w:hAnsi="XO Thames" w:eastAsia="Tahoma" w:cs="Noto Sans"/>
      <w:color w:val="000000"/>
      <w:kern w:val="0"/>
      <w:sz w:val="28"/>
      <w:szCs w:val="20"/>
      <w:lang w:val="ru-RU" w:eastAsia="zh-CN" w:bidi="hi-IN"/>
    </w:rPr>
  </w:style>
  <w:style w:type="paragraph" w:styleId="112" w:customStyle="1">
    <w:name w:val="Обычный11"/>
    <w:link w:val="13"/>
    <w:qFormat/>
    <w:pPr>
      <w:widowControl/>
      <w:suppressAutoHyphens w:val="true"/>
      <w:bidi w:val="0"/>
      <w:spacing w:before="0" w:after="0"/>
      <w:jc w:val="start"/>
    </w:pPr>
    <w:rPr>
      <w:rFonts w:ascii="Tms Rmn" w:hAnsi="Tms Rmn" w:eastAsia="Tahoma" w:cs="Noto Sans"/>
      <w:color w:val="000000"/>
      <w:kern w:val="0"/>
      <w:sz w:val="20"/>
      <w:szCs w:val="20"/>
      <w:lang w:val="ru-RU" w:eastAsia="zh-CN" w:bidi="hi-IN"/>
    </w:rPr>
  </w:style>
  <w:style w:type="paragraph" w:styleId="TOC8">
    <w:name w:val="toc 8"/>
    <w:next w:val="Normal"/>
    <w:uiPriority w:val="39"/>
    <w:pPr>
      <w:widowControl/>
      <w:suppressAutoHyphens w:val="true"/>
      <w:bidi w:val="0"/>
      <w:spacing w:before="0" w:after="0"/>
      <w:ind w:start="1400"/>
      <w:jc w:val="start"/>
    </w:pPr>
    <w:rPr>
      <w:rFonts w:ascii="XO Thames" w:hAnsi="XO Thames" w:eastAsia="Tahoma" w:cs="Noto Sans"/>
      <w:color w:val="000000"/>
      <w:kern w:val="0"/>
      <w:sz w:val="28"/>
      <w:szCs w:val="20"/>
      <w:lang w:val="ru-RU" w:eastAsia="zh-CN" w:bidi="hi-IN"/>
    </w:rPr>
  </w:style>
  <w:style w:type="paragraph" w:styleId="Style311" w:customStyle="1">
    <w:name w:val="Style31"/>
    <w:basedOn w:val="Normal"/>
    <w:link w:val="Style31"/>
    <w:qFormat/>
    <w:pPr>
      <w:widowControl/>
      <w:spacing w:lineRule="exact" w:line="281"/>
      <w:jc w:val="both"/>
    </w:pPr>
    <w:rPr>
      <w:sz w:val="24"/>
    </w:rPr>
  </w:style>
  <w:style w:type="paragraph" w:styleId="annotationreference1" w:customStyle="1">
    <w:name w:val="annotation reference1"/>
    <w:basedOn w:val="DefaultParagraphFont1"/>
    <w:link w:val="CommentReference"/>
    <w:qFormat/>
    <w:pPr/>
    <w:rPr>
      <w:sz w:val="16"/>
    </w:rPr>
  </w:style>
  <w:style w:type="paragraph" w:styleId="BalloonText1" w:customStyle="1">
    <w:name w:val="Balloon Text1"/>
    <w:basedOn w:val="Normal"/>
    <w:link w:val="14"/>
    <w:qFormat/>
    <w:pPr/>
    <w:rPr>
      <w:rFonts w:ascii="Segoe UI" w:hAnsi="Segoe UI"/>
      <w:sz w:val="18"/>
    </w:rPr>
  </w:style>
  <w:style w:type="paragraph" w:styleId="TOC5">
    <w:name w:val="toc 5"/>
    <w:next w:val="Normal"/>
    <w:uiPriority w:val="39"/>
    <w:pPr>
      <w:widowControl/>
      <w:suppressAutoHyphens w:val="true"/>
      <w:bidi w:val="0"/>
      <w:spacing w:before="0" w:after="0"/>
      <w:ind w:start="800"/>
      <w:jc w:val="start"/>
    </w:pPr>
    <w:rPr>
      <w:rFonts w:ascii="XO Thames" w:hAnsi="XO Thames" w:eastAsia="Tahoma" w:cs="Noto Sans"/>
      <w:color w:val="000000"/>
      <w:kern w:val="0"/>
      <w:sz w:val="28"/>
      <w:szCs w:val="20"/>
      <w:lang w:val="ru-RU" w:eastAsia="zh-CN" w:bidi="hi-IN"/>
    </w:rPr>
  </w:style>
  <w:style w:type="paragraph" w:styleId="FontStyle121" w:customStyle="1">
    <w:name w:val="Font Style121"/>
    <w:link w:val="FontStyle12"/>
    <w:qFormat/>
    <w:pPr>
      <w:widowControl/>
      <w:suppressAutoHyphens w:val="true"/>
      <w:bidi w:val="0"/>
      <w:spacing w:lineRule="auto" w:line="276" w:before="0" w:after="200"/>
      <w:jc w:val="start"/>
    </w:pPr>
    <w:rPr>
      <w:rFonts w:ascii="Times New Roman" w:hAnsi="Times New Roman" w:eastAsia="Tahoma" w:cs="Noto Sans"/>
      <w:color w:val="000000"/>
      <w:kern w:val="0"/>
      <w:sz w:val="22"/>
      <w:szCs w:val="20"/>
      <w:lang w:val="ru-RU" w:eastAsia="zh-CN" w:bidi="hi-IN"/>
    </w:rPr>
  </w:style>
  <w:style w:type="paragraph" w:styleId="Subtitle">
    <w:name w:val="Subtitle"/>
    <w:next w:val="Normal"/>
    <w:uiPriority w:val="11"/>
    <w:qFormat/>
    <w:pPr>
      <w:widowControl/>
      <w:suppressAutoHyphens w:val="true"/>
      <w:bidi w:val="0"/>
      <w:spacing w:before="0" w:after="0"/>
      <w:jc w:val="both"/>
    </w:pPr>
    <w:rPr>
      <w:rFonts w:ascii="XO Thames" w:hAnsi="XO Thames" w:eastAsia="Tahoma" w:cs="Noto Sans"/>
      <w:i/>
      <w:color w:val="000000"/>
      <w:kern w:val="0"/>
      <w:sz w:val="24"/>
      <w:szCs w:val="20"/>
      <w:lang w:val="ru-RU" w:eastAsia="zh-CN" w:bidi="hi-IN"/>
    </w:rPr>
  </w:style>
  <w:style w:type="paragraph" w:styleId="21" w:customStyle="1">
    <w:name w:val="Обычный21"/>
    <w:link w:val="2"/>
    <w:qFormat/>
    <w:pPr>
      <w:widowControl/>
      <w:suppressAutoHyphens w:val="true"/>
      <w:bidi w:val="0"/>
      <w:spacing w:before="0" w:after="0"/>
      <w:jc w:val="start"/>
    </w:pPr>
    <w:rPr>
      <w:rFonts w:ascii="Tms Rmn" w:hAnsi="Tms Rmn" w:eastAsia="Tahoma" w:cs="Noto Sans"/>
      <w:color w:val="000000"/>
      <w:kern w:val="0"/>
      <w:sz w:val="20"/>
      <w:szCs w:val="20"/>
      <w:lang w:val="ru-RU" w:eastAsia="zh-CN" w:bidi="hi-IN"/>
    </w:rPr>
  </w:style>
  <w:style w:type="paragraph" w:styleId="user2" w:customStyle="1">
    <w:name w:val="Содержимое врезки (user)"/>
    <w:basedOn w:val="Normal"/>
    <w:qFormat/>
    <w:pPr/>
    <w:rPr/>
  </w:style>
  <w:style w:type="paragraph" w:styleId="user3" w:customStyle="1">
    <w:name w:val="Содержимое таблицы (user)"/>
    <w:basedOn w:val="Normal"/>
    <w:qFormat/>
    <w:pPr>
      <w:suppressLineNumbers/>
    </w:pPr>
    <w:rPr/>
  </w:style>
  <w:style w:type="paragraph" w:styleId="user4" w:customStyle="1">
    <w:name w:val="Заголовок таблицы (user)"/>
    <w:basedOn w:val="user3"/>
    <w:qFormat/>
    <w:pPr>
      <w:jc w:val="center"/>
    </w:pPr>
    <w:rPr>
      <w:b/>
      <w:bCs/>
    </w:rPr>
  </w:style>
  <w:style w:type="paragraph" w:styleId="Style3111" w:customStyle="1">
    <w:name w:val="Style311"/>
    <w:basedOn w:val="Normal"/>
    <w:qFormat/>
    <w:pPr>
      <w:widowControl/>
      <w:spacing w:lineRule="exact" w:line="281"/>
      <w:jc w:val="both"/>
    </w:pPr>
    <w:rPr>
      <w:sz w:val="24"/>
    </w:rPr>
  </w:style>
  <w:style w:type="paragraph" w:styleId="ListParagraph">
    <w:name w:val="List Paragraph"/>
    <w:basedOn w:val="Normal"/>
    <w:link w:val="Style9"/>
    <w:uiPriority w:val="34"/>
    <w:qFormat/>
    <w:rsid w:val="00363e5a"/>
    <w:pPr>
      <w:widowControl/>
      <w:suppressAutoHyphens w:val="false"/>
      <w:ind w:start="708"/>
    </w:pPr>
    <w:rPr>
      <w:rFonts w:eastAsia="Times New Roman" w:cs="Times New Roman"/>
      <w:lang w:eastAsia="ru-RU" w:bidi="ar-SA"/>
    </w:rPr>
  </w:style>
  <w:style w:type="paragraph" w:styleId="Style13">
    <w:name w:val="Содержимое врезки"/>
    <w:basedOn w:val="Normal"/>
    <w:qFormat/>
    <w:pPr/>
    <w:rPr/>
  </w:style>
  <w:style w:type="numbering" w:styleId="Style14"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f2">
    <w:name w:val="Table Grid"/>
    <w:basedOn w:val="a1"/>
    <w:rPr>
      <w:sz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l="0" t="0" r="0" b="0"/>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9</TotalTime>
  <Application>LibreOffice/25.8.0.4$Linux_X86_64 LibreOffice_project/48f00303701489684e67c38c28aff00cd5929e67</Application>
  <AppVersion>15.0000</AppVersion>
  <Pages>37</Pages>
  <Words>9868</Words>
  <Characters>71676</Characters>
  <CharactersWithSpaces>80758</CharactersWithSpaces>
  <Paragraphs>1008</Paragraphs>
  <Company>ПАО "Ростелеком"</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2026-02-24T11:14:00Z</dcterms:created>
  <dc:creator>Вавилов Сергей Алексеевич</dc:creator>
  <dc:description/>
  <dc:language>ru-RU</dc:language>
  <cp:lastModifiedBy/>
  <dcterms:modified xsi:type="dcterms:W3CDTF">2026-03-03T09:27:11Z</dcterms:modified>
  <cp:revision>4</cp:revision>
  <dc:subject/>
  <dc:title/>
</cp:coreProperties>
</file>

<file path=docProps/custom.xml><?xml version="1.0" encoding="utf-8"?>
<Properties xmlns="http://schemas.openxmlformats.org/officeDocument/2006/custom-properties" xmlns:vt="http://schemas.openxmlformats.org/officeDocument/2006/docPropsVTypes"/>
</file>