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CC" w:rsidRDefault="004914CC">
      <w:pPr>
        <w:keepNext/>
        <w:keepLines/>
        <w:suppressLineNumbers/>
        <w:jc w:val="both"/>
        <w:rPr>
          <w:b/>
          <w:sz w:val="26"/>
          <w:szCs w:val="26"/>
        </w:rPr>
      </w:pPr>
    </w:p>
    <w:p w:rsidR="004914CC" w:rsidRDefault="00F11963">
      <w:pPr>
        <w:pStyle w:val="af6"/>
        <w:ind w:firstLine="709"/>
        <w:jc w:val="right"/>
        <w:rPr>
          <w:b w:val="0"/>
          <w:iCs/>
          <w:caps w:val="0"/>
          <w:sz w:val="26"/>
          <w:szCs w:val="26"/>
        </w:rPr>
      </w:pPr>
      <w:r>
        <w:rPr>
          <w:b w:val="0"/>
          <w:iCs/>
          <w:caps w:val="0"/>
          <w:sz w:val="26"/>
          <w:szCs w:val="26"/>
        </w:rPr>
        <w:t xml:space="preserve"> </w:t>
      </w:r>
    </w:p>
    <w:p w:rsidR="004914CC" w:rsidRDefault="004914CC">
      <w:pPr>
        <w:pStyle w:val="af6"/>
        <w:ind w:firstLine="709"/>
        <w:jc w:val="both"/>
        <w:rPr>
          <w:b w:val="0"/>
          <w:iCs/>
          <w:caps w:val="0"/>
          <w:sz w:val="26"/>
          <w:szCs w:val="26"/>
        </w:rPr>
      </w:pPr>
    </w:p>
    <w:p w:rsidR="004914CC" w:rsidRDefault="00F11963">
      <w:pPr>
        <w:pStyle w:val="Default"/>
        <w:jc w:val="center"/>
        <w:rPr>
          <w:rFonts w:ascii="Times New Roman" w:eastAsia="Liberation Sans" w:hAnsi="Times New Roman" w:cs="Times New Roman"/>
          <w:b/>
          <w:bCs/>
          <w:sz w:val="26"/>
          <w:szCs w:val="26"/>
        </w:rPr>
      </w:pPr>
      <w:r>
        <w:rPr>
          <w:rFonts w:ascii="Times New Roman" w:eastAsia="Liberation Sans" w:hAnsi="Times New Roman" w:cs="Times New Roman"/>
          <w:b/>
          <w:bCs/>
          <w:sz w:val="26"/>
          <w:szCs w:val="26"/>
        </w:rPr>
        <w:t>ТЕХНИЧЕСКОЕ ЗАДАНИЕ</w:t>
      </w:r>
    </w:p>
    <w:p w:rsidR="004914CC" w:rsidRDefault="00F11963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выполнение работ с обеспечением работ оборудованием и материалами по оснащению локальной системы оповещения АО «ОНПП «Технология» им. </w:t>
      </w:r>
      <w:proofErr w:type="spellStart"/>
      <w:r>
        <w:rPr>
          <w:b/>
          <w:bCs/>
          <w:sz w:val="26"/>
          <w:szCs w:val="26"/>
        </w:rPr>
        <w:t>А.Г.Ромашина</w:t>
      </w:r>
      <w:proofErr w:type="spellEnd"/>
      <w:r>
        <w:rPr>
          <w:b/>
          <w:bCs/>
          <w:sz w:val="26"/>
          <w:szCs w:val="26"/>
        </w:rPr>
        <w:t>», населения городского округа «Город Обнинск»</w:t>
      </w:r>
    </w:p>
    <w:p w:rsidR="004914CC" w:rsidRDefault="004914CC">
      <w:pPr>
        <w:jc w:val="center"/>
        <w:rPr>
          <w:b/>
          <w:i/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 Общие сведения</w:t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1.1. Перечень </w:t>
      </w:r>
      <w:r>
        <w:rPr>
          <w:b/>
          <w:sz w:val="26"/>
          <w:szCs w:val="26"/>
        </w:rPr>
        <w:t>используемых сокращений:</w:t>
      </w:r>
    </w:p>
    <w:p w:rsidR="004914CC" w:rsidRDefault="004914CC">
      <w:pPr>
        <w:jc w:val="both"/>
        <w:rPr>
          <w:sz w:val="26"/>
          <w:szCs w:val="26"/>
        </w:rPr>
      </w:pPr>
    </w:p>
    <w:tbl>
      <w:tblPr>
        <w:tblW w:w="9444" w:type="dxa"/>
        <w:jc w:val="center"/>
        <w:tblLayout w:type="fixed"/>
        <w:tblLook w:val="0000" w:firstRow="0" w:lastRow="0" w:firstColumn="0" w:lastColumn="0" w:noHBand="0" w:noVBand="0"/>
      </w:tblPr>
      <w:tblGrid>
        <w:gridCol w:w="1746"/>
        <w:gridCol w:w="7698"/>
      </w:tblGrid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Сокращение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АПК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Аппаратно-программный комплекс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Гражданская оборона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ЕДДС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дежурно-диспетчерская служба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Запасные части и принадлежности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бесперебойного питания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Командный пульт </w:t>
            </w:r>
            <w:r>
              <w:rPr>
                <w:sz w:val="26"/>
                <w:szCs w:val="26"/>
              </w:rPr>
              <w:t>управления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КСЭОН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Комплексная система экстренного оповещения населения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КТСО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 технических средств оповещения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Локальная система оповещения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система оповещения населения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ПТБ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техники безопасности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Программное </w:t>
            </w:r>
            <w:r>
              <w:rPr>
                <w:sz w:val="26"/>
                <w:szCs w:val="26"/>
              </w:rPr>
              <w:t>обеспечение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Пульт управления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ПУЭ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устройства электроустановок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ПЭВМ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Персональная электронно-вычислительная машина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Региональная система оповещения населения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РСЧС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Единая государственная система предупреждения и ликвидации чрезвычайных </w:t>
            </w:r>
            <w:r>
              <w:rPr>
                <w:sz w:val="26"/>
                <w:szCs w:val="26"/>
              </w:rPr>
              <w:t>ситуаций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ТЭЗ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Типовой элемент замены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Телекоммуникационный сервер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ТФОП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Телефонная сеть общего пользования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УХЛ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Умеренный и холодный климат</w:t>
            </w:r>
          </w:p>
        </w:tc>
      </w:tr>
      <w:tr w:rsidR="004914CC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Центр управления в кризисных ситуациях </w:t>
            </w:r>
          </w:p>
        </w:tc>
      </w:tr>
    </w:tbl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1.2. Основание: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Указ Президента Российской Федерации от </w:t>
      </w:r>
      <w:r>
        <w:rPr>
          <w:sz w:val="26"/>
          <w:szCs w:val="26"/>
        </w:rPr>
        <w:t>13.11.2012 № 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color w:val="0070C0"/>
          <w:sz w:val="26"/>
          <w:szCs w:val="26"/>
        </w:rPr>
        <w:tab/>
      </w:r>
      <w:r>
        <w:rPr>
          <w:sz w:val="26"/>
          <w:szCs w:val="26"/>
        </w:rPr>
        <w:t>- Федеральный закон от 21.12.1994 г. № 68-ФЗ «О защите населения и территорий от чрезвычайных ситуаций п</w:t>
      </w:r>
      <w:r>
        <w:rPr>
          <w:sz w:val="26"/>
          <w:szCs w:val="26"/>
        </w:rPr>
        <w:t>риродного и техногенного характера»;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Федеральный закон от 12.02.1998 г. № 28-ФЗ «О гражданской обороне»;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«Положение о системах оповещения населения» утвержденное совместным приказом Министерства РФ по делам гражданской обороны, чрезвычайным ситуациям</w:t>
      </w:r>
      <w:r>
        <w:rPr>
          <w:sz w:val="26"/>
          <w:szCs w:val="26"/>
        </w:rPr>
        <w:t xml:space="preserve"> и ликвидации последствий стихийных бедствий и министерства цифрового развития, связи и массовых коммуникаций от 31.07.2020 № 578/365;</w:t>
      </w:r>
      <w:r>
        <w:rPr>
          <w:sz w:val="26"/>
          <w:szCs w:val="26"/>
        </w:rPr>
        <w:tab/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 Закон Калужской области от 22.12.1997 № 21-ОЗ «О защите населения и территорий Калужской области от чрезвычайных ситу</w:t>
      </w:r>
      <w:r>
        <w:rPr>
          <w:sz w:val="26"/>
          <w:szCs w:val="26"/>
        </w:rPr>
        <w:t>аций природного и техногенного характера»;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Закон Калужской области от 23.10.2019 № 516-ОЗ "О гражданской обороне в Калужской области»;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Постановление Правительства РФ от 17.05.2023 № 769 «О порядке создания, реконструкции и поддержания в состоянии </w:t>
      </w:r>
      <w:r>
        <w:rPr>
          <w:sz w:val="26"/>
          <w:szCs w:val="26"/>
        </w:rPr>
        <w:t>постоянной готовности к использованию систем оповещения населения».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1.3. Срок выполнения работ:</w:t>
      </w:r>
      <w:r>
        <w:rPr>
          <w:sz w:val="26"/>
          <w:szCs w:val="26"/>
        </w:rPr>
        <w:t xml:space="preserve"> с даты заключения Договора по 31 мая 2026 года.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1.4.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Муниципальный Заказчик:</w:t>
      </w:r>
      <w:r>
        <w:rPr>
          <w:sz w:val="26"/>
          <w:szCs w:val="26"/>
        </w:rPr>
        <w:t xml:space="preserve"> Акционерное Общество «</w:t>
      </w:r>
      <w:proofErr w:type="spellStart"/>
      <w:r>
        <w:rPr>
          <w:sz w:val="26"/>
          <w:szCs w:val="26"/>
        </w:rPr>
        <w:t>Обнинское</w:t>
      </w:r>
      <w:proofErr w:type="spellEnd"/>
      <w:r>
        <w:rPr>
          <w:sz w:val="26"/>
          <w:szCs w:val="26"/>
        </w:rPr>
        <w:t xml:space="preserve"> научно – производственное предприятие «Технология»</w:t>
      </w:r>
      <w:r>
        <w:rPr>
          <w:sz w:val="26"/>
          <w:szCs w:val="26"/>
        </w:rPr>
        <w:t xml:space="preserve">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>».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Заказчик: </w:t>
      </w:r>
      <w:r>
        <w:rPr>
          <w:sz w:val="26"/>
          <w:szCs w:val="26"/>
        </w:rPr>
        <w:t>ПАО «Ростелеком».</w:t>
      </w:r>
      <w:bookmarkStart w:id="0" w:name="_GoBack"/>
      <w:bookmarkEnd w:id="0"/>
      <w:r>
        <w:rPr>
          <w:sz w:val="26"/>
          <w:szCs w:val="26"/>
        </w:rPr>
        <w:t>__________</w:t>
      </w:r>
      <w:r>
        <w:rPr>
          <w:sz w:val="26"/>
          <w:szCs w:val="26"/>
          <w:shd w:val="clear" w:color="auto" w:fill="FFFF00"/>
        </w:rPr>
        <w:t xml:space="preserve"> 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 Общие требования</w:t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2.1. Цель выполнения работ:</w:t>
      </w:r>
    </w:p>
    <w:p w:rsidR="004914CC" w:rsidRDefault="00F11963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Установка новых технических средств оповещения в рамках развития муниципальной системы оповещения населения (далее – МСОН) городского округа «</w:t>
      </w:r>
      <w:r>
        <w:rPr>
          <w:sz w:val="26"/>
          <w:szCs w:val="26"/>
        </w:rPr>
        <w:t>Город Обнинск» Калужской области;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Своевременное и гарантированное оповещение работников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 xml:space="preserve">, населения городского округа «Город Обнинск» об опасностях, возникающих при военных конфликтах или вследствие этих конфликтов, </w:t>
      </w:r>
      <w:r>
        <w:rPr>
          <w:sz w:val="26"/>
          <w:szCs w:val="26"/>
        </w:rPr>
        <w:t>при чрезвычайных ситуациях природного и техногенного характера;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Увеличение зоны охвата работников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>, населения городского округа «Город Обнинск» техническими средствами оповещения.</w:t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2.2. Место выполнения Работ.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Работ</w:t>
      </w:r>
      <w:r>
        <w:rPr>
          <w:sz w:val="26"/>
          <w:szCs w:val="26"/>
        </w:rPr>
        <w:t>ы должны быть выполнены по следующим адресам городского округа «Город Обнинск» Калужской области: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Калужская область, г. Обнинск, Киевское шоссе, д. 15 (территория АО «ОНПП «Технология» им. А.Г. </w:t>
      </w:r>
      <w:proofErr w:type="spellStart"/>
      <w:r>
        <w:rPr>
          <w:sz w:val="26"/>
          <w:szCs w:val="26"/>
        </w:rPr>
        <w:t>Ромашина</w:t>
      </w:r>
      <w:proofErr w:type="spellEnd"/>
      <w:r>
        <w:rPr>
          <w:sz w:val="26"/>
          <w:szCs w:val="26"/>
        </w:rPr>
        <w:t>»).</w:t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2.3. Характеристика действующей МСОН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Локальная</w:t>
      </w:r>
      <w:r>
        <w:rPr>
          <w:sz w:val="26"/>
          <w:szCs w:val="26"/>
        </w:rPr>
        <w:t xml:space="preserve"> система оповещения (далее – ЛСО)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 xml:space="preserve"> входит в состав МСОН городского округа «Город Обнинск». МСОН городского округа «Город Обнинск» входит в состав РСОН Калужской области и построена на базе аппаратуры П-166М и П-166 с и</w:t>
      </w:r>
      <w:r>
        <w:rPr>
          <w:sz w:val="26"/>
          <w:szCs w:val="26"/>
        </w:rPr>
        <w:t>спользованием каналов сети связи и передачи данных, предоставляемых оператором связи в соответствии с действующими контрактами на 2026 год.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состав МСОН входит: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пульт управления муниципального уровня П-166М КПУ установленный в ЕДДС городского округа «Го</w:t>
      </w:r>
      <w:r>
        <w:rPr>
          <w:sz w:val="26"/>
          <w:szCs w:val="26"/>
        </w:rPr>
        <w:t>род Обнинск» по адресу: г. Обнинск, ул. Гурьянова, д. 3;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телекоммуникационный сервер П-166М ТКС установленный в ЕДДС городского округа «Город Обнинск» по адресу: г. Обнинск, ул. Гурьянова, д. 3;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коммутации сообщений П-166БКС установленный по адрес</w:t>
      </w:r>
      <w:r>
        <w:rPr>
          <w:sz w:val="26"/>
          <w:szCs w:val="26"/>
        </w:rPr>
        <w:t>у: г. Обнинск, пр. Ленина, д. 123 (Ростелеком);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оповещения универсальный П-166БОУ в количестве 2 шт. установленные по адресам: г. Обнинск, пр. Ленина, д. 123 (Ростелеком) и г. Обнинск, ул. Курчатова, д. 6 (Ростелеком);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блоки индивидуальных комплек</w:t>
      </w:r>
      <w:r>
        <w:rPr>
          <w:sz w:val="26"/>
          <w:szCs w:val="26"/>
        </w:rPr>
        <w:t>тов П-166БИК в количестве 6 шт. установленные по адресам: г. Обнинск, пр. Ленина, д. 123 (Ростелеком) и г. Обнинск, ул. Курчатова, д. 6 (Ростелеком);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устройство оконечное пусковое П-164АМ в комплекте с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 xml:space="preserve"> С-40 в количестве 18 шт. установленны</w:t>
      </w:r>
      <w:r>
        <w:rPr>
          <w:sz w:val="26"/>
          <w:szCs w:val="26"/>
        </w:rPr>
        <w:t>е на социальных и промышленных объектах г. Обнинска;</w:t>
      </w:r>
    </w:p>
    <w:p w:rsidR="004914CC" w:rsidRDefault="00F119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усилительно-коммутационный блок УКБ СГС-22-МЕ400Н в комплекте с четырьмя громкоговорителями в количестве 2 шт. установленные на социальных и промышленных объектах г. Обнинска.</w:t>
      </w:r>
    </w:p>
    <w:p w:rsidR="004914CC" w:rsidRDefault="004914CC">
      <w:pPr>
        <w:ind w:firstLine="709"/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3. Требования к </w:t>
      </w:r>
      <w:r>
        <w:rPr>
          <w:b/>
          <w:sz w:val="26"/>
          <w:szCs w:val="26"/>
        </w:rPr>
        <w:t>выполняемым работам</w:t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3.2. Порядок и требования к выполняемым работам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Места размещения, точки подключения вновь устанавливаемых ТСО к сети электропитания, локальной сети передачи данных определяет и обеспечивает Муниципальный заказчик.</w:t>
      </w:r>
    </w:p>
    <w:p w:rsidR="004914CC" w:rsidRDefault="00F119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Подключение вновь ус</w:t>
      </w:r>
      <w:r>
        <w:rPr>
          <w:sz w:val="26"/>
          <w:szCs w:val="26"/>
        </w:rPr>
        <w:t>танавливаемого оборудования к сети электропитания объекта установки осуществляется Подрядчиком, при этом точку подключения определяет Муниципальный заказчик.</w:t>
      </w:r>
    </w:p>
    <w:p w:rsidR="004914CC" w:rsidRDefault="00F119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каналов связи и передачи данных от вновь устанавливаемых ТСО до помещения «серверная» </w:t>
      </w:r>
      <w:r>
        <w:rPr>
          <w:sz w:val="26"/>
          <w:szCs w:val="26"/>
        </w:rPr>
        <w:t>объекта установки осуществляется Муниципальным заказчиком.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Блок управления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 xml:space="preserve"> должен быть установлен внутри здания. </w:t>
      </w:r>
      <w:proofErr w:type="spellStart"/>
      <w:r>
        <w:rPr>
          <w:sz w:val="26"/>
          <w:szCs w:val="26"/>
        </w:rPr>
        <w:t>Электросирена</w:t>
      </w:r>
      <w:proofErr w:type="spellEnd"/>
      <w:r>
        <w:rPr>
          <w:sz w:val="26"/>
          <w:szCs w:val="26"/>
        </w:rPr>
        <w:t>, входящая в комплект вновь устанавливаемых технических средств оповещения, устанавливается непосредственно на кры</w:t>
      </w:r>
      <w:r>
        <w:rPr>
          <w:sz w:val="26"/>
          <w:szCs w:val="26"/>
        </w:rPr>
        <w:t xml:space="preserve">ше здания. Расположение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должно обеспечивать круговую диаграмму направленности. При размещении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необходимо учесть, чтобы распространению звука не препятствовали элементы конструкции здания (объекта установки).</w:t>
      </w:r>
    </w:p>
    <w:p w:rsidR="004914CC" w:rsidRDefault="00F11963">
      <w:pPr>
        <w:ind w:firstLine="708"/>
        <w:jc w:val="both"/>
        <w:rPr>
          <w:sz w:val="26"/>
          <w:szCs w:val="26"/>
          <w:shd w:val="clear" w:color="auto" w:fill="FFFF00"/>
        </w:rPr>
      </w:pPr>
      <w:r>
        <w:rPr>
          <w:sz w:val="26"/>
          <w:szCs w:val="26"/>
        </w:rPr>
        <w:t xml:space="preserve">С целью подключения </w:t>
      </w:r>
      <w:r>
        <w:rPr>
          <w:sz w:val="26"/>
          <w:szCs w:val="26"/>
        </w:rPr>
        <w:t xml:space="preserve">существующей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С-40 к пульту управления муниципального уровня П-166М КПУ (версия ПО: 632.135.478) установленного в ЕДДС города Обнинска по адресу: г. Обнинск, ул. Гурьянова, д. 3, должен быть установлен блок управления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>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Управлен</w:t>
      </w:r>
      <w:r>
        <w:rPr>
          <w:sz w:val="26"/>
          <w:szCs w:val="26"/>
        </w:rPr>
        <w:t>ие устанавливаемыми техническими средствами оповещения населения должно производится от оборудования П-166М КПУ (версия ПО: 632.135.478) установленного в ЕДДС города Обнинска по адресу: г. Обнинск, ул. Гурьянова, д. 3 (пульт управления муниципального уровн</w:t>
      </w:r>
      <w:r>
        <w:rPr>
          <w:sz w:val="26"/>
          <w:szCs w:val="26"/>
        </w:rPr>
        <w:t>я), П-166М КПУ (версия ПО: 677.067.518) установленного в ЦУКС Главного управления МЧС России по Калужской области по адресу: г. Калуга, ул. Кирова, д. 9а (пульт управления регионального уровня), П-166М КПУ (версия ПО: 632.135.478) установленного на объекте</w:t>
      </w:r>
      <w:r>
        <w:rPr>
          <w:sz w:val="26"/>
          <w:szCs w:val="26"/>
        </w:rPr>
        <w:t xml:space="preserve"> «Дом Быта» (резервный пульт управления регионального уровня) и должно быть обеспечено по проводным цифровым каналам связи (услуга предоставляется по отдельному контракту) в сети оповещения населения Калужской области.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Сопряжение РСОН и АПК «Безопасный го</w:t>
      </w:r>
      <w:r>
        <w:rPr>
          <w:sz w:val="26"/>
          <w:szCs w:val="26"/>
        </w:rPr>
        <w:t xml:space="preserve">род» Калужской области организовано посредством сервера мониторинга и сопряжения П-166М СМИС (версия </w:t>
      </w:r>
      <w:proofErr w:type="gramStart"/>
      <w:r>
        <w:rPr>
          <w:sz w:val="26"/>
          <w:szCs w:val="26"/>
        </w:rPr>
        <w:t>ПО:RUS.АЕСФ</w:t>
      </w:r>
      <w:proofErr w:type="gramEnd"/>
      <w:r>
        <w:rPr>
          <w:sz w:val="26"/>
          <w:szCs w:val="26"/>
        </w:rPr>
        <w:t>.466452.012-01) установленного по адресу: г. Калуга, ул. Пушкина, д.3а, находящегося в сети оповещения населения Калужской области. Передача инф</w:t>
      </w:r>
      <w:r>
        <w:rPr>
          <w:sz w:val="26"/>
          <w:szCs w:val="26"/>
        </w:rPr>
        <w:t xml:space="preserve">ормации о состоянии и задействовании вновь устанавливаемых ТСО в ГИС аппаратно-программный комплекс «Безопасный город» Калужской области должна быть организована с использованием вышеуказанного сервера.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Установка оборудования, пуско-наладочные работы и в</w:t>
      </w:r>
      <w:r>
        <w:rPr>
          <w:sz w:val="26"/>
          <w:szCs w:val="26"/>
        </w:rPr>
        <w:t xml:space="preserve">вод оборудования в эксплуатацию должны осуществляться без снижения готовности МСОН города Обнинска.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 целью проведения </w:t>
      </w:r>
      <w:proofErr w:type="spellStart"/>
      <w:r>
        <w:rPr>
          <w:sz w:val="26"/>
          <w:szCs w:val="26"/>
        </w:rPr>
        <w:t>приёмо</w:t>
      </w:r>
      <w:proofErr w:type="spellEnd"/>
      <w:r>
        <w:rPr>
          <w:sz w:val="26"/>
          <w:szCs w:val="26"/>
        </w:rPr>
        <w:t>–сдаточных испытаний Заказчик организовывает каналы связи и передачи данных от пульта управления муниципального уровня П-166М КПУ</w:t>
      </w:r>
      <w:r>
        <w:rPr>
          <w:sz w:val="26"/>
          <w:szCs w:val="26"/>
        </w:rPr>
        <w:t xml:space="preserve"> установленного города Обнинска до помещения «серверная» объекта установки в сети оповещения населения Калужской области согласно табл. 3.</w:t>
      </w:r>
    </w:p>
    <w:p w:rsidR="004914CC" w:rsidRDefault="00F11963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3.3. Основные требования к техническим средствам оповещения.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Предлагаемое к использованию оборудование должно </w:t>
      </w:r>
      <w:r>
        <w:rPr>
          <w:sz w:val="26"/>
          <w:szCs w:val="26"/>
        </w:rPr>
        <w:t>быть новым (оборудование, которое не было в употреблении, в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свойства), не имеющим внешних признаков поврежде</w:t>
      </w:r>
      <w:r>
        <w:rPr>
          <w:sz w:val="26"/>
          <w:szCs w:val="26"/>
        </w:rPr>
        <w:t>ний, связанных с транспортировкой, погрузо-разгрузочными работами.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Все оборудование должно быть новым, не бывшим в употреблении и удовлетворять требованиям ГОСТ Р 42.3.01-2021 «Гражданская оборона. Технические средства оповещения населения. Классификация.</w:t>
      </w:r>
      <w:r>
        <w:rPr>
          <w:sz w:val="26"/>
          <w:szCs w:val="26"/>
        </w:rPr>
        <w:t xml:space="preserve"> Общие технические требования», а также быть разработанным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</w:t>
      </w:r>
      <w:r>
        <w:rPr>
          <w:sz w:val="26"/>
          <w:szCs w:val="26"/>
        </w:rPr>
        <w:t>ошедшее в установленном порядке приемочные испытания и принято к серийному производству на территории Российской Федерации.</w:t>
      </w:r>
    </w:p>
    <w:p w:rsidR="004914CC" w:rsidRDefault="00F11963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4914CC" w:rsidRDefault="00F11963">
      <w:pPr>
        <w:ind w:firstLine="7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Состав </w:t>
      </w:r>
      <w:r w:rsidR="003A4CD3">
        <w:rPr>
          <w:b/>
          <w:bCs/>
          <w:sz w:val="26"/>
          <w:szCs w:val="26"/>
        </w:rPr>
        <w:t>используемого</w:t>
      </w:r>
      <w:r>
        <w:rPr>
          <w:b/>
          <w:bCs/>
          <w:sz w:val="26"/>
          <w:szCs w:val="26"/>
        </w:rPr>
        <w:t xml:space="preserve"> оборудования</w:t>
      </w:r>
    </w:p>
    <w:p w:rsidR="004914CC" w:rsidRDefault="00F11963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  <w:r>
        <w:rPr>
          <w:sz w:val="26"/>
          <w:szCs w:val="26"/>
        </w:rPr>
        <w:t xml:space="preserve">           Таблица № 1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955"/>
        <w:gridCol w:w="1701"/>
        <w:gridCol w:w="1274"/>
      </w:tblGrid>
      <w:tr w:rsidR="004914C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№</w:t>
            </w:r>
          </w:p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Ед. изм.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Кол-во</w:t>
            </w:r>
          </w:p>
        </w:tc>
      </w:tr>
      <w:tr w:rsidR="004914C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MS Mincho;ＭＳ 明朝"/>
                <w:sz w:val="26"/>
                <w:szCs w:val="26"/>
                <w:lang w:eastAsia="ja-JP"/>
              </w:rPr>
              <w:t>Блок управления сиреной П-166М БУС УЯИД.468333.001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</w:tr>
      <w:tr w:rsidR="004914C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MS Mincho;ＭＳ 明朝"/>
                <w:sz w:val="26"/>
                <w:szCs w:val="26"/>
                <w:lang w:eastAsia="ja-JP"/>
              </w:rPr>
              <w:t>Электросирена</w:t>
            </w:r>
            <w:proofErr w:type="spellEnd"/>
            <w:r>
              <w:rPr>
                <w:rFonts w:eastAsia="MS Mincho;ＭＳ 明朝"/>
                <w:sz w:val="26"/>
                <w:szCs w:val="26"/>
                <w:lang w:eastAsia="ja-JP"/>
              </w:rPr>
              <w:t xml:space="preserve"> С-40 380В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</w:tr>
    </w:tbl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Требования к функциональным и эксплуатационным характеристикам </w:t>
      </w:r>
      <w:r w:rsidR="003A4CD3">
        <w:rPr>
          <w:b/>
          <w:sz w:val="26"/>
          <w:szCs w:val="26"/>
        </w:rPr>
        <w:t>используемого</w:t>
      </w:r>
      <w:r>
        <w:rPr>
          <w:b/>
          <w:sz w:val="26"/>
          <w:szCs w:val="26"/>
        </w:rPr>
        <w:t xml:space="preserve"> оборудования</w:t>
      </w:r>
    </w:p>
    <w:p w:rsidR="004914CC" w:rsidRDefault="00F11963">
      <w:pPr>
        <w:ind w:firstLine="708"/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sz w:val="26"/>
          <w:szCs w:val="26"/>
        </w:rPr>
        <w:t>Таблица № 2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829"/>
        <w:gridCol w:w="5102"/>
      </w:tblGrid>
      <w:tr w:rsidR="004914CC">
        <w:trPr>
          <w:trHeight w:val="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№</w:t>
            </w:r>
            <w:r>
              <w:rPr>
                <w:rFonts w:eastAsia="Times New Roman;Times New Roman"/>
                <w:b/>
                <w:sz w:val="26"/>
                <w:szCs w:val="26"/>
                <w:lang w:eastAsia="ja-JP"/>
              </w:rPr>
              <w:t xml:space="preserve"> </w:t>
            </w: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Наименование показателя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Значение показателей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Блок управления сиреной</w:t>
            </w:r>
          </w:p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 xml:space="preserve">номер реестровой </w:t>
            </w:r>
            <w:r>
              <w:rPr>
                <w:rFonts w:eastAsia="MS Mincho;ＭＳ 明朝"/>
                <w:sz w:val="22"/>
                <w:szCs w:val="22"/>
                <w:lang w:eastAsia="ja-JP"/>
              </w:rPr>
              <w:t>записи из реестра российской промышленной продукции № 10606319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>Кратковременное подключение приборов звукового оповещения (</w:t>
            </w:r>
            <w:proofErr w:type="spellStart"/>
            <w:r>
              <w:rPr>
                <w:sz w:val="22"/>
                <w:szCs w:val="22"/>
                <w:lang w:eastAsia="en-US"/>
              </w:rPr>
              <w:t>электросирен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С-40, С-28) к трёхфазной сети переменного тока напряжением 380 В по командам дистанционного </w:t>
            </w:r>
            <w:r>
              <w:rPr>
                <w:sz w:val="22"/>
                <w:szCs w:val="22"/>
                <w:lang w:eastAsia="en-US"/>
              </w:rPr>
              <w:t>управления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Гарантированная пропускная способность «точка-точка», Кбит/с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Работа по TCP/UDP портам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60000 – 60003</w:t>
            </w:r>
          </w:p>
        </w:tc>
      </w:tr>
      <w:tr w:rsidR="004914CC">
        <w:trPr>
          <w:trHeight w:val="1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Выполнение указанных функций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Работа по цифровым сетям с «</w:t>
            </w:r>
            <w:proofErr w:type="spellStart"/>
            <w:r>
              <w:rPr>
                <w:sz w:val="22"/>
                <w:szCs w:val="22"/>
                <w:lang w:eastAsia="en-US"/>
              </w:rPr>
              <w:t>Ethernet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-интерфейсом» 10/100 Мбит с коммутацией пакетов (ТСР/IР) в </w:t>
            </w:r>
            <w:r>
              <w:rPr>
                <w:sz w:val="22"/>
                <w:szCs w:val="22"/>
                <w:lang w:eastAsia="en-US"/>
              </w:rPr>
              <w:t>составе КТСО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iCs/>
                <w:sz w:val="22"/>
                <w:szCs w:val="22"/>
                <w:lang w:eastAsia="en-US"/>
              </w:rPr>
              <w:t>- управление от оборудования П-166М (КПУ)</w:t>
            </w:r>
            <w:r>
              <w:rPr>
                <w:sz w:val="22"/>
                <w:szCs w:val="22"/>
                <w:lang w:eastAsia="en-US"/>
              </w:rPr>
              <w:t>, а также от модема сопряжения с оборудованием П-166 своего уровня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Приём сигналов управления и передача ответного сигнала подтверждения по цифровым сетям передачи данных с пакетной коммутацией 10B</w:t>
            </w:r>
            <w:r>
              <w:rPr>
                <w:sz w:val="22"/>
                <w:szCs w:val="22"/>
                <w:lang w:eastAsia="en-US"/>
              </w:rPr>
              <w:t>ase-T (IEEЕ 802.3i) и 100Base-TX (IEEE 802.3u) с гарантированной пропускной способностью «точка-точка»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Передача сообщений о своём состоянии в соответствии с принимаемыми командами дистанционного управления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Включение сирены в непрерывном и прерывистом</w:t>
            </w:r>
            <w:r>
              <w:rPr>
                <w:sz w:val="22"/>
                <w:szCs w:val="22"/>
                <w:lang w:eastAsia="en-US"/>
              </w:rPr>
              <w:t xml:space="preserve"> режимах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380 В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220/380 В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 xml:space="preserve">Приём и индикация команд «Включение сирены в </w:t>
            </w:r>
            <w:r>
              <w:rPr>
                <w:sz w:val="22"/>
                <w:szCs w:val="22"/>
                <w:lang w:eastAsia="en-US"/>
              </w:rPr>
              <w:t>непрерывном режиме», «Включение сирены в прерывистом режиме», «Выключение сирены», «Опрос»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Подключение сирены к сети переменного тока на 180 сек. при получении команды «Включение сирены в непрерывном режиме» и передачу сообщения «Сирена включена»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Под</w:t>
            </w:r>
            <w:r>
              <w:rPr>
                <w:sz w:val="22"/>
                <w:szCs w:val="22"/>
                <w:lang w:eastAsia="en-US"/>
              </w:rPr>
              <w:t>ключение сирены к сети переменного тока на 9 сек. и отключение на 6 сек. в течение180 сек. при получении команды Включение сирены в прерывистом режиме и передачу сообщения «Сирена включена»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Отключение сирены от сети переменного тока при получении команд</w:t>
            </w:r>
            <w:r>
              <w:rPr>
                <w:sz w:val="22"/>
                <w:szCs w:val="22"/>
                <w:lang w:eastAsia="en-US"/>
              </w:rPr>
              <w:t>ы «Выключение сирены» и передачу сообщения «Сирена выключена»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Передача сообщения «Блок исправен» при получении команды «Опрос»</w:t>
            </w:r>
          </w:p>
        </w:tc>
      </w:tr>
      <w:tr w:rsidR="004914CC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4914CC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 xml:space="preserve">Передача сообщения «Нет фазы» при получении любой команды при уменьшении напряжения любой из трёх фаз трёхфазной сети </w:t>
            </w:r>
            <w:r>
              <w:rPr>
                <w:sz w:val="22"/>
                <w:szCs w:val="22"/>
                <w:lang w:eastAsia="en-US"/>
              </w:rPr>
              <w:t>переменного тока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bCs/>
                <w:sz w:val="22"/>
                <w:szCs w:val="22"/>
                <w:lang w:eastAsia="en-US"/>
              </w:rPr>
              <w:t>Обеспечение работоспособности при условии исключения воздействия указанных факторов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паров кислот, щелочей, а также других агрессивных сред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iCs/>
                <w:sz w:val="22"/>
                <w:szCs w:val="22"/>
                <w:lang w:eastAsia="en-US"/>
              </w:rPr>
              <w:t>У 2.1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 xml:space="preserve">Электропитание изделия </w:t>
            </w:r>
            <w:r>
              <w:rPr>
                <w:sz w:val="22"/>
                <w:szCs w:val="22"/>
                <w:lang w:eastAsia="en-US"/>
              </w:rPr>
              <w:t>осуществляется от сети переменного тока частотой (50 ± 1) Гц напряжением,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220 (+22; -33)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Требования к напряжению питания сирены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трёхфазная сеть переменного тока напряжением 380 В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CC" w:rsidRDefault="00F11963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Габаритные размеры изделия (</w:t>
            </w:r>
            <w:proofErr w:type="spellStart"/>
            <w:r>
              <w:rPr>
                <w:sz w:val="22"/>
                <w:szCs w:val="22"/>
                <w:lang w:eastAsia="en-US"/>
              </w:rPr>
              <w:t>ВхШхГ</w:t>
            </w:r>
            <w:proofErr w:type="spellEnd"/>
            <w:r>
              <w:rPr>
                <w:sz w:val="22"/>
                <w:szCs w:val="22"/>
                <w:lang w:eastAsia="en-US"/>
              </w:rPr>
              <w:t>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340 × 242 × 182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proofErr w:type="spellStart"/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Электросирена</w:t>
            </w:r>
            <w:proofErr w:type="spellEnd"/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 xml:space="preserve"> С-40</w:t>
            </w:r>
          </w:p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>Подача звуковых сигналов на открытом воздухе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>Уровень звукового давления на расстоянии одного метра от оси сирены, дБ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Не менее 120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r>
              <w:rPr>
                <w:sz w:val="22"/>
                <w:szCs w:val="22"/>
                <w:lang w:eastAsia="en-US"/>
              </w:rPr>
              <w:t xml:space="preserve">Частота </w:t>
            </w:r>
            <w:r>
              <w:rPr>
                <w:sz w:val="22"/>
                <w:szCs w:val="22"/>
                <w:lang w:eastAsia="en-US"/>
              </w:rPr>
              <w:t>звуковых колебаний, Гц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400…450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Номинальное напряжение,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380 (+-10%)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Номинальная частота вращения рабочего колеса, об/мин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Не более 3000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У 1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65</w:t>
            </w:r>
          </w:p>
        </w:tc>
      </w:tr>
      <w:tr w:rsidR="004914CC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 xml:space="preserve">Габаритные размеры </w:t>
            </w: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изделия (</w:t>
            </w:r>
            <w:proofErr w:type="spellStart"/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ВхД</w:t>
            </w:r>
            <w:proofErr w:type="spellEnd"/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CC" w:rsidRDefault="00F11963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575 × 740</w:t>
            </w:r>
          </w:p>
        </w:tc>
      </w:tr>
    </w:tbl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3.4. Требования к каналам связи 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Для проведения приёмо-сдаточных испытаний и последующего управления устанавливаемыми ТСО Заказчик организовывает VPN каналы передачи данных в действующей сети оповещения населения Калужской </w:t>
      </w:r>
      <w:r>
        <w:rPr>
          <w:sz w:val="26"/>
          <w:szCs w:val="26"/>
        </w:rPr>
        <w:t>области от пульта управления П-166М КПУ установленного в ЕДДС города Обнинска до помещения «серверная» объекта установки, Муниципальный заказчик организовывает каналы передачи данных в локальной сети объекта установки от помещения «серверная» объекта устан</w:t>
      </w:r>
      <w:r>
        <w:rPr>
          <w:sz w:val="26"/>
          <w:szCs w:val="26"/>
        </w:rPr>
        <w:t>овки до вновь устанавливаемых ТСО в соответствии с нижеприведёнными требованиями.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Требования предъявляемые к каналам связи для подключения ТСО: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проводной VPN канал точка-точка;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пропускная способность канала 128 кбит/сек или выше;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свободное прохож</w:t>
      </w:r>
      <w:r>
        <w:rPr>
          <w:sz w:val="26"/>
          <w:szCs w:val="26"/>
        </w:rPr>
        <w:t xml:space="preserve">дение в обе стороны </w:t>
      </w:r>
      <w:proofErr w:type="spellStart"/>
      <w:r>
        <w:rPr>
          <w:sz w:val="26"/>
          <w:szCs w:val="26"/>
        </w:rPr>
        <w:t>мультикаст</w:t>
      </w:r>
      <w:proofErr w:type="spellEnd"/>
      <w:r>
        <w:rPr>
          <w:sz w:val="26"/>
          <w:szCs w:val="26"/>
        </w:rPr>
        <w:t xml:space="preserve"> рассылки и ICMP пакетов (</w:t>
      </w:r>
      <w:proofErr w:type="spellStart"/>
      <w:r>
        <w:rPr>
          <w:sz w:val="26"/>
          <w:szCs w:val="26"/>
        </w:rPr>
        <w:t>ping</w:t>
      </w:r>
      <w:proofErr w:type="spellEnd"/>
      <w:r>
        <w:rPr>
          <w:sz w:val="26"/>
          <w:szCs w:val="26"/>
        </w:rPr>
        <w:t xml:space="preserve">) ко всем точкам подключения с задержкой не более 10 </w:t>
      </w:r>
      <w:proofErr w:type="spellStart"/>
      <w:r>
        <w:rPr>
          <w:sz w:val="26"/>
          <w:szCs w:val="26"/>
        </w:rPr>
        <w:t>мс</w:t>
      </w:r>
      <w:proofErr w:type="spellEnd"/>
      <w:r>
        <w:rPr>
          <w:sz w:val="26"/>
          <w:szCs w:val="26"/>
        </w:rPr>
        <w:t>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Каналы связи и передачи данных организуются на момент проведения приёмо-сдаточных испытаний. Последующая оплата услуг связи производится в</w:t>
      </w:r>
      <w:r>
        <w:rPr>
          <w:sz w:val="26"/>
          <w:szCs w:val="26"/>
        </w:rPr>
        <w:t xml:space="preserve"> рамках отдельного контракта.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IP адреса пультов управления и вновь устанавливаемых ТСО указаны в табл. 3.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Перечень IP каналов для обеспечения функционирования ТСО в сети оповещения населения Калужской области</w:t>
      </w:r>
    </w:p>
    <w:p w:rsidR="004914CC" w:rsidRDefault="004914CC">
      <w:pPr>
        <w:jc w:val="center"/>
        <w:rPr>
          <w:sz w:val="26"/>
          <w:szCs w:val="26"/>
        </w:rPr>
      </w:pPr>
    </w:p>
    <w:p w:rsidR="004914CC" w:rsidRDefault="00F11963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№ 3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700"/>
        <w:gridCol w:w="3403"/>
        <w:gridCol w:w="1275"/>
      </w:tblGrid>
      <w:tr w:rsidR="004914C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№ п/п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размещения ПУ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 xml:space="preserve">IP </w:t>
            </w:r>
            <w:r>
              <w:rPr>
                <w:rFonts w:eastAsia="Roman PS"/>
                <w:b/>
                <w:sz w:val="26"/>
                <w:szCs w:val="26"/>
              </w:rPr>
              <w:t>адрес ПУ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устанавливаемого ТСО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IP адрес ТСО</w:t>
            </w:r>
          </w:p>
        </w:tc>
      </w:tr>
      <w:tr w:rsidR="004914C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 xml:space="preserve">Российская Федерация, </w:t>
            </w:r>
            <w:proofErr w:type="spellStart"/>
            <w:r>
              <w:rPr>
                <w:rFonts w:eastAsia="Roman PS"/>
                <w:sz w:val="22"/>
                <w:szCs w:val="22"/>
              </w:rPr>
              <w:t>обл</w:t>
            </w:r>
            <w:proofErr w:type="spellEnd"/>
            <w:r>
              <w:rPr>
                <w:rFonts w:eastAsia="Roman PS"/>
                <w:sz w:val="22"/>
                <w:szCs w:val="22"/>
              </w:rPr>
              <w:t xml:space="preserve"> Калужская, г. Обнинск, Киевское шоссе, д. 15 (в районе цеха 82)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10.140.15.4</w:t>
            </w:r>
          </w:p>
        </w:tc>
      </w:tr>
      <w:tr w:rsidR="004914C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 xml:space="preserve">Российская Федерация, </w:t>
            </w:r>
            <w:proofErr w:type="spellStart"/>
            <w:r>
              <w:rPr>
                <w:rFonts w:eastAsia="Roman PS"/>
                <w:sz w:val="22"/>
                <w:szCs w:val="22"/>
              </w:rPr>
              <w:t>обл</w:t>
            </w:r>
            <w:proofErr w:type="spellEnd"/>
            <w:r>
              <w:rPr>
                <w:rFonts w:eastAsia="Roman PS"/>
                <w:sz w:val="22"/>
                <w:szCs w:val="22"/>
              </w:rPr>
              <w:t xml:space="preserve"> Калужская, г. Обнинск, Киевское шоссе, д. 15 (в районе цеха 92)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4CC" w:rsidRDefault="00F11963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10.140.15.5</w:t>
            </w:r>
          </w:p>
        </w:tc>
      </w:tr>
    </w:tbl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b/>
          <w:sz w:val="26"/>
          <w:szCs w:val="26"/>
        </w:rPr>
        <w:t>3.5. Требования по безотказности и сроку эксплуатации оборудования</w:t>
      </w:r>
      <w:r>
        <w:rPr>
          <w:sz w:val="26"/>
          <w:szCs w:val="26"/>
        </w:rPr>
        <w:t xml:space="preserve"> (ГОСТ Р 42.3.01-2021 «Гражданская оборона. Технические средства оповещ</w:t>
      </w:r>
      <w:r>
        <w:rPr>
          <w:sz w:val="26"/>
          <w:szCs w:val="26"/>
        </w:rPr>
        <w:t>ения населения. Классификация. Общие технические требования» п. 5.1.2).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а) средняя наработка на отказ - не менее 30000 ч.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б) средний срок службы до списания – не менее 12 лет;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в) достоверность воспроизводимой информации: для слоговой разборчивости – н</w:t>
      </w:r>
      <w:r>
        <w:rPr>
          <w:sz w:val="26"/>
          <w:szCs w:val="26"/>
        </w:rPr>
        <w:t>е менее 86 %; для словесной разборчивости (разборчивость слов при передаче речевых сообщений) – не менее 95 % (ГОСТ 16600-72 «</w:t>
      </w:r>
      <w:hyperlink r:id="rId8">
        <w:r>
          <w:rPr>
            <w:color w:val="0000FF"/>
            <w:sz w:val="26"/>
            <w:szCs w:val="26"/>
            <w:u w:val="single"/>
          </w:rPr>
          <w:t>Передача речи по трактам радиотелефонной связи. Требования к разборчивости ре</w:t>
        </w:r>
        <w:r>
          <w:rPr>
            <w:color w:val="0000FF"/>
            <w:sz w:val="26"/>
            <w:szCs w:val="26"/>
            <w:u w:val="single"/>
          </w:rPr>
          <w:t>чи и методы артикуляционных измерений</w:t>
        </w:r>
      </w:hyperlink>
      <w:r>
        <w:rPr>
          <w:sz w:val="26"/>
          <w:szCs w:val="26"/>
        </w:rPr>
        <w:t xml:space="preserve">»);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г) электромагнитная совместимость должна соответствовать ГОСТ 30804.4.3-2013 «</w:t>
      </w:r>
      <w:hyperlink r:id="rId9">
        <w:r>
          <w:rPr>
            <w:color w:val="0000FF"/>
            <w:sz w:val="26"/>
            <w:szCs w:val="26"/>
            <w:u w:val="single"/>
          </w:rPr>
          <w:t>Совместимость технических средств электромагнитная. Устойчивость к радиочаст</w:t>
        </w:r>
        <w:r>
          <w:rPr>
            <w:color w:val="0000FF"/>
            <w:sz w:val="26"/>
            <w:szCs w:val="26"/>
            <w:u w:val="single"/>
          </w:rPr>
          <w:t>отному электромагнитному полю. Требования и методы испытаний</w:t>
        </w:r>
      </w:hyperlink>
      <w:r>
        <w:rPr>
          <w:sz w:val="26"/>
          <w:szCs w:val="26"/>
        </w:rPr>
        <w:t xml:space="preserve">»;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д) устойчивость к микросекундным импульсным помехам большой энергии должна соответствовать ГОСТ Р 51317.4.5-99 «Совместимость технических средств электромагнитная. Устойчивость к микросекундн</w:t>
      </w:r>
      <w:r>
        <w:rPr>
          <w:sz w:val="26"/>
          <w:szCs w:val="26"/>
        </w:rPr>
        <w:t xml:space="preserve">ым импульсным помехам большой </w:t>
      </w:r>
      <w:proofErr w:type="spellStart"/>
      <w:r>
        <w:rPr>
          <w:sz w:val="26"/>
          <w:szCs w:val="26"/>
        </w:rPr>
        <w:t>энегрии</w:t>
      </w:r>
      <w:proofErr w:type="spellEnd"/>
      <w:r>
        <w:rPr>
          <w:sz w:val="26"/>
          <w:szCs w:val="26"/>
        </w:rPr>
        <w:t xml:space="preserve">. Требования и методы испытаний».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е) защитные покрытия должны соответствовать ГОСТ 9.303-84 «</w:t>
      </w:r>
      <w:hyperlink r:id="rId10">
        <w:r>
          <w:rPr>
            <w:color w:val="0000FF"/>
            <w:sz w:val="26"/>
            <w:szCs w:val="26"/>
            <w:u w:val="single"/>
          </w:rPr>
          <w:t xml:space="preserve">Единая система защиты от коррозии и старения. Покрытия металлические и </w:t>
        </w:r>
        <w:r>
          <w:rPr>
            <w:color w:val="0000FF"/>
            <w:sz w:val="26"/>
            <w:szCs w:val="26"/>
            <w:u w:val="single"/>
          </w:rPr>
          <w:t>неметаллические неорганические. Общие требования к выбору</w:t>
        </w:r>
      </w:hyperlink>
      <w:r>
        <w:rPr>
          <w:sz w:val="26"/>
          <w:szCs w:val="26"/>
        </w:rPr>
        <w:t xml:space="preserve">»; 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ж) полная работоспособность после внешних воздействий механических нагрузок с параметрами и их значениями по ГОСТ 30631-99 «</w:t>
      </w:r>
      <w:hyperlink r:id="rId11">
        <w:r>
          <w:rPr>
            <w:bCs/>
            <w:color w:val="0000FF"/>
            <w:sz w:val="26"/>
            <w:szCs w:val="26"/>
            <w:u w:val="single"/>
            <w:shd w:val="clear" w:color="auto" w:fill="FFFFFF"/>
          </w:rPr>
          <w:t xml:space="preserve">Общие требования </w:t>
        </w:r>
        <w:r>
          <w:rPr>
            <w:bCs/>
            <w:color w:val="0000FF"/>
            <w:sz w:val="26"/>
            <w:szCs w:val="26"/>
            <w:u w:val="single"/>
            <w:shd w:val="clear" w:color="auto" w:fill="FFFFFF"/>
          </w:rPr>
          <w:t>к машинам, приборам и другим техническим изделиям в части стойкости к механическим внешним воздействующим факторам при эксплуатации</w:t>
        </w:r>
      </w:hyperlink>
      <w:r>
        <w:rPr>
          <w:sz w:val="26"/>
          <w:szCs w:val="26"/>
        </w:rPr>
        <w:t>»;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з) возможность круглосуточной работы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3.6. Требования по электробезопасности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Технические средства системы оповещения </w:t>
      </w:r>
      <w:r>
        <w:rPr>
          <w:sz w:val="26"/>
          <w:szCs w:val="26"/>
        </w:rPr>
        <w:t>населения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Токоведущие составные части технических средств системы оповещения населени</w:t>
      </w:r>
      <w:r>
        <w:rPr>
          <w:sz w:val="26"/>
          <w:szCs w:val="26"/>
        </w:rPr>
        <w:t>я должны быть надежно изолированы и не допускать электрического замыкания на корпус, их корпуса должны быть заземлены в соответствии ‎с указаниями, изложенными в эксплуатационной документации на технические средства оповещения;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Электропитание </w:t>
      </w:r>
      <w:r>
        <w:rPr>
          <w:sz w:val="26"/>
          <w:szCs w:val="26"/>
        </w:rPr>
        <w:t>технических средств оповещения должно осуществляться от сети гарантированного электропитания, в том числе от источников автономного питания (для электромеханических сирен источники автономного питания не предусматриваются).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Сохранность информации в сист</w:t>
      </w:r>
      <w:r>
        <w:rPr>
          <w:sz w:val="26"/>
          <w:szCs w:val="26"/>
        </w:rPr>
        <w:t xml:space="preserve">еме оповещения населения должна обеспечиваться при отключении электропитания (в том числе аварийном), отказах отдельных элементов технических средств оповещения и авариях ‎на сетях связи. 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3.7. Конструктивные требования, требования по стандартизации и ун</w:t>
      </w:r>
      <w:r>
        <w:rPr>
          <w:b/>
          <w:sz w:val="26"/>
          <w:szCs w:val="26"/>
        </w:rPr>
        <w:t>ификации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оборудовании должны быть применены стандартные детали, заимствованные, освоенные производством (детали базовых конструкций).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b/>
          <w:sz w:val="26"/>
          <w:szCs w:val="26"/>
        </w:rPr>
        <w:t>3.10. Требования по эргономике и технической эстетике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Компоновка элементов схемы выполняется с учетом требований эрг</w:t>
      </w:r>
      <w:r>
        <w:rPr>
          <w:sz w:val="26"/>
          <w:szCs w:val="26"/>
        </w:rPr>
        <w:t>ономики по ГОСТ 12.2.049-80 «</w:t>
      </w:r>
      <w:hyperlink r:id="rId12">
        <w:r>
          <w:rPr>
            <w:color w:val="0000FF"/>
            <w:sz w:val="26"/>
            <w:szCs w:val="26"/>
            <w:u w:val="single"/>
          </w:rPr>
          <w:t>Система стандартов безопасности труда. Оборудование производственное. Общие эргономические требования</w:t>
        </w:r>
      </w:hyperlink>
      <w:r>
        <w:rPr>
          <w:sz w:val="26"/>
          <w:szCs w:val="26"/>
        </w:rPr>
        <w:t>».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Конструктивное исполнение системы должно обеспечивать доступ обслу</w:t>
      </w:r>
      <w:r>
        <w:rPr>
          <w:sz w:val="26"/>
          <w:szCs w:val="26"/>
        </w:rPr>
        <w:t>живающего персонала к внутренним элементам.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3.11. Требования по транспортабельности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 «Общие требования к ма</w:t>
      </w:r>
      <w:r>
        <w:rPr>
          <w:sz w:val="26"/>
          <w:szCs w:val="26"/>
        </w:rPr>
        <w:t>шинам, приборам и другим техническим изделиям в части условий хранения и транспортирования».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3.12. Требования к документации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комплекте с Оборудованием должна передаваться эксплуатационная документация, состоящая из документов в текстовой форме.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</w:t>
      </w:r>
      <w:r>
        <w:rPr>
          <w:sz w:val="26"/>
          <w:szCs w:val="26"/>
        </w:rPr>
        <w:t>плект документации, передаваемой с оборудованием, должны входить: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руководства по эксплуатации;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формуляры (паспорта).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Эксплуатационная документация должна быть на русском языке. </w:t>
      </w:r>
    </w:p>
    <w:p w:rsidR="004914CC" w:rsidRDefault="004914CC">
      <w:pPr>
        <w:jc w:val="both"/>
        <w:rPr>
          <w:sz w:val="26"/>
          <w:szCs w:val="26"/>
        </w:rPr>
      </w:pPr>
    </w:p>
    <w:p w:rsidR="004914CC" w:rsidRDefault="00F11963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3.13. Гарантийные обязательства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Гарантийный срок на выполненные работы (</w:t>
      </w:r>
      <w:r>
        <w:rPr>
          <w:sz w:val="26"/>
          <w:szCs w:val="26"/>
        </w:rPr>
        <w:t>включая Материалы и Оборудование) должен составлять 12 месяцев, исчисляется с момента подписания Акта сдачи-приёмки выполненных работ.</w:t>
      </w:r>
    </w:p>
    <w:p w:rsidR="004914CC" w:rsidRDefault="00F1196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Расходы на гарантийный ремонт Оборудования (в течение срока действия гарантии) осуществляются за счет средств Подрядчика</w:t>
      </w:r>
      <w:r>
        <w:rPr>
          <w:sz w:val="26"/>
          <w:szCs w:val="26"/>
        </w:rPr>
        <w:t>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Подрядчика, эту доставку обеспечивает Подрядчик, а также оплачивает все транспор</w:t>
      </w:r>
      <w:r>
        <w:rPr>
          <w:sz w:val="26"/>
          <w:szCs w:val="26"/>
        </w:rPr>
        <w:t>тные расходы.</w:t>
      </w:r>
    </w:p>
    <w:p w:rsidR="004914CC" w:rsidRDefault="00F11963">
      <w:pPr>
        <w:pStyle w:val="Default"/>
        <w:jc w:val="center"/>
        <w:rPr>
          <w:rFonts w:ascii="Times New Roman" w:eastAsia="Liberation Sans" w:hAnsi="Times New Roman" w:cs="Times New Roman"/>
          <w:b/>
          <w:bCs/>
          <w:sz w:val="26"/>
          <w:szCs w:val="26"/>
        </w:rPr>
        <w:sectPr w:rsidR="004914C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  <w:r>
        <w:br w:type="page"/>
      </w:r>
    </w:p>
    <w:p w:rsidR="004914CC" w:rsidRDefault="00F11963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b w:val="0"/>
          <w:iCs/>
          <w:caps w:val="0"/>
          <w:sz w:val="26"/>
          <w:szCs w:val="26"/>
        </w:rPr>
        <w:lastRenderedPageBreak/>
        <w:t xml:space="preserve">                                                                          </w:t>
      </w:r>
    </w:p>
    <w:sectPr w:rsidR="004914C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1963">
      <w:r>
        <w:separator/>
      </w:r>
    </w:p>
  </w:endnote>
  <w:endnote w:type="continuationSeparator" w:id="0">
    <w:p w:rsidR="00000000" w:rsidRDefault="00F1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</w:font>
  <w:font w:name="Open Sans">
    <w:charset w:val="01"/>
    <w:family w:val="swiss"/>
    <w:pitch w:val="variable"/>
  </w:font>
  <w:font w:name="Free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OpenSymbol">
    <w:altName w:val="Arial Unicode MS"/>
    <w:panose1 w:val="05010000000000000000"/>
    <w:charset w:val="01"/>
    <w:family w:val="roman"/>
    <w:pitch w:val="variable"/>
  </w:font>
  <w:font w:name="Microsoft Sans Serif">
    <w:panose1 w:val="020B0604020202020204"/>
    <w:charset w:val="01"/>
    <w:family w:val="swiss"/>
    <w:pitch w:val="variable"/>
  </w:font>
  <w:font w:name="Lohit Devanagari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Times New Roman;Times New Roman">
    <w:panose1 w:val="00000000000000000000"/>
    <w:charset w:val="00"/>
    <w:family w:val="roman"/>
    <w:notTrueType/>
    <w:pitch w:val="default"/>
  </w:font>
  <w:font w:name="Roman P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4914CC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F11963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914CC" w:rsidRDefault="004914CC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3.8pt;mso-wrap-distance-left:0pt;mso-wrap-distance-right:0pt;mso-wrap-distance-top:0pt;mso-wrap-distance-bottom:0pt;margin-top:0.05pt;mso-position-vertical-relative:text;margin-left:480.7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F11963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914CC" w:rsidRDefault="004914CC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3.8pt;mso-wrap-distance-left:0pt;mso-wrap-distance-right:0pt;mso-wrap-distance-top:0pt;mso-wrap-distance-bottom:0pt;margin-top:0.05pt;mso-position-vertical-relative:text;margin-left:480.7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4914CC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4914CC">
    <w:pPr>
      <w:pStyle w:val="af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4914C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1963">
      <w:r>
        <w:separator/>
      </w:r>
    </w:p>
  </w:footnote>
  <w:footnote w:type="continuationSeparator" w:id="0">
    <w:p w:rsidR="00000000" w:rsidRDefault="00F11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F11963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914CC" w:rsidRDefault="00F11963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</w:rPr>
                            <w:t>0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F11963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914CC" w:rsidRDefault="00F11963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noProof/>
                            </w:rPr>
                            <w:t>8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6.05pt;height:13.8pt;z-index:25165568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" o:allowincell="f" stroked="f">
              <v:fill opacity="0"/>
              <v:textbox style="mso-fit-shape-to-text:t" inset="0,0,0,0">
                <w:txbxContent>
                  <w:p w:rsidR="004914CC" w:rsidRDefault="00F11963">
                    <w:pPr>
                      <w:pStyle w:val="af1"/>
                      <w:rPr>
                        <w:rStyle w:val="af4"/>
                      </w:rPr>
                    </w:pPr>
                    <w:r>
                      <w:rPr>
                        <w:rStyle w:val="af4"/>
                      </w:rPr>
                      <w:fldChar w:fldCharType="begin"/>
                    </w:r>
                    <w:r>
                      <w:rPr>
                        <w:rStyle w:val="af4"/>
                      </w:rPr>
                      <w:instrText xml:space="preserve"> PAGE </w:instrText>
                    </w:r>
                    <w:r>
                      <w:rPr>
                        <w:rStyle w:val="af4"/>
                      </w:rPr>
                      <w:fldChar w:fldCharType="separate"/>
                    </w:r>
                    <w:r>
                      <w:rPr>
                        <w:rStyle w:val="af4"/>
                        <w:noProof/>
                      </w:rPr>
                      <w:t>8</w:t>
                    </w:r>
                    <w:r>
                      <w:rPr>
                        <w:rStyle w:val="af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F11963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914CC" w:rsidRDefault="00F11963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</w:rPr>
                            <w:t>12</w:t>
                          </w:r>
                          <w:r>
                            <w:rPr>
                              <w:rStyle w:val="a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234.9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4CC" w:rsidRDefault="004914CC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74433"/>
      <w:docPartObj>
        <w:docPartGallery w:val="Page Numbers (Top of Page)"/>
        <w:docPartUnique/>
      </w:docPartObj>
    </w:sdtPr>
    <w:sdtEndPr/>
    <w:sdtContent>
      <w:p w:rsidR="004914CC" w:rsidRDefault="00F11963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4914CC" w:rsidRDefault="004914CC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250498"/>
      <w:docPartObj>
        <w:docPartGallery w:val="Page Numbers (Top of Page)"/>
        <w:docPartUnique/>
      </w:docPartObj>
    </w:sdtPr>
    <w:sdtEndPr/>
    <w:sdtContent>
      <w:p w:rsidR="004914CC" w:rsidRDefault="00F11963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4914CC" w:rsidRDefault="004914C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40F"/>
    <w:multiLevelType w:val="multilevel"/>
    <w:tmpl w:val="261682B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C833700"/>
    <w:multiLevelType w:val="multilevel"/>
    <w:tmpl w:val="6C1839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650D53"/>
    <w:multiLevelType w:val="multilevel"/>
    <w:tmpl w:val="C1E04E2A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1"/>
      <w:lvlText w:val="%1.%2."/>
      <w:lvlJc w:val="left"/>
      <w:pPr>
        <w:tabs>
          <w:tab w:val="num" w:pos="4820"/>
        </w:tabs>
        <w:ind w:left="482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a2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7CDE21EC"/>
    <w:multiLevelType w:val="multilevel"/>
    <w:tmpl w:val="22C64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CC"/>
    <w:rsid w:val="003A4CD3"/>
    <w:rsid w:val="004914CC"/>
    <w:rsid w:val="00F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5037"/>
  <w15:docId w15:val="{33A685DE-69D5-40D5-8CCB-1FEAD2D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4"/>
    <w:next w:val="a4"/>
    <w:link w:val="10"/>
    <w:qFormat/>
    <w:rsid w:val="0056005B"/>
    <w:pPr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heading 2"/>
    <w:basedOn w:val="11"/>
    <w:link w:val="21"/>
    <w:qFormat/>
    <w:rsid w:val="00010A5B"/>
    <w:pPr>
      <w:spacing w:before="200"/>
      <w:outlineLvl w:val="1"/>
    </w:pPr>
    <w:rPr>
      <w:rFonts w:ascii="Liberation Serif" w:eastAsia="Open Sans" w:hAnsi="Liberation Serif" w:cs="FreeSerif"/>
      <w:b/>
      <w:bCs/>
      <w:sz w:val="36"/>
      <w:szCs w:val="36"/>
    </w:rPr>
  </w:style>
  <w:style w:type="paragraph" w:styleId="3">
    <w:name w:val="heading 3"/>
    <w:basedOn w:val="a4"/>
    <w:link w:val="30"/>
    <w:qFormat/>
    <w:rsid w:val="00010A5B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4"/>
    <w:link w:val="40"/>
    <w:qFormat/>
    <w:rsid w:val="00010A5B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4"/>
    <w:link w:val="50"/>
    <w:qFormat/>
    <w:rsid w:val="00010A5B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4"/>
    <w:link w:val="60"/>
    <w:qFormat/>
    <w:rsid w:val="00010A5B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4"/>
    <w:link w:val="70"/>
    <w:qFormat/>
    <w:rsid w:val="00010A5B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4"/>
    <w:link w:val="80"/>
    <w:qFormat/>
    <w:rsid w:val="00010A5B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4"/>
    <w:link w:val="90"/>
    <w:qFormat/>
    <w:rsid w:val="00010A5B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qFormat/>
    <w:rsid w:val="0056005B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5"/>
    <w:link w:val="32"/>
    <w:qFormat/>
    <w:rsid w:val="005600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5"/>
    <w:link w:val="23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5"/>
    <w:link w:val="25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a5"/>
    <w:link w:val="a9"/>
    <w:uiPriority w:val="99"/>
    <w:qFormat/>
    <w:rsid w:val="00560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5"/>
    <w:link w:val="ab"/>
    <w:uiPriority w:val="99"/>
    <w:qFormat/>
    <w:rsid w:val="005600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56005B"/>
    <w:rPr>
      <w:color w:val="0000FF"/>
      <w:u w:val="single"/>
    </w:rPr>
  </w:style>
  <w:style w:type="character" w:customStyle="1" w:styleId="ad">
    <w:name w:val="Цветовое выделение"/>
    <w:qFormat/>
    <w:rsid w:val="00ED0752"/>
    <w:rPr>
      <w:b/>
      <w:color w:val="000080"/>
    </w:rPr>
  </w:style>
  <w:style w:type="character" w:customStyle="1" w:styleId="ae">
    <w:name w:val="Абзац списка Знак"/>
    <w:link w:val="af"/>
    <w:uiPriority w:val="34"/>
    <w:qFormat/>
    <w:locked/>
    <w:rsid w:val="00FE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5"/>
    <w:link w:val="af1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5"/>
    <w:link w:val="af3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5"/>
    <w:link w:val="34"/>
    <w:uiPriority w:val="99"/>
    <w:semiHidden/>
    <w:qFormat/>
    <w:rsid w:val="008140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page number"/>
    <w:rsid w:val="00814068"/>
    <w:rPr>
      <w:rFonts w:cs="Times New Roman"/>
    </w:rPr>
  </w:style>
  <w:style w:type="character" w:customStyle="1" w:styleId="af5">
    <w:name w:val="Заголовок Знак"/>
    <w:basedOn w:val="a5"/>
    <w:link w:val="af6"/>
    <w:qFormat/>
    <w:rsid w:val="00814068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7">
    <w:name w:val="annotation reference"/>
    <w:qFormat/>
    <w:rsid w:val="00446DD3"/>
    <w:rPr>
      <w:sz w:val="16"/>
    </w:rPr>
  </w:style>
  <w:style w:type="character" w:customStyle="1" w:styleId="af8">
    <w:name w:val="Текст примечания Знак"/>
    <w:basedOn w:val="a5"/>
    <w:link w:val="af9"/>
    <w:qFormat/>
    <w:rsid w:val="00446D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выноски Знак"/>
    <w:basedOn w:val="a5"/>
    <w:link w:val="afb"/>
    <w:qFormat/>
    <w:rsid w:val="00446DD3"/>
    <w:rPr>
      <w:rFonts w:ascii="Segoe UI" w:eastAsia="Times New Roman" w:hAnsi="Segoe UI" w:cs="Segoe UI"/>
      <w:sz w:val="18"/>
      <w:szCs w:val="18"/>
      <w:lang w:eastAsia="ru-RU"/>
    </w:rPr>
  </w:style>
  <w:style w:type="character" w:styleId="afc">
    <w:name w:val="FollowedHyperlink"/>
    <w:basedOn w:val="a5"/>
    <w:uiPriority w:val="99"/>
    <w:semiHidden/>
    <w:unhideWhenUsed/>
    <w:rsid w:val="00082B42"/>
    <w:rPr>
      <w:color w:val="800080" w:themeColor="followedHyperlink"/>
      <w:u w:val="single"/>
    </w:rPr>
  </w:style>
  <w:style w:type="character" w:customStyle="1" w:styleId="afd">
    <w:name w:val="Символ сноски"/>
    <w:unhideWhenUsed/>
    <w:qFormat/>
    <w:rsid w:val="000D1DC2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aff">
    <w:name w:val="Тема примечания Знак"/>
    <w:basedOn w:val="af8"/>
    <w:link w:val="aff0"/>
    <w:qFormat/>
    <w:rsid w:val="00015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Основной текст Знак"/>
    <w:basedOn w:val="a5"/>
    <w:link w:val="aff2"/>
    <w:qFormat/>
    <w:rsid w:val="00D25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5"/>
    <w:link w:val="20"/>
    <w:qFormat/>
    <w:rsid w:val="00010A5B"/>
    <w:rPr>
      <w:rFonts w:ascii="Liberation Serif" w:eastAsia="Open Sans" w:hAnsi="Liberation Serif" w:cs="FreeSerif"/>
      <w:b/>
      <w:bCs/>
      <w:sz w:val="36"/>
      <w:szCs w:val="36"/>
    </w:rPr>
  </w:style>
  <w:style w:type="character" w:customStyle="1" w:styleId="30">
    <w:name w:val="Заголовок 3 Знак"/>
    <w:basedOn w:val="a5"/>
    <w:link w:val="3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qFormat/>
    <w:rsid w:val="00010A5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5"/>
    <w:link w:val="7"/>
    <w:qFormat/>
    <w:rsid w:val="00010A5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5"/>
    <w:link w:val="8"/>
    <w:qFormat/>
    <w:rsid w:val="00010A5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5"/>
    <w:link w:val="9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aff3">
    <w:name w:val="Текст концевой сноски Знак"/>
    <w:basedOn w:val="a5"/>
    <w:link w:val="aff4"/>
    <w:qFormat/>
    <w:rsid w:val="00010A5B"/>
    <w:rPr>
      <w:rFonts w:ascii="Calibri" w:eastAsia="Calibri" w:hAnsi="Calibri" w:cs="Arial"/>
      <w:sz w:val="20"/>
    </w:rPr>
  </w:style>
  <w:style w:type="character" w:customStyle="1" w:styleId="aff5">
    <w:name w:val="Подзаголовок Знак"/>
    <w:basedOn w:val="a5"/>
    <w:link w:val="aff6"/>
    <w:qFormat/>
    <w:rsid w:val="00010A5B"/>
    <w:rPr>
      <w:rFonts w:ascii="Calibri" w:eastAsia="Calibri" w:hAnsi="Calibri" w:cs="Arial"/>
      <w:sz w:val="24"/>
      <w:szCs w:val="24"/>
    </w:rPr>
  </w:style>
  <w:style w:type="character" w:customStyle="1" w:styleId="26">
    <w:name w:val="Цитата 2 Знак"/>
    <w:basedOn w:val="a5"/>
    <w:link w:val="27"/>
    <w:qFormat/>
    <w:rsid w:val="00010A5B"/>
    <w:rPr>
      <w:rFonts w:ascii="Calibri" w:eastAsia="Calibri" w:hAnsi="Calibri" w:cs="Arial"/>
      <w:i/>
    </w:rPr>
  </w:style>
  <w:style w:type="character" w:customStyle="1" w:styleId="aff7">
    <w:name w:val="Выделенная цитата Знак"/>
    <w:basedOn w:val="a5"/>
    <w:link w:val="aff8"/>
    <w:qFormat/>
    <w:rsid w:val="00010A5B"/>
    <w:rPr>
      <w:rFonts w:ascii="Calibri" w:eastAsia="Calibri" w:hAnsi="Calibri" w:cs="Arial"/>
      <w:i/>
      <w:shd w:val="clear" w:color="auto" w:fill="F2F2F2"/>
    </w:rPr>
  </w:style>
  <w:style w:type="character" w:customStyle="1" w:styleId="12">
    <w:name w:val="Знак примечания1"/>
    <w:basedOn w:val="a5"/>
    <w:qFormat/>
    <w:rsid w:val="00010A5B"/>
    <w:rPr>
      <w:sz w:val="16"/>
      <w:szCs w:val="16"/>
    </w:rPr>
  </w:style>
  <w:style w:type="character" w:customStyle="1" w:styleId="aff9">
    <w:name w:val="Символ концевой сноски"/>
    <w:qFormat/>
    <w:rsid w:val="00010A5B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Heading2Char">
    <w:name w:val="Heading 2 Char"/>
    <w:basedOn w:val="a5"/>
    <w:qFormat/>
    <w:rsid w:val="00010A5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qFormat/>
    <w:rsid w:val="00010A5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qFormat/>
    <w:rsid w:val="00010A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qFormat/>
    <w:rsid w:val="00010A5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5"/>
    <w:qFormat/>
    <w:rsid w:val="00010A5B"/>
    <w:rPr>
      <w:sz w:val="48"/>
      <w:szCs w:val="48"/>
    </w:rPr>
  </w:style>
  <w:style w:type="character" w:customStyle="1" w:styleId="SubtitleChar">
    <w:name w:val="Subtitle Char"/>
    <w:basedOn w:val="a5"/>
    <w:qFormat/>
    <w:rsid w:val="00010A5B"/>
    <w:rPr>
      <w:sz w:val="24"/>
      <w:szCs w:val="24"/>
    </w:rPr>
  </w:style>
  <w:style w:type="character" w:customStyle="1" w:styleId="QuoteChar">
    <w:name w:val="Quote Char"/>
    <w:qFormat/>
    <w:rsid w:val="00010A5B"/>
    <w:rPr>
      <w:i/>
    </w:rPr>
  </w:style>
  <w:style w:type="character" w:customStyle="1" w:styleId="IntenseQuoteChar">
    <w:name w:val="Intense Quote Char"/>
    <w:qFormat/>
    <w:rsid w:val="00010A5B"/>
    <w:rPr>
      <w:i/>
    </w:rPr>
  </w:style>
  <w:style w:type="character" w:customStyle="1" w:styleId="HeaderChar">
    <w:name w:val="Header Char"/>
    <w:basedOn w:val="a5"/>
    <w:qFormat/>
    <w:rsid w:val="00010A5B"/>
  </w:style>
  <w:style w:type="character" w:customStyle="1" w:styleId="FooterChar">
    <w:name w:val="Footer Char"/>
    <w:basedOn w:val="a5"/>
    <w:qFormat/>
    <w:rsid w:val="00010A5B"/>
  </w:style>
  <w:style w:type="character" w:customStyle="1" w:styleId="CaptionChar">
    <w:name w:val="Caption Char"/>
    <w:qFormat/>
    <w:rsid w:val="00010A5B"/>
  </w:style>
  <w:style w:type="character" w:customStyle="1" w:styleId="FootnoteTextChar">
    <w:name w:val="Footnote Text Char"/>
    <w:qFormat/>
    <w:rsid w:val="00010A5B"/>
    <w:rPr>
      <w:sz w:val="18"/>
    </w:rPr>
  </w:style>
  <w:style w:type="character" w:customStyle="1" w:styleId="user">
    <w:name w:val="Символ сноски (user)"/>
    <w:qFormat/>
    <w:rsid w:val="00010A5B"/>
    <w:rPr>
      <w:vertAlign w:val="superscript"/>
    </w:rPr>
  </w:style>
  <w:style w:type="character" w:customStyle="1" w:styleId="EndnoteTextChar">
    <w:name w:val="Endnote Text Char"/>
    <w:qFormat/>
    <w:rsid w:val="00010A5B"/>
    <w:rPr>
      <w:sz w:val="20"/>
    </w:rPr>
  </w:style>
  <w:style w:type="character" w:customStyle="1" w:styleId="user0">
    <w:name w:val="Символ концевой сноски (user)"/>
    <w:qFormat/>
    <w:rsid w:val="00010A5B"/>
    <w:rPr>
      <w:vertAlign w:val="superscript"/>
    </w:rPr>
  </w:style>
  <w:style w:type="character" w:customStyle="1" w:styleId="Heading1Char">
    <w:name w:val="Heading 1 Char"/>
    <w:basedOn w:val="a5"/>
    <w:qFormat/>
    <w:rsid w:val="00010A5B"/>
    <w:rPr>
      <w:rFonts w:ascii="Arial" w:eastAsia="Arial" w:hAnsi="Arial" w:cs="Arial"/>
      <w:sz w:val="40"/>
      <w:szCs w:val="40"/>
    </w:rPr>
  </w:style>
  <w:style w:type="character" w:customStyle="1" w:styleId="user1">
    <w:name w:val="Маркеры (user)"/>
    <w:qFormat/>
    <w:rsid w:val="00010A5B"/>
    <w:rPr>
      <w:rFonts w:ascii="OpenSymbol" w:eastAsia="OpenSymbol" w:hAnsi="OpenSymbol" w:cs="OpenSymbol"/>
    </w:rPr>
  </w:style>
  <w:style w:type="character" w:customStyle="1" w:styleId="FontStyle64">
    <w:name w:val="Font Style64"/>
    <w:qFormat/>
    <w:rsid w:val="00010A5B"/>
    <w:rPr>
      <w:rFonts w:ascii="Times New Roman" w:hAnsi="Times New Roman" w:cs="Times New Roman"/>
      <w:sz w:val="20"/>
      <w:szCs w:val="20"/>
    </w:rPr>
  </w:style>
  <w:style w:type="paragraph" w:styleId="af6">
    <w:name w:val="Title"/>
    <w:basedOn w:val="a4"/>
    <w:next w:val="aff2"/>
    <w:link w:val="af5"/>
    <w:qFormat/>
    <w:rsid w:val="00814068"/>
    <w:pPr>
      <w:jc w:val="center"/>
    </w:pPr>
    <w:rPr>
      <w:b/>
      <w:bCs/>
      <w:caps/>
      <w:sz w:val="20"/>
      <w:szCs w:val="20"/>
    </w:rPr>
  </w:style>
  <w:style w:type="paragraph" w:styleId="aff2">
    <w:name w:val="Body Text"/>
    <w:basedOn w:val="a4"/>
    <w:link w:val="aff1"/>
    <w:unhideWhenUsed/>
    <w:qFormat/>
    <w:rsid w:val="00D25D26"/>
    <w:pPr>
      <w:spacing w:after="120"/>
    </w:pPr>
  </w:style>
  <w:style w:type="paragraph" w:styleId="affb">
    <w:name w:val="List"/>
    <w:basedOn w:val="aff2"/>
    <w:qFormat/>
    <w:rsid w:val="00010A5B"/>
    <w:pPr>
      <w:widowControl w:val="0"/>
      <w:spacing w:after="0"/>
      <w:ind w:left="12"/>
    </w:pPr>
    <w:rPr>
      <w:rFonts w:ascii="Microsoft Sans Serif" w:eastAsia="Microsoft Sans Serif" w:hAnsi="Microsoft Sans Serif" w:cs="Lohit Devanagari"/>
      <w:lang w:eastAsia="en-US"/>
    </w:rPr>
  </w:style>
  <w:style w:type="paragraph" w:styleId="affc">
    <w:name w:val="caption"/>
    <w:basedOn w:val="a4"/>
    <w:qFormat/>
    <w:rsid w:val="00010A5B"/>
    <w:pPr>
      <w:suppressLineNumbers/>
      <w:spacing w:before="120" w:after="120" w:line="259" w:lineRule="auto"/>
    </w:pPr>
    <w:rPr>
      <w:rFonts w:ascii="Calibri" w:eastAsia="Calibri" w:hAnsi="Calibri" w:cs="Lohit Devanagari"/>
      <w:i/>
      <w:iCs/>
      <w:lang w:eastAsia="en-US"/>
    </w:rPr>
  </w:style>
  <w:style w:type="paragraph" w:styleId="affd">
    <w:name w:val="index heading"/>
    <w:basedOn w:val="11"/>
    <w:qFormat/>
    <w:rsid w:val="00010A5B"/>
  </w:style>
  <w:style w:type="paragraph" w:customStyle="1" w:styleId="a1">
    <w:name w:val="Пункт договора"/>
    <w:basedOn w:val="a4"/>
    <w:qFormat/>
    <w:rsid w:val="00456DF6"/>
    <w:pPr>
      <w:numPr>
        <w:ilvl w:val="1"/>
        <w:numId w:val="2"/>
      </w:numPr>
      <w:tabs>
        <w:tab w:val="left" w:pos="2552"/>
        <w:tab w:val="left" w:pos="3969"/>
      </w:tabs>
      <w:ind w:left="2552"/>
      <w:jc w:val="both"/>
    </w:pPr>
    <w:rPr>
      <w:sz w:val="26"/>
      <w:szCs w:val="26"/>
    </w:rPr>
  </w:style>
  <w:style w:type="paragraph" w:styleId="32">
    <w:name w:val="Body Text 3"/>
    <w:basedOn w:val="a4"/>
    <w:link w:val="31"/>
    <w:qFormat/>
    <w:rsid w:val="0056005B"/>
    <w:pPr>
      <w:jc w:val="center"/>
    </w:pPr>
    <w:rPr>
      <w:sz w:val="28"/>
      <w:szCs w:val="28"/>
    </w:rPr>
  </w:style>
  <w:style w:type="paragraph" w:styleId="23">
    <w:name w:val="Body Text Indent 2"/>
    <w:basedOn w:val="a4"/>
    <w:link w:val="22"/>
    <w:qFormat/>
    <w:rsid w:val="0056005B"/>
    <w:pPr>
      <w:ind w:firstLine="851"/>
      <w:jc w:val="both"/>
    </w:pPr>
  </w:style>
  <w:style w:type="paragraph" w:styleId="25">
    <w:name w:val="Body Text 2"/>
    <w:basedOn w:val="a4"/>
    <w:link w:val="24"/>
    <w:qFormat/>
    <w:rsid w:val="0056005B"/>
    <w:pPr>
      <w:ind w:firstLine="720"/>
      <w:jc w:val="both"/>
    </w:pPr>
  </w:style>
  <w:style w:type="paragraph" w:styleId="a9">
    <w:name w:val="Plain Text"/>
    <w:basedOn w:val="a4"/>
    <w:link w:val="a8"/>
    <w:uiPriority w:val="99"/>
    <w:qFormat/>
    <w:rsid w:val="0056005B"/>
    <w:rPr>
      <w:rFonts w:ascii="Courier New" w:hAnsi="Courier New"/>
      <w:sz w:val="20"/>
      <w:szCs w:val="20"/>
    </w:rPr>
  </w:style>
  <w:style w:type="paragraph" w:styleId="ab">
    <w:name w:val="footnote text"/>
    <w:basedOn w:val="a4"/>
    <w:link w:val="aa"/>
    <w:qFormat/>
    <w:rsid w:val="0056005B"/>
    <w:rPr>
      <w:sz w:val="20"/>
      <w:szCs w:val="20"/>
    </w:rPr>
  </w:style>
  <w:style w:type="paragraph" w:customStyle="1" w:styleId="a3">
    <w:name w:val="Подпункт договора"/>
    <w:basedOn w:val="a1"/>
    <w:qFormat/>
    <w:rsid w:val="0056005B"/>
    <w:pPr>
      <w:numPr>
        <w:numId w:val="1"/>
      </w:numPr>
      <w:ind w:firstLine="709"/>
    </w:pPr>
  </w:style>
  <w:style w:type="paragraph" w:customStyle="1" w:styleId="2">
    <w:name w:val="Подпункт 2"/>
    <w:basedOn w:val="a3"/>
    <w:qFormat/>
    <w:rsid w:val="00C66863"/>
    <w:pPr>
      <w:numPr>
        <w:ilvl w:val="3"/>
        <w:numId w:val="2"/>
      </w:numPr>
      <w:ind w:left="0" w:firstLine="709"/>
    </w:pPr>
  </w:style>
  <w:style w:type="paragraph" w:customStyle="1" w:styleId="a0">
    <w:name w:val="Раздел"/>
    <w:basedOn w:val="a4"/>
    <w:qFormat/>
    <w:rsid w:val="0056005B"/>
    <w:pPr>
      <w:numPr>
        <w:numId w:val="2"/>
      </w:numPr>
      <w:jc w:val="center"/>
    </w:pPr>
    <w:rPr>
      <w:b/>
      <w:sz w:val="26"/>
    </w:rPr>
  </w:style>
  <w:style w:type="paragraph" w:customStyle="1" w:styleId="a2">
    <w:name w:val="подпункт"/>
    <w:basedOn w:val="a4"/>
    <w:qFormat/>
    <w:rsid w:val="0056005B"/>
    <w:pPr>
      <w:numPr>
        <w:ilvl w:val="2"/>
        <w:numId w:val="2"/>
      </w:numPr>
      <w:jc w:val="both"/>
    </w:pPr>
    <w:rPr>
      <w:sz w:val="26"/>
      <w:szCs w:val="26"/>
    </w:rPr>
  </w:style>
  <w:style w:type="paragraph" w:styleId="af">
    <w:name w:val="List Paragraph"/>
    <w:basedOn w:val="a4"/>
    <w:link w:val="ae"/>
    <w:qFormat/>
    <w:rsid w:val="00FE2A46"/>
    <w:pPr>
      <w:ind w:left="720"/>
      <w:contextualSpacing/>
    </w:pPr>
  </w:style>
  <w:style w:type="paragraph" w:customStyle="1" w:styleId="affe">
    <w:name w:val="Колонтитулы"/>
    <w:basedOn w:val="a4"/>
    <w:qFormat/>
  </w:style>
  <w:style w:type="paragraph" w:styleId="af1">
    <w:name w:val="header"/>
    <w:basedOn w:val="a4"/>
    <w:link w:val="af0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af3">
    <w:name w:val="footer"/>
    <w:basedOn w:val="a4"/>
    <w:link w:val="af2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34">
    <w:name w:val="Body Text Indent 3"/>
    <w:basedOn w:val="a4"/>
    <w:link w:val="33"/>
    <w:uiPriority w:val="99"/>
    <w:semiHidden/>
    <w:unhideWhenUsed/>
    <w:qFormat/>
    <w:rsid w:val="00814068"/>
    <w:pPr>
      <w:spacing w:after="120"/>
      <w:ind w:left="283"/>
    </w:pPr>
    <w:rPr>
      <w:sz w:val="16"/>
      <w:szCs w:val="16"/>
    </w:rPr>
  </w:style>
  <w:style w:type="paragraph" w:styleId="afff">
    <w:name w:val="Normal (Web)"/>
    <w:basedOn w:val="a4"/>
    <w:qFormat/>
    <w:rsid w:val="00814068"/>
    <w:pPr>
      <w:spacing w:beforeAutospacing="1" w:afterAutospacing="1"/>
    </w:pPr>
  </w:style>
  <w:style w:type="paragraph" w:customStyle="1" w:styleId="13">
    <w:name w:val="Обычный1"/>
    <w:qFormat/>
    <w:rsid w:val="0081406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0">
    <w:name w:val="Раздел договора"/>
    <w:basedOn w:val="a3"/>
    <w:next w:val="a1"/>
    <w:qFormat/>
    <w:rsid w:val="00D54D2C"/>
    <w:pPr>
      <w:widowControl w:val="0"/>
      <w:numPr>
        <w:ilvl w:val="0"/>
        <w:numId w:val="0"/>
      </w:numPr>
      <w:spacing w:line="360" w:lineRule="auto"/>
      <w:ind w:left="2552" w:firstLine="709"/>
      <w:jc w:val="center"/>
    </w:pPr>
    <w:rPr>
      <w:rFonts w:eastAsiaTheme="majorEastAsia" w:cstheme="majorBidi"/>
      <w:b/>
      <w:bCs/>
      <w:kern w:val="2"/>
      <w:lang w:eastAsia="en-US"/>
    </w:rPr>
  </w:style>
  <w:style w:type="paragraph" w:customStyle="1" w:styleId="28">
    <w:name w:val="Подпункт договора 2"/>
    <w:basedOn w:val="a3"/>
    <w:qFormat/>
    <w:rsid w:val="00D54D2C"/>
    <w:pPr>
      <w:widowControl w:val="0"/>
      <w:numPr>
        <w:ilvl w:val="0"/>
        <w:numId w:val="0"/>
      </w:numPr>
      <w:ind w:left="1440" w:hanging="360"/>
    </w:pPr>
    <w:rPr>
      <w:rFonts w:eastAsiaTheme="majorEastAsia" w:cstheme="majorBidi"/>
      <w:bCs/>
      <w:kern w:val="2"/>
      <w:lang w:eastAsia="en-US"/>
    </w:rPr>
  </w:style>
  <w:style w:type="paragraph" w:styleId="af9">
    <w:name w:val="annotation text"/>
    <w:basedOn w:val="a4"/>
    <w:link w:val="af8"/>
    <w:rsid w:val="00446DD3"/>
    <w:rPr>
      <w:sz w:val="20"/>
      <w:szCs w:val="20"/>
    </w:rPr>
  </w:style>
  <w:style w:type="paragraph" w:styleId="afb">
    <w:name w:val="Balloon Text"/>
    <w:basedOn w:val="a4"/>
    <w:link w:val="afa"/>
    <w:unhideWhenUsed/>
    <w:qFormat/>
    <w:rsid w:val="00446DD3"/>
    <w:rPr>
      <w:rFonts w:ascii="Segoe UI" w:hAnsi="Segoe UI" w:cs="Segoe UI"/>
      <w:sz w:val="18"/>
      <w:szCs w:val="18"/>
    </w:rPr>
  </w:style>
  <w:style w:type="paragraph" w:customStyle="1" w:styleId="a">
    <w:name w:val="р"/>
    <w:basedOn w:val="a4"/>
    <w:qFormat/>
    <w:rsid w:val="00905870"/>
    <w:pPr>
      <w:numPr>
        <w:numId w:val="3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1">
    <w:name w:val="п"/>
    <w:basedOn w:val="a"/>
    <w:qFormat/>
    <w:rsid w:val="00905870"/>
    <w:pPr>
      <w:jc w:val="both"/>
    </w:pPr>
    <w:rPr>
      <w:b w:val="0"/>
    </w:rPr>
  </w:style>
  <w:style w:type="paragraph" w:customStyle="1" w:styleId="afff2">
    <w:name w:val="пп"/>
    <w:basedOn w:val="afff1"/>
    <w:qFormat/>
    <w:rsid w:val="00905870"/>
    <w:pPr>
      <w:tabs>
        <w:tab w:val="left" w:pos="0"/>
      </w:tabs>
    </w:pPr>
  </w:style>
  <w:style w:type="paragraph" w:styleId="aff0">
    <w:name w:val="annotation subject"/>
    <w:basedOn w:val="af9"/>
    <w:next w:val="af9"/>
    <w:link w:val="aff"/>
    <w:uiPriority w:val="99"/>
    <w:semiHidden/>
    <w:unhideWhenUsed/>
    <w:qFormat/>
    <w:rsid w:val="000150AE"/>
    <w:rPr>
      <w:b/>
      <w:bCs/>
    </w:rPr>
  </w:style>
  <w:style w:type="paragraph" w:styleId="afff3">
    <w:name w:val="Revision"/>
    <w:uiPriority w:val="99"/>
    <w:semiHidden/>
    <w:qFormat/>
    <w:rsid w:val="0063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TOC Heading"/>
    <w:qFormat/>
    <w:rsid w:val="00010A5B"/>
    <w:rPr>
      <w:rFonts w:cs="Arial"/>
      <w:sz w:val="20"/>
      <w:szCs w:val="20"/>
      <w:lang w:eastAsia="ru-RU"/>
    </w:rPr>
  </w:style>
  <w:style w:type="paragraph" w:customStyle="1" w:styleId="11">
    <w:name w:val="Заголовок1"/>
    <w:basedOn w:val="a4"/>
    <w:next w:val="aff2"/>
    <w:qFormat/>
    <w:rsid w:val="00010A5B"/>
    <w:pPr>
      <w:keepNext/>
      <w:spacing w:before="240" w:after="120" w:line="259" w:lineRule="auto"/>
    </w:pPr>
    <w:rPr>
      <w:rFonts w:ascii="Open Sans" w:eastAsia="WenQuanYi Micro Hei" w:hAnsi="Open Sans" w:cs="Lohit Devanagari"/>
      <w:sz w:val="28"/>
      <w:szCs w:val="28"/>
      <w:lang w:eastAsia="en-US"/>
    </w:rPr>
  </w:style>
  <w:style w:type="paragraph" w:styleId="aff4">
    <w:name w:val="endnote text"/>
    <w:basedOn w:val="a4"/>
    <w:link w:val="aff3"/>
    <w:qFormat/>
    <w:rsid w:val="00010A5B"/>
    <w:rPr>
      <w:rFonts w:ascii="Calibri" w:eastAsia="Calibri" w:hAnsi="Calibri" w:cs="Arial"/>
      <w:sz w:val="20"/>
      <w:szCs w:val="22"/>
      <w:lang w:eastAsia="en-US"/>
    </w:rPr>
  </w:style>
  <w:style w:type="paragraph" w:customStyle="1" w:styleId="14">
    <w:name w:val="Текст примечания1"/>
    <w:basedOn w:val="a4"/>
    <w:qFormat/>
    <w:rsid w:val="00010A5B"/>
    <w:pPr>
      <w:spacing w:after="160"/>
    </w:pPr>
    <w:rPr>
      <w:rFonts w:ascii="Calibri" w:eastAsia="Calibri" w:hAnsi="Calibri" w:cs="Arial"/>
      <w:sz w:val="20"/>
      <w:szCs w:val="20"/>
      <w:lang w:eastAsia="en-US"/>
    </w:rPr>
  </w:style>
  <w:style w:type="paragraph" w:customStyle="1" w:styleId="15">
    <w:name w:val="Тема примечания1"/>
    <w:basedOn w:val="14"/>
    <w:qFormat/>
    <w:rsid w:val="00010A5B"/>
    <w:rPr>
      <w:b/>
      <w:bCs/>
    </w:rPr>
  </w:style>
  <w:style w:type="paragraph" w:styleId="81">
    <w:name w:val="toc 8"/>
    <w:basedOn w:val="a4"/>
    <w:qFormat/>
    <w:rsid w:val="00010A5B"/>
    <w:pPr>
      <w:spacing w:after="57" w:line="259" w:lineRule="auto"/>
      <w:ind w:left="1984"/>
    </w:pPr>
    <w:rPr>
      <w:rFonts w:ascii="Calibri" w:eastAsia="Calibri" w:hAnsi="Calibri" w:cs="Arial"/>
      <w:sz w:val="22"/>
      <w:szCs w:val="22"/>
      <w:lang w:eastAsia="en-US"/>
    </w:rPr>
  </w:style>
  <w:style w:type="paragraph" w:styleId="91">
    <w:name w:val="toc 9"/>
    <w:basedOn w:val="a4"/>
    <w:qFormat/>
    <w:rsid w:val="00010A5B"/>
    <w:pPr>
      <w:spacing w:after="57" w:line="259" w:lineRule="auto"/>
      <w:ind w:left="2268"/>
    </w:pPr>
    <w:rPr>
      <w:rFonts w:ascii="Calibri" w:eastAsia="Calibri" w:hAnsi="Calibri" w:cs="Arial"/>
      <w:sz w:val="22"/>
      <w:szCs w:val="22"/>
      <w:lang w:eastAsia="en-US"/>
    </w:rPr>
  </w:style>
  <w:style w:type="paragraph" w:styleId="71">
    <w:name w:val="toc 7"/>
    <w:basedOn w:val="a4"/>
    <w:qFormat/>
    <w:rsid w:val="00010A5B"/>
    <w:pPr>
      <w:spacing w:after="57" w:line="259" w:lineRule="auto"/>
      <w:ind w:left="1701"/>
    </w:pPr>
    <w:rPr>
      <w:rFonts w:ascii="Calibri" w:eastAsia="Calibri" w:hAnsi="Calibri" w:cs="Arial"/>
      <w:sz w:val="22"/>
      <w:szCs w:val="22"/>
      <w:lang w:eastAsia="en-US"/>
    </w:rPr>
  </w:style>
  <w:style w:type="paragraph" w:styleId="16">
    <w:name w:val="index 1"/>
    <w:basedOn w:val="a4"/>
    <w:next w:val="a4"/>
    <w:autoRedefine/>
    <w:uiPriority w:val="99"/>
    <w:semiHidden/>
    <w:unhideWhenUsed/>
    <w:rsid w:val="00010A5B"/>
    <w:pPr>
      <w:ind w:left="240" w:hanging="240"/>
    </w:pPr>
  </w:style>
  <w:style w:type="paragraph" w:styleId="17">
    <w:name w:val="toc 1"/>
    <w:basedOn w:val="a4"/>
    <w:qFormat/>
    <w:rsid w:val="00010A5B"/>
    <w:pPr>
      <w:spacing w:after="57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61">
    <w:name w:val="toc 6"/>
    <w:basedOn w:val="a4"/>
    <w:qFormat/>
    <w:rsid w:val="00010A5B"/>
    <w:pPr>
      <w:spacing w:after="57" w:line="259" w:lineRule="auto"/>
      <w:ind w:left="1417"/>
    </w:pPr>
    <w:rPr>
      <w:rFonts w:ascii="Calibri" w:eastAsia="Calibri" w:hAnsi="Calibri" w:cs="Arial"/>
      <w:sz w:val="22"/>
      <w:szCs w:val="22"/>
      <w:lang w:eastAsia="en-US"/>
    </w:rPr>
  </w:style>
  <w:style w:type="paragraph" w:styleId="afff5">
    <w:name w:val="table of figures"/>
    <w:basedOn w:val="a4"/>
    <w:qFormat/>
    <w:rsid w:val="00010A5B"/>
    <w:pPr>
      <w:spacing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35">
    <w:name w:val="toc 3"/>
    <w:basedOn w:val="a4"/>
    <w:qFormat/>
    <w:rsid w:val="00010A5B"/>
    <w:pPr>
      <w:spacing w:after="57" w:line="259" w:lineRule="auto"/>
      <w:ind w:left="567"/>
    </w:pPr>
    <w:rPr>
      <w:rFonts w:ascii="Calibri" w:eastAsia="Calibri" w:hAnsi="Calibri" w:cs="Arial"/>
      <w:sz w:val="22"/>
      <w:szCs w:val="22"/>
      <w:lang w:eastAsia="en-US"/>
    </w:rPr>
  </w:style>
  <w:style w:type="paragraph" w:styleId="29">
    <w:name w:val="toc 2"/>
    <w:basedOn w:val="a4"/>
    <w:qFormat/>
    <w:rsid w:val="00010A5B"/>
    <w:pPr>
      <w:spacing w:after="57" w:line="259" w:lineRule="auto"/>
      <w:ind w:left="283"/>
    </w:pPr>
    <w:rPr>
      <w:rFonts w:ascii="Calibri" w:eastAsia="Calibri" w:hAnsi="Calibri" w:cs="Arial"/>
      <w:sz w:val="22"/>
      <w:szCs w:val="22"/>
      <w:lang w:eastAsia="en-US"/>
    </w:rPr>
  </w:style>
  <w:style w:type="paragraph" w:styleId="41">
    <w:name w:val="toc 4"/>
    <w:basedOn w:val="a4"/>
    <w:qFormat/>
    <w:rsid w:val="00010A5B"/>
    <w:pPr>
      <w:spacing w:after="57" w:line="259" w:lineRule="auto"/>
      <w:ind w:left="850"/>
    </w:pPr>
    <w:rPr>
      <w:rFonts w:ascii="Calibri" w:eastAsia="Calibri" w:hAnsi="Calibri" w:cs="Arial"/>
      <w:sz w:val="22"/>
      <w:szCs w:val="22"/>
      <w:lang w:eastAsia="en-US"/>
    </w:rPr>
  </w:style>
  <w:style w:type="paragraph" w:styleId="51">
    <w:name w:val="toc 5"/>
    <w:basedOn w:val="a4"/>
    <w:qFormat/>
    <w:rsid w:val="00010A5B"/>
    <w:pPr>
      <w:spacing w:after="57" w:line="259" w:lineRule="auto"/>
      <w:ind w:left="1134"/>
    </w:pPr>
    <w:rPr>
      <w:rFonts w:ascii="Calibri" w:eastAsia="Calibri" w:hAnsi="Calibri" w:cs="Arial"/>
      <w:sz w:val="22"/>
      <w:szCs w:val="22"/>
      <w:lang w:eastAsia="en-US"/>
    </w:rPr>
  </w:style>
  <w:style w:type="paragraph" w:styleId="aff6">
    <w:name w:val="Subtitle"/>
    <w:basedOn w:val="a4"/>
    <w:link w:val="aff5"/>
    <w:qFormat/>
    <w:rsid w:val="00010A5B"/>
    <w:pPr>
      <w:spacing w:before="200" w:after="200" w:line="259" w:lineRule="auto"/>
    </w:pPr>
    <w:rPr>
      <w:rFonts w:ascii="Calibri" w:eastAsia="Calibri" w:hAnsi="Calibri" w:cs="Arial"/>
      <w:lang w:eastAsia="en-US"/>
    </w:rPr>
  </w:style>
  <w:style w:type="paragraph" w:customStyle="1" w:styleId="18">
    <w:name w:val="Указатель1"/>
    <w:basedOn w:val="a4"/>
    <w:qFormat/>
    <w:rsid w:val="00010A5B"/>
    <w:pPr>
      <w:suppressLineNumbers/>
      <w:spacing w:after="160" w:line="259" w:lineRule="auto"/>
    </w:pPr>
    <w:rPr>
      <w:rFonts w:ascii="Calibri" w:eastAsia="Calibri" w:hAnsi="Calibri" w:cs="Lohit Devanagari"/>
      <w:sz w:val="22"/>
      <w:szCs w:val="22"/>
      <w:lang w:eastAsia="en-US"/>
    </w:rPr>
  </w:style>
  <w:style w:type="paragraph" w:styleId="afff6">
    <w:name w:val="No Spacing"/>
    <w:qFormat/>
    <w:rsid w:val="00010A5B"/>
    <w:rPr>
      <w:rFonts w:cs="Arial"/>
    </w:rPr>
  </w:style>
  <w:style w:type="paragraph" w:styleId="27">
    <w:name w:val="Quote"/>
    <w:basedOn w:val="a4"/>
    <w:link w:val="26"/>
    <w:qFormat/>
    <w:rsid w:val="00010A5B"/>
    <w:pPr>
      <w:spacing w:after="160"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styleId="aff8">
    <w:name w:val="Intense Quote"/>
    <w:basedOn w:val="a4"/>
    <w:link w:val="aff7"/>
    <w:qFormat/>
    <w:rsid w:val="00010A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solid" w:color="F2F2F2" w:fill="auto"/>
      <w:spacing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customStyle="1" w:styleId="19">
    <w:name w:val="Заголовок оглавления1"/>
    <w:qFormat/>
    <w:rsid w:val="00010A5B"/>
    <w:rPr>
      <w:rFonts w:cs="Arial"/>
    </w:rPr>
  </w:style>
  <w:style w:type="paragraph" w:customStyle="1" w:styleId="Default">
    <w:name w:val="Default"/>
    <w:qFormat/>
    <w:rsid w:val="00010A5B"/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afff7">
    <w:name w:val="Колонтитул"/>
    <w:basedOn w:val="a4"/>
    <w:qFormat/>
    <w:rsid w:val="00010A5B"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2">
    <w:name w:val="Содержимое таблицы (user)"/>
    <w:basedOn w:val="a4"/>
    <w:qFormat/>
    <w:rsid w:val="00010A5B"/>
    <w:pPr>
      <w:widowControl w:val="0"/>
      <w:suppressLineNumbers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3">
    <w:name w:val="Заголовок таблицы (user)"/>
    <w:basedOn w:val="user2"/>
    <w:qFormat/>
    <w:rsid w:val="00010A5B"/>
    <w:pPr>
      <w:jc w:val="center"/>
    </w:pPr>
    <w:rPr>
      <w:b/>
      <w:bCs/>
    </w:rPr>
  </w:style>
  <w:style w:type="paragraph" w:customStyle="1" w:styleId="afff8">
    <w:name w:val="текст таблицы"/>
    <w:basedOn w:val="a4"/>
    <w:qFormat/>
    <w:rsid w:val="00010A5B"/>
    <w:pPr>
      <w:spacing w:before="120"/>
      <w:ind w:right="-102"/>
    </w:pPr>
    <w:rPr>
      <w:szCs w:val="20"/>
    </w:rPr>
  </w:style>
  <w:style w:type="paragraph" w:customStyle="1" w:styleId="afff9">
    <w:name w:val="Содержимое врезки"/>
    <w:basedOn w:val="a4"/>
    <w:qFormat/>
  </w:style>
  <w:style w:type="numbering" w:customStyle="1" w:styleId="afffa">
    <w:name w:val="Без списка"/>
    <w:uiPriority w:val="99"/>
    <w:semiHidden/>
    <w:unhideWhenUsed/>
    <w:qFormat/>
  </w:style>
  <w:style w:type="table" w:styleId="afffb">
    <w:name w:val="Table Grid"/>
    <w:basedOn w:val="a6"/>
    <w:uiPriority w:val="59"/>
    <w:rsid w:val="0081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a">
    <w:name w:val="Plain Table 1"/>
    <w:basedOn w:val="a6"/>
    <w:uiPriority w:val="41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2a">
    <w:name w:val="Plain Table 2"/>
    <w:basedOn w:val="a6"/>
    <w:uiPriority w:val="42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6">
    <w:name w:val="Plain Table 3"/>
    <w:basedOn w:val="a6"/>
    <w:uiPriority w:val="43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42">
    <w:name w:val="Plain Table 4"/>
    <w:basedOn w:val="a6"/>
    <w:uiPriority w:val="44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52">
    <w:name w:val="Plain Table 5"/>
    <w:basedOn w:val="a6"/>
    <w:uiPriority w:val="45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</w:rPr>
      <w:tblPr/>
      <w:tcPr>
        <w:tcBorders>
          <w:bottom w:val="single" w:sz="4" w:space="0" w:color="404040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-1">
    <w:name w:val="Grid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2">
    <w:name w:val="Grid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3">
    <w:name w:val="Grid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4">
    <w:name w:val="Grid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5">
    <w:name w:val="Grid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6">
    <w:name w:val="Grid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styleId="-2">
    <w:name w:val="Grid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2-Accent1">
    <w:name w:val="Grid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2-Accent2">
    <w:name w:val="Grid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2-Accent3">
    <w:name w:val="Grid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2-Accent4">
    <w:name w:val="Grid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2-Accent5">
    <w:name w:val="Grid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2-Accent6">
    <w:name w:val="Grid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3">
    <w:name w:val="Grid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3-Accent1">
    <w:name w:val="Grid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3-Accent2">
    <w:name w:val="Grid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3-Accent3">
    <w:name w:val="Grid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3-Accent4">
    <w:name w:val="Grid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3-Accent5">
    <w:name w:val="Grid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3-Accent6">
    <w:name w:val="Grid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4">
    <w:name w:val="Grid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4-Accent1">
    <w:name w:val="Grid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37FC8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AE3F3" w:fill="auto"/>
      </w:tcPr>
    </w:tblStylePr>
    <w:tblStylePr w:type="band1Horz">
      <w:rPr>
        <w:sz w:val="22"/>
      </w:rPr>
      <w:tblPr/>
      <w:tcPr>
        <w:shd w:val="solid" w:color="DAE3F3" w:fill="auto"/>
      </w:tcPr>
    </w:tblStylePr>
  </w:style>
  <w:style w:type="table" w:customStyle="1" w:styleId="GridTable4-Accent2">
    <w:name w:val="Grid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4B18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4-Accent3">
    <w:name w:val="Grid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A5A5A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4-Accent4">
    <w:name w:val="Grid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FD864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4-Accent5">
    <w:name w:val="Grid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B9BD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4-Accent6">
    <w:name w:val="Grid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70AD47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5">
    <w:name w:val="Grid Table 5 Dark"/>
    <w:basedOn w:val="a6"/>
    <w:uiPriority w:val="50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BFBFBF" w:fill="auto"/>
    </w:tc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000000" w:fill="auto"/>
      </w:tcPr>
    </w:tblStylePr>
    <w:tblStylePr w:type="firstCol">
      <w:rPr>
        <w:b/>
        <w:sz w:val="22"/>
      </w:rPr>
      <w:tblPr/>
      <w:tcPr>
        <w:shd w:val="solid" w:color="000000" w:fill="auto"/>
      </w:tcPr>
    </w:tblStylePr>
    <w:tblStylePr w:type="lastCol">
      <w:rPr>
        <w:b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GridTable5Dark-Accent1">
    <w:name w:val="Grid Table 5 Dark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9E2F2" w:fill="auto"/>
    </w:tc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4472C4" w:fill="auto"/>
      </w:tcPr>
    </w:tblStylePr>
    <w:tblStylePr w:type="firstCol">
      <w:rPr>
        <w:b/>
        <w:sz w:val="22"/>
      </w:rPr>
      <w:tblPr/>
      <w:tcPr>
        <w:shd w:val="solid" w:color="4472C4" w:fill="auto"/>
      </w:tcPr>
    </w:tblStylePr>
    <w:tblStylePr w:type="lastCol">
      <w:rPr>
        <w:b/>
        <w:sz w:val="22"/>
      </w:rPr>
      <w:tblPr/>
      <w:tcPr>
        <w:shd w:val="solid" w:color="4472C4" w:fill="auto"/>
      </w:tcPr>
    </w:tblStylePr>
    <w:tblStylePr w:type="band1Vert">
      <w:tblPr/>
      <w:tcPr>
        <w:shd w:val="solid" w:color="AABFE3" w:fill="auto"/>
      </w:tcPr>
    </w:tblStylePr>
    <w:tblStylePr w:type="band1Horz">
      <w:tblPr/>
      <w:tcPr>
        <w:shd w:val="solid" w:color="AABFE3" w:fill="auto"/>
      </w:tcPr>
    </w:tblStylePr>
  </w:style>
  <w:style w:type="table" w:customStyle="1" w:styleId="GridTable5Dark-Accent2">
    <w:name w:val="Grid Table 5 Dark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BE5D6" w:fill="auto"/>
    </w:tc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ED7D31" w:fill="auto"/>
      </w:tcPr>
    </w:tblStylePr>
    <w:tblStylePr w:type="firstCol">
      <w:rPr>
        <w:b/>
        <w:sz w:val="22"/>
      </w:rPr>
      <w:tblPr/>
      <w:tcPr>
        <w:shd w:val="solid" w:color="ED7D31" w:fill="auto"/>
      </w:tcPr>
    </w:tblStylePr>
    <w:tblStylePr w:type="lastCol">
      <w:rPr>
        <w:b/>
        <w:sz w:val="22"/>
      </w:rPr>
      <w:tblPr/>
      <w:tcPr>
        <w:shd w:val="solid" w:color="ED7D31" w:fill="auto"/>
      </w:tcPr>
    </w:tblStylePr>
    <w:tblStylePr w:type="band1Vert">
      <w:tblPr/>
      <w:tcPr>
        <w:shd w:val="solid" w:color="F6C3A1" w:fill="auto"/>
      </w:tcPr>
    </w:tblStylePr>
    <w:tblStylePr w:type="band1Horz">
      <w:tblPr/>
      <w:tcPr>
        <w:shd w:val="solid" w:color="F6C3A1" w:fill="auto"/>
      </w:tcPr>
    </w:tblStylePr>
  </w:style>
  <w:style w:type="table" w:customStyle="1" w:styleId="GridTable5Dark-Accent3">
    <w:name w:val="Grid Table 5 Dark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DEDED" w:fill="auto"/>
    </w:tc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A5A5A5" w:fill="auto"/>
      </w:tcPr>
    </w:tblStylePr>
    <w:tblStylePr w:type="firstCol">
      <w:rPr>
        <w:b/>
        <w:sz w:val="22"/>
      </w:rPr>
      <w:tblPr/>
      <w:tcPr>
        <w:shd w:val="solid" w:color="A5A5A5" w:fill="auto"/>
      </w:tcPr>
    </w:tblStylePr>
    <w:tblStylePr w:type="lastCol">
      <w:rPr>
        <w:b/>
        <w:sz w:val="22"/>
      </w:rPr>
      <w:tblPr/>
      <w:tcPr>
        <w:shd w:val="solid" w:color="A5A5A5" w:fill="auto"/>
      </w:tcPr>
    </w:tblStylePr>
    <w:tblStylePr w:type="band1Vert">
      <w:tblPr/>
      <w:tcPr>
        <w:shd w:val="solid" w:color="D6D6D6" w:fill="auto"/>
      </w:tcPr>
    </w:tblStylePr>
    <w:tblStylePr w:type="band1Horz">
      <w:tblPr/>
      <w:tcPr>
        <w:shd w:val="solid" w:color="D6D6D6" w:fill="auto"/>
      </w:tcPr>
    </w:tblStylePr>
  </w:style>
  <w:style w:type="table" w:customStyle="1" w:styleId="GridTable5Dark-Accent4">
    <w:name w:val="Grid Table 5 Dark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EF2CB" w:fill="auto"/>
    </w:tc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C000" w:fill="auto"/>
      </w:tcPr>
    </w:tblStylePr>
    <w:tblStylePr w:type="firstCol">
      <w:rPr>
        <w:b/>
        <w:sz w:val="22"/>
      </w:rPr>
      <w:tblPr/>
      <w:tcPr>
        <w:shd w:val="solid" w:color="FFC000" w:fill="auto"/>
      </w:tcPr>
    </w:tblStylePr>
    <w:tblStylePr w:type="lastCol">
      <w:rPr>
        <w:b/>
        <w:sz w:val="22"/>
      </w:rPr>
      <w:tblPr/>
      <w:tcPr>
        <w:shd w:val="solid" w:color="FFC000" w:fill="auto"/>
      </w:tcPr>
    </w:tblStylePr>
    <w:tblStylePr w:type="band1Vert">
      <w:tblPr/>
      <w:tcPr>
        <w:shd w:val="solid" w:color="FEE189" w:fill="auto"/>
      </w:tcPr>
    </w:tblStylePr>
    <w:tblStylePr w:type="band1Horz">
      <w:tblPr/>
      <w:tcPr>
        <w:shd w:val="solid" w:color="FEE189" w:fill="auto"/>
      </w:tcPr>
    </w:tblStylePr>
  </w:style>
  <w:style w:type="table" w:customStyle="1" w:styleId="GridTable5Dark-Accent5">
    <w:name w:val="Grid Table 5 Dark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DEBF6" w:fill="auto"/>
    </w:tc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5B9BD5" w:fill="auto"/>
      </w:tcPr>
    </w:tblStylePr>
    <w:tblStylePr w:type="firstCol">
      <w:rPr>
        <w:b/>
        <w:sz w:val="22"/>
      </w:rPr>
      <w:tblPr/>
      <w:tcPr>
        <w:shd w:val="solid" w:color="5B9BD5" w:fill="auto"/>
      </w:tcPr>
    </w:tblStylePr>
    <w:tblStylePr w:type="lastCol">
      <w:rPr>
        <w:b/>
        <w:sz w:val="22"/>
      </w:rPr>
      <w:tblPr/>
      <w:tcPr>
        <w:shd w:val="solid" w:color="5B9BD5" w:fill="auto"/>
      </w:tcPr>
    </w:tblStylePr>
    <w:tblStylePr w:type="band1Vert">
      <w:tblPr/>
      <w:tcPr>
        <w:shd w:val="solid" w:color="B4D2EB" w:fill="auto"/>
      </w:tcPr>
    </w:tblStylePr>
    <w:tblStylePr w:type="band1Horz">
      <w:tblPr/>
      <w:tcPr>
        <w:shd w:val="solid" w:color="B4D2EB" w:fill="auto"/>
      </w:tcPr>
    </w:tblStylePr>
  </w:style>
  <w:style w:type="table" w:customStyle="1" w:styleId="GridTable5Dark-Accent6">
    <w:name w:val="Grid Table 5 Dark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2EFD8" w:fill="auto"/>
    </w:tc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70AD47" w:fill="auto"/>
      </w:tcPr>
    </w:tblStylePr>
    <w:tblStylePr w:type="firstCol">
      <w:rPr>
        <w:b/>
        <w:sz w:val="22"/>
      </w:rPr>
      <w:tblPr/>
      <w:tcPr>
        <w:shd w:val="solid" w:color="70AD47" w:fill="auto"/>
      </w:tcPr>
    </w:tblStylePr>
    <w:tblStylePr w:type="lastCol">
      <w:rPr>
        <w:b/>
        <w:sz w:val="22"/>
      </w:rPr>
      <w:tblPr/>
      <w:tcPr>
        <w:shd w:val="solid" w:color="70AD47" w:fill="auto"/>
      </w:tcPr>
    </w:tblStylePr>
    <w:tblStylePr w:type="band1Vert">
      <w:tblPr/>
      <w:tcPr>
        <w:shd w:val="solid" w:color="BEDBA8" w:fill="auto"/>
      </w:tcPr>
    </w:tblStylePr>
    <w:tblStylePr w:type="band1Horz">
      <w:tblPr/>
      <w:tcPr>
        <w:shd w:val="solid" w:color="BEDBA8" w:fill="auto"/>
      </w:tcPr>
    </w:tblStylePr>
  </w:style>
  <w:style w:type="table" w:styleId="-6">
    <w:name w:val="Grid Table 6 Colorful"/>
    <w:basedOn w:val="a6"/>
    <w:uiPriority w:val="51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  <w:tblStylePr w:type="band2Horz">
      <w:rPr>
        <w:sz w:val="22"/>
      </w:rPr>
    </w:tblStylePr>
  </w:style>
  <w:style w:type="table" w:customStyle="1" w:styleId="GridTable6Colorful-Accent1">
    <w:name w:val="Grid Table 6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6Colorful-Accent2">
    <w:name w:val="Grid Table 6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6Colorful-Accent3">
    <w:name w:val="Grid Table 6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6Colorful-Accent4">
    <w:name w:val="Grid Table 6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6Colorful-Accent5">
    <w:name w:val="Grid Table 6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6Colorful-Accent6">
    <w:name w:val="Grid Table 6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7">
    <w:name w:val="Grid Table 7 Colorful"/>
    <w:basedOn w:val="a6"/>
    <w:uiPriority w:val="52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  <w:tblStylePr w:type="band2Horz">
      <w:rPr>
        <w:sz w:val="22"/>
      </w:rPr>
    </w:tblStylePr>
  </w:style>
  <w:style w:type="table" w:customStyle="1" w:styleId="GridTable7Colorful-Accent1">
    <w:name w:val="Grid Table 7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7Colorful-Accent2">
    <w:name w:val="Grid Table 7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7Colorful-Accent3">
    <w:name w:val="Grid Table 7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7Colorful-Accent4">
    <w:name w:val="Grid Table 7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7Colorful-Accent5">
    <w:name w:val="Grid Table 7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7Colorful-Accent6">
    <w:name w:val="Grid Table 7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10">
    <w:name w:val="List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ListTable1Light-Accent1">
    <w:name w:val="List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tblPr/>
      <w:tcPr>
        <w:shd w:val="solid" w:color="CFDCF0" w:fill="auto"/>
      </w:tcPr>
    </w:tblStylePr>
  </w:style>
  <w:style w:type="table" w:customStyle="1" w:styleId="ListTable1Light-Accent2">
    <w:name w:val="List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tblPr/>
      <w:tcPr>
        <w:shd w:val="solid" w:color="FADECB" w:fill="auto"/>
      </w:tcPr>
    </w:tblStylePr>
  </w:style>
  <w:style w:type="table" w:customStyle="1" w:styleId="ListTable1Light-Accent3">
    <w:name w:val="List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tblPr/>
      <w:tcPr>
        <w:shd w:val="solid" w:color="E8E8E8" w:fill="auto"/>
      </w:tcPr>
    </w:tblStylePr>
  </w:style>
  <w:style w:type="table" w:customStyle="1" w:styleId="ListTable1Light-Accent4">
    <w:name w:val="List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tblPr/>
      <w:tcPr>
        <w:shd w:val="solid" w:color="FFEFBF" w:fill="auto"/>
      </w:tcPr>
    </w:tblStylePr>
  </w:style>
  <w:style w:type="table" w:customStyle="1" w:styleId="ListTable1Light-Accent5">
    <w:name w:val="List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tblPr/>
      <w:tcPr>
        <w:shd w:val="solid" w:color="D5E6F4" w:fill="auto"/>
      </w:tcPr>
    </w:tblStylePr>
  </w:style>
  <w:style w:type="table" w:customStyle="1" w:styleId="ListTable1Light-Accent6">
    <w:name w:val="List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tblPr/>
      <w:tcPr>
        <w:shd w:val="solid" w:color="DBEBD0" w:fill="auto"/>
      </w:tcPr>
    </w:tblStylePr>
  </w:style>
  <w:style w:type="table" w:styleId="-20">
    <w:name w:val="List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2-Accent1">
    <w:name w:val="List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2-Accent2">
    <w:name w:val="List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2-Accent3">
    <w:name w:val="List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2-Accent4">
    <w:name w:val="List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2-Accent5">
    <w:name w:val="List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2-Accent6">
    <w:name w:val="List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30">
    <w:name w:val="List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2">
    <w:name w:val="List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4B18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3">
    <w:name w:val="List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C9C9C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4">
    <w:name w:val="List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FD86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5">
    <w:name w:val="List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9CC4E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6">
    <w:name w:val="List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AAD08F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4-Accent1">
    <w:name w:val="List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4-Accent2">
    <w:name w:val="List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4-Accent3">
    <w:name w:val="List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4-Accent4">
    <w:name w:val="List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4-Accent5">
    <w:name w:val="List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4-Accent6">
    <w:name w:val="List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50">
    <w:name w:val="List Table 5 Dark"/>
    <w:basedOn w:val="a6"/>
    <w:uiPriority w:val="50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7F7F7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7F7F7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</w:style>
  <w:style w:type="table" w:customStyle="1" w:styleId="ListTable5Dark-Accent1">
    <w:name w:val="List Table 5 Dark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4472C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4472C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4472C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</w:style>
  <w:style w:type="table" w:customStyle="1" w:styleId="ListTable5Dark-Accent2">
    <w:name w:val="List Table 5 Dark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4B18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4B18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4B18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</w:style>
  <w:style w:type="table" w:customStyle="1" w:styleId="ListTable5Dark-Accent3">
    <w:name w:val="List Table 5 Dark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C9C9C9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C9C9C9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C9C9C9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</w:style>
  <w:style w:type="table" w:customStyle="1" w:styleId="ListTable5Dark-Accent4">
    <w:name w:val="List Table 5 Dark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FD86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FD86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FD86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</w:style>
  <w:style w:type="table" w:customStyle="1" w:styleId="ListTable5Dark-Accent5">
    <w:name w:val="List Table 5 Dark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9CC4E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9CC4E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9CC4E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</w:style>
  <w:style w:type="table" w:customStyle="1" w:styleId="ListTable5Dark-Accent6">
    <w:name w:val="List Table 5 Dark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AAD08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AAD08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AAD08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</w:style>
  <w:style w:type="table" w:styleId="-60">
    <w:name w:val="List Table 6 Colorful"/>
    <w:basedOn w:val="a6"/>
    <w:uiPriority w:val="51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6Colorful-Accent1">
    <w:name w:val="List Table 6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6Colorful-Accent2">
    <w:name w:val="List Table 6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6Colorful-Accent3">
    <w:name w:val="List Table 6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6Colorful-Accent4">
    <w:name w:val="List Table 6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6Colorful-Accent5">
    <w:name w:val="List Table 6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6Colorful-Accent6">
    <w:name w:val="List Table 6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styleId="-70">
    <w:name w:val="List Table 7 Colorful"/>
    <w:basedOn w:val="a6"/>
    <w:uiPriority w:val="52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7Colorful-Accent1">
    <w:name w:val="List Table 7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7Colorful-Accent2">
    <w:name w:val="List Table 7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7Colorful-Accent3">
    <w:name w:val="List Table 7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7Colorful-Accent4">
    <w:name w:val="List Table 7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7Colorful-Accent5">
    <w:name w:val="List Table 7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7Colorful-Accent6">
    <w:name w:val="List Table 7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customStyle="1" w:styleId="Lined-Accent">
    <w:name w:val="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Lined-Accent2">
    <w:name w:val="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Lined-Accent3">
    <w:name w:val="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Lined-Accent4">
    <w:name w:val="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Lined-Accent5">
    <w:name w:val="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Lined-Accent6">
    <w:name w:val="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Lined-Accent">
    <w:name w:val="Bordered &amp; 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BorderedLined-Accent2">
    <w:name w:val="Bordered &amp; 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BorderedLined-Accent3">
    <w:name w:val="Bordered &amp; 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BorderedLined-Accent4">
    <w:name w:val="Bordered &amp; 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BorderedLined-Accent5">
    <w:name w:val="Bordered &amp; 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BorderedLined-Accent6">
    <w:name w:val="Bordered &amp; 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">
    <w:name w:val="Bordered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2">
    <w:name w:val="Bordered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3">
    <w:name w:val="Bordered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4">
    <w:name w:val="Bordered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5">
    <w:name w:val="Bordered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6">
    <w:name w:val="Bordered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-pro.ru/gost/16600-7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star-pro.ru/gost/12-2-049-80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r-pro.ru/gost/30631-99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https://star-pro.ru/gost/9-303-84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star-pro.ru/gost/30804-4-3-2013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CBEF4-0A0A-47CE-8257-8D385ED9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9</Pages>
  <Words>2866</Words>
  <Characters>16341</Characters>
  <Application>Microsoft Office Word</Application>
  <DocSecurity>0</DocSecurity>
  <Lines>136</Lines>
  <Paragraphs>38</Paragraphs>
  <ScaleCrop>false</ScaleCrop>
  <Company>ПАО "Ростелеком"</Company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Ольга Алексеевна</dc:creator>
  <dc:description/>
  <cp:lastModifiedBy>Ануфриева Елена Александровна</cp:lastModifiedBy>
  <cp:revision>21</cp:revision>
  <cp:lastPrinted>2025-10-03T07:53:00Z</cp:lastPrinted>
  <dcterms:created xsi:type="dcterms:W3CDTF">2025-10-13T09:35:00Z</dcterms:created>
  <dcterms:modified xsi:type="dcterms:W3CDTF">2026-03-12T16:22:00Z</dcterms:modified>
  <dc:language>ru-RU</dc:language>
</cp:coreProperties>
</file>