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</w:r>
    </w:p>
    <w:p>
      <w:pPr>
        <w:pStyle w:val="Normal"/>
        <w:jc w:val="center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b/>
        </w:rPr>
      </w:pPr>
      <w:r>
        <w:rPr>
          <w:b/>
          <w:kern w:val="2"/>
          <w:sz w:val="24"/>
          <w:szCs w:val="24"/>
        </w:rPr>
        <w:t>Оказание услуг по сервисному обслуживанию муниципальной системы оповещения (П-166 ИТК ОС) Томского района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требования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Перечень услуг по сервисному обслуживанию муниципальной системы оповещения населения (далее МСОН) Томского муниципального района Томской области включает в себя комплекс работ по поддержанию в исправном состоянии, восстановлению работоспособности программно-технических комплексов оповещения, выполняемых в период их использования по назначению.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МСОН Томского муниципального района Томской области включает в себя комплексы технических средств оповещения с установленным специальным программным обеспечением П-166 ИТК ОС, и сетевую инфраструктуру, обеспечивающую построение виртуальных частных сетей на основе технологии многопротокольной коммутации по меткам (далее-MPLS).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К мероприятиям технического обслуживания относятся: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ежемесячное обслуживание программно-технических средств оповещения в Томском муниципальном районе, в соответствии с Приложением № 1 к техническому заданию;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сервисное сопровождение программно-технических комплексов оповещения.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2. Требования, предъявляемые Заказчиком к оказываемым услугам.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2.1. Сервисное обслуживание должно осуществляться в соответствии с «Регламентом технического обслуживания аппаратуры оповещения РАСЦО/КСЭОН на базе П-166 ИТК ОС».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2.2. Исполнитель обязуется оказывать услуги по сервисному обслуживанию программно-технических комплексов оповещения, находящихся в ведении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</w:rPr>
        <w:t>Заказчика, на основании перечня технических средств оповещения, передаваемых на сервисное обслуживание (Приложение № 1 к техническому заданию).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2.3. Исполнитель принимает на себя выполнение следующих обязательств: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обеспечивать постоянную техническую готовность и работоспособность программно-технических средств оповещения, принятых на сервисное обслуживание;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сервисное обслуживание в соответствии с «Регламентом технического обслуживания аппаратуры оповещения РАСЦО/КСЭОН на базе П-166 ИТК ОС»;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проводить ежемесячное сервисное обслуживание в отношении указанных в Приложении № 1 к техническому заданию средств оповещения в соответствии с Планом-графиком технического обслуживания технических средств оповещения (Приложение №3 </w:t>
      </w:r>
      <w:r>
        <w:rPr/>
        <w:t xml:space="preserve">к </w:t>
      </w:r>
      <w:r>
        <w:rPr>
          <w:sz w:val="24"/>
          <w:szCs w:val="24"/>
        </w:rPr>
        <w:t>настоящему техническому заданию) в объемах, указанных в регламентах технического обслуживания;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проводить совместный с представителем Заказчика ежеквартальный аудит технической готовности и работоспособности программно-технических средств оповещения, принятых на сервисное обслуживание. Результаты аудита заносятся комиссией Исполнителя в акт проведения </w:t>
      </w:r>
      <w:r>
        <w:rPr>
          <w:sz w:val="24"/>
          <w:szCs w:val="24"/>
          <w:shd w:fill="auto" w:val="clear"/>
        </w:rPr>
        <w:t>технического обслуживания (ТО-2) технических средств оповещения (Приложение № 5 к настоящему техническому заданию);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проводить удаленное сервисное обслуживание, включающее мониторинг состояния оборудования и отработки сигналов оповещения, анализ работоспособности программных и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проводить диагностику вышедшего из строя оборудования;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проводить сервисное сопровождение программно-технических комплексов оповещения;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принимать участие в технических проверках системы оповещения.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2.4. Обеспечение постоянной готовности включает в себя следующий комплекс мероприятий: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обеспечить техническую готовность системы оповещения в каждом направлении оповещения с коэффициентом технической готовности не менее 0,99 в месяц, организовать круглосуточной мониторинг состояния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- еженедельный удаленный запрос технического состояния установленного оборудования (в рабочие дни) с 09:00 до 09:30 (время местное); </w:t>
      </w:r>
    </w:p>
    <w:p>
      <w:pPr>
        <w:pStyle w:val="Normal"/>
        <w:spacing w:lineRule="auto" w:line="240" w:before="120" w:after="0"/>
        <w:ind w:firstLine="426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 xml:space="preserve">- регистрация и обработка аварийных сообщений от оконечного оборудования, их проверка и информирование Заказчика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ru-RU" w:bidi="ar-SA"/>
        </w:rPr>
        <w:t>(</w:t>
      </w:r>
      <w:r>
        <w:rPr>
          <w:b w:val="false"/>
          <w:bCs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</w:rPr>
        <w:t>elena.brodskaya@sibir.rt.ru</w:t>
      </w:r>
      <w:r>
        <w:rPr>
          <w:b w:val="false"/>
          <w:bCs w:val="false"/>
          <w:color w:val="000000"/>
          <w:sz w:val="24"/>
          <w:szCs w:val="24"/>
        </w:rPr>
        <w:t xml:space="preserve">) и Государственного заказчика о неисправностях ЕДДС Томского района 8 (3822) 40-11-22, режим работы ЕДДС Томского района круглосуточный; 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контроль исправности основных и резервных каналов связи, принятие мер по восстановлению их работоспособности;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проверка конфигурационных параметров оборудования и их настройка в соответствии с документацией;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проверка работы встроенного речевого меню оборудования оповещения;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контроль целостности каталога сигналов оповещения, предварительно записанных в память оборудования;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восстановление конфигурации оборудования оповещения, возникшее вследствие ошибок эксплуатирующего персонала;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- участие в технических проверках системы оповещения, анализ работы программных и технических средств оповещения по журналам и результатов фактической отработки по информации дежурно-диспетчерских служб;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при отказах технических средств обеспечить проведение диагностики вышедшего из строя оборудования и его восстановление.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2.5. Ежемесячное сервисное обслуживание предусматривает выполнение следующих видов услуг: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Сервисное сопровождение программно-технических комплексов оповещения предусматривает выполнение следующих видов услуг: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сбор статистической информации, ее предварительный анализ, оценку эффективности функционирования, прогнозирование и планирование критичных или аварийных событий, разработка предложений в рамках УТО (Удалённое техническое обслуживание);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предоставление модернизированных версий специального программного обеспечения системы оповещения, соответствующих измененным требованиям Федерального и регионального законодательства в сфере обеспечения функционирования системы оповещения, в срок не позднее трех календарных месяцев с даты вступления нормативного документа в силу;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предоставление пакета обновленной эксплуатационной документации в составе модернизированной версии по адресу Государственного заказчика: 634009, г. Томск, ул. Карла Маркса, 56 с информированием Заказчика по эл.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п</w:t>
      </w:r>
      <w:r>
        <w:rPr>
          <w:color w:val="000000"/>
          <w:sz w:val="24"/>
          <w:szCs w:val="24"/>
        </w:rPr>
        <w:t xml:space="preserve">очте: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  <w:lang w:val="ru-RU" w:eastAsia="ru-RU" w:bidi="ar-SA"/>
        </w:rPr>
        <w:t>elena.brodskaya@sibir.rt.ru</w:t>
      </w:r>
      <w:r>
        <w:rPr>
          <w:color w:val="00000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- установка обновления версии специализированного программного обеспечения (прошивок) аппаратуры П-166 ИТК ОС, оконечного оборудования, сетевого оборудования, конфигурирование параметров операционной системы автоматизированных рабочих мест в срок не позднее одного календарного месяца с даты разработки. Уведомление об оказанных услугах необходимо направить на адрес Заказчика: 634009, г. Томск, ул. Карла Маркса, 56 </w:t>
      </w:r>
      <w:r>
        <w:rPr>
          <w:color w:val="000000"/>
          <w:sz w:val="24"/>
          <w:szCs w:val="24"/>
          <w:shd w:fill="auto" w:val="clear"/>
        </w:rPr>
        <w:t>и Заказчика по эл. почте: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  <w:lang w:val="ru-RU" w:eastAsia="ru-RU" w:bidi="ar-SA"/>
        </w:rPr>
        <w:t>elena.brodskaya@sibir.rt.ru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ru-RU" w:bidi="ar-SA"/>
        </w:rPr>
        <w:t>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- установка обновлений текущих версий общесистемного программного обеспечения, установленного у Заказчика. Уведомление об оказанных услугах необходимо направить на адрес Государственного Заказчика: 634009, г. Томск, ул. Карла Маркса, 56 </w:t>
      </w:r>
      <w:r>
        <w:rPr>
          <w:color w:val="000000"/>
          <w:sz w:val="24"/>
          <w:szCs w:val="24"/>
          <w:shd w:fill="auto" w:val="clear"/>
        </w:rPr>
        <w:t>и Заказчика по эл. почте: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  <w:lang w:val="ru-RU" w:eastAsia="ru-RU" w:bidi="ar-SA"/>
        </w:rPr>
        <w:t>elena.brodskaya@sibir.rt.ru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ru-RU" w:bidi="ar-SA"/>
        </w:rPr>
        <w:t>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- консультирование персонала Заказчика по работе с аппаратурой П-166 ИТК ОС по средствам связи, указанным в п.3.5.;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2.6. В течение 10 (Десяти) рабочих дней с момента заключения Договора Исполнитель обязан провести технический аудит установленного оборудования и программного обеспечения комплексов системы оповещения;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2.7. Качество оказываемых услуг должно соответствовать требованиям ГОСТ Р ISO 9001-2015.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2.8. Все оказываемые услуги должны фиксироваться Исполнителем в «Книгу учета технических средств муниципальной системы оповещения населения Томского района об угрозе возникновения лили возникновения чрезвычайных ситуаций» (Приложение № 2 к настоящему техническому заданию).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2.9. Оказание услуг по технической поддержке организуются и выполняются в соответствии с законодательством Российской Федерации в области охраны труда, в соответствии с ГОСТ 15.601-98, ГОСТ 28.001-83, ГОСТ 18322-2016, «Правил устройства электроустановок» ПУЭ, СП 76.13330, СП 76.13330.2016 и требований предусмотренных технической документацией на оборудование, регламентов технического обслуживания, разработанными изготовителями соответствующего оборудования.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2.10. Исполнитель, осуществляющий оказание услуг по сервисной поддержке, должен иметь необходимые для проведения работ по сервисному обслуживанию измерительные приборы и инструменты.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Для оказания услуг руководители организаций, осуществляющих сервисную поддержку, назначают своим приказом специалистов из числа своих сотрудников и допускают к проведению этих работ с учетом наличия у них: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- допуска к работам со специальным программным обеспечение установленном у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  <w:shd w:fill="auto" w:val="clear"/>
        </w:rPr>
        <w:t>Заказчика в соответствии с «Регламент технического обслуживания аппаратуры оповещения РАСЦО/КСЭОН на базе П-166 ИТК ОС»;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Допуск Заказчиком специалистов осуществляется на основании предоставленного приказа Исполнителя о допуске к работам, и документов, удостоверяющих личность и подтверждающих право на выполнение работ.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2.11. Специалисты Исполнителя обязаны соблюдать требования внутренних регламентов Заказчика и организаций, на территории которых установлено обслуживаемое оборудование.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pacing w:lineRule="auto" w:line="240" w:before="120" w:after="0"/>
        <w:ind w:firstLine="709"/>
        <w:rPr>
          <w:b/>
          <w:bCs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3. Порядок оказания услуг по сервисному обслуживанию.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  <w:shd w:fill="auto" w:val="clear"/>
        </w:rPr>
        <w:t>3.1. Сервисное обслуживание программно-технических комплексов оповещ</w:t>
      </w:r>
      <w:r>
        <w:rPr>
          <w:sz w:val="24"/>
          <w:szCs w:val="24"/>
        </w:rPr>
        <w:t>ения проводится удаленно.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3.2. Сервисное обслуживание проводится в сроки, указанные в План-графике технического обслуживания технических средств оповещения (Приложение № 3 к настоящему техническому заданию)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3.3. Ремонтно-восстановительные работы выполняются удаленно  круглосуточно Исполнителем по заявке Заказчика.</w:t>
      </w:r>
    </w:p>
    <w:p>
      <w:pPr>
        <w:pStyle w:val="Normal"/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3.4. Исполнитель обязан приступить к началу ремонтно-восстановительных работ в течение 1 (одного) часа с момента получения заявки от Заказчика.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3.5. Обращение Заказчика к Исполнителю может осуществляться с помощью: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электронной почты;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по телефону;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системы регистрации обращений.</w:t>
      </w:r>
    </w:p>
    <w:tbl>
      <w:tblPr>
        <w:tblW w:w="91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3681"/>
        <w:gridCol w:w="4931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03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№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Способ обращения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Контактные данные Исполнителя *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79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Электронная почта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79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Телефон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12"/>
              <w:ind w:firstLine="426"/>
              <w:rPr>
                <w:rFonts w:eastAsia="PT Astra Serif"/>
                <w:color w:val="000000"/>
                <w:sz w:val="22"/>
                <w:szCs w:val="22"/>
              </w:rPr>
            </w:pPr>
            <w:r>
              <w:rPr>
                <w:rFonts w:eastAsia="PT Astra Serif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621" w:start="-788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 xml:space="preserve">  </w:t>
            </w:r>
            <w:r>
              <w:rPr>
                <w:rFonts w:eastAsia="PT Astra Serif"/>
                <w:color w:val="000000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Система регистрации обращений</w:t>
            </w:r>
          </w:p>
        </w:tc>
        <w:tc>
          <w:tcPr>
            <w:tcW w:w="4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66" w:leader="none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*заполняются после заключения договора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Исполнителем может быть запрошена дополнительная информация, необходимая для решения заявок (обращений).</w:t>
      </w:r>
    </w:p>
    <w:p>
      <w:pPr>
        <w:pStyle w:val="Normal"/>
        <w:spacing w:lineRule="auto" w:line="240" w:before="120" w:after="0"/>
        <w:ind w:firstLine="426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Ответ на заявку (обращение) передается Заказчику по электронной почте </w:t>
      </w:r>
      <w:r>
        <w:rPr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</w:rPr>
        <w:t>elena.brodskaya@sibir.rt.ru</w:t>
      </w:r>
      <w:r>
        <w:rPr>
          <w:color w:val="000000"/>
          <w:sz w:val="24"/>
          <w:szCs w:val="24"/>
          <w:shd w:fill="auto" w:val="clear"/>
        </w:rPr>
        <w:t xml:space="preserve"> в системе обработки обращений (при наличии у Исполнителя), а по требованию Заказчика дублируется факсимильным сообщением или на бумажном носителе.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3.6. Срок ремонтно-восстановительных работ: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программные сбои – в течение 24 часов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 момента получения заявки;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технические неисправности: – в течение 3 рабочих дней (при наличии запасного имущества и принадлежностей) и в течение 20 рабочих дней при заказе необходимых запасных частей и оборудования для полного восстановления работы комплексов за счет сил и средств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</w:rPr>
        <w:t>Заказчика.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3.7. После ремонтно-восстановительных работ Исполнитель обязан проинформировать Заказчика о характере неисправности, принятых мерах и предположительных сроках восстановления работоспособности: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программные сбои: в течение 3-4 часов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технические неисправности: в течение 24 часов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3.8. В случаях невозможности проведения диагностики и устранения неисправности на местах установки программно-технических комплексов оповещения, доставка неисправного оборудования до сервисных центров не более 20 рабочих дней (независимо от адреса их нахождения) и обратно является обязательством Исполнителя.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3.9. Если после диагностики в сервисном центре будет выявлена необходимость проведения ремонтных работ, связанных с дополнительными финансовыми расходами, Заказчик принимает решение о целесообразности данного ремонта, о чем письменно уведомляет Исполнителя по каналам связи, указанных в п.3.5.</w:t>
      </w:r>
    </w:p>
    <w:p>
      <w:pPr>
        <w:pStyle w:val="Normal"/>
        <w:spacing w:lineRule="auto" w:line="240" w:before="120" w:after="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start"/>
        <w:rPr>
          <w:lang w:eastAsia="en-US"/>
        </w:rPr>
      </w:pPr>
      <w:r>
        <w:rPr>
          <w:lang w:eastAsia="en-US"/>
        </w:rPr>
      </w:r>
      <w:r>
        <w:br w:type="page"/>
      </w:r>
    </w:p>
    <w:p>
      <w:pPr>
        <w:pStyle w:val="Normal"/>
        <w:spacing w:before="0" w:after="120"/>
        <w:jc w:val="end"/>
        <w:rPr>
          <w:lang w:eastAsia="en-US"/>
        </w:rPr>
      </w:pPr>
      <w:r>
        <w:rPr>
          <w:lang w:eastAsia="en-US"/>
        </w:rPr>
        <w:t>Приложение № 1</w:t>
      </w:r>
    </w:p>
    <w:p>
      <w:pPr>
        <w:pStyle w:val="Normal"/>
        <w:jc w:val="end"/>
        <w:rPr>
          <w:lang w:eastAsia="en-US"/>
        </w:rPr>
      </w:pPr>
      <w:r>
        <w:rPr>
          <w:lang w:eastAsia="en-US"/>
        </w:rPr>
        <w:t>к техническому заданию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  <w:t>Перечень технических средств оповещения,</w:t>
        <w:br/>
        <w:t xml:space="preserve"> передаваемых на сервисное обслуживание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69"/>
        <w:gridCol w:w="2800"/>
        <w:gridCol w:w="992"/>
        <w:gridCol w:w="560"/>
        <w:gridCol w:w="4968"/>
      </w:tblGrid>
      <w:tr>
        <w:trPr>
          <w:trHeight w:val="708" w:hRule="atLeast"/>
        </w:trPr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комплексов (средств) оповещения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-166" w:end="-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измере-ния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end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установки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АРМ ОД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г. Томск, ул. Карла Маркса, 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БР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г. Томск, ул. Карла Маркса, 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Барабинка, ул. Болотная, 10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Березкино, ул. Мира, 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Борики, ул. Лесная, 11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Головина, ул. Светлая, 17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Губино, ул. Кедровая, 7/1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Калтай, 74а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Кандинка, ул. Мира, 16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с.Кафтанчиково, ул. Коммунистическая, 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Лаврово, ул. Центральная, 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Кисловка, ул. Мира, 16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Ключи, ул. Центральная, 1 с 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Козюлино, пер. Водонапорный, 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Кудринский Участок, ул. Кооперативная (территория фермы СПК Нелюбино)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Карбышево, ул. Центральная, 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Нагорный Иштан, ул. Озёрная, 70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Нелюбино, ул. Рабочая 71а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Чернышевка, ул. Главная, 26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Верхнее-Сеченово, ул. Лесная, 1а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86-й квартал, ул. Школьная, 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Курлек, ул. Трактовая, 48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Половинка, ул. Центральная, 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Рыбалово, ул. Советская, 3Б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Тахтамышево, ул. Фабричная, 11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Богашево, ул. Новостройка, 1а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Аэропорт, д 1 (АСС – аварийно - спасательная станция)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Моряковский Затон, Советская, 25 б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Черная Речка, ул. Береговая, 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Батурино, ул. Цветочная, 11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Вершинино, пер. Новый, 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Коларово, ул. Кооперативная, 12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Казанка, ул. Береговая, 28а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Зональный ул. Зеленая 40</w:t>
            </w:r>
          </w:p>
        </w:tc>
      </w:tr>
    </w:tbl>
    <w:p>
      <w:pPr>
        <w:pStyle w:val="Normal"/>
        <w:spacing w:before="0" w:after="120"/>
        <w:jc w:val="center"/>
        <w:rPr>
          <w:b/>
          <w:lang w:eastAsia="en-US"/>
        </w:rPr>
      </w:pPr>
      <w:r>
        <w:br w:type="page"/>
      </w:r>
      <w:r>
        <w:rPr>
          <w:b/>
          <w:lang w:eastAsia="en-US"/>
        </w:rPr>
        <w:t>Спецификация оборудования комплексов оповещения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55"/>
        <w:gridCol w:w="8273"/>
        <w:gridCol w:w="727"/>
      </w:tblGrid>
      <w:tr>
        <w:trPr>
          <w:trHeight w:val="255" w:hRule="atLeast"/>
        </w:trPr>
        <w:tc>
          <w:tcPr>
            <w:tcW w:w="95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ОС АРМ ОД(1 к-т)</w:t>
            </w:r>
          </w:p>
        </w:tc>
      </w:tr>
      <w:tr>
        <w:trPr>
          <w:trHeight w:val="409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</w:t>
            </w:r>
            <w:r>
              <w:rPr>
                <w:bCs/>
                <w:lang w:eastAsia="en-US"/>
              </w:rPr>
              <w:t>пп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 комплексов оповещения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>
        <w:trPr>
          <w:trHeight w:val="228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Стоечный системный блок П-166 ИТК  ОС  АРМ  ОД, 1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Монитор 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Клавиатура s,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179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Мышь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Акустическая система,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Микрофон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Принтер, шт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198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 бесперебойного питания,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Маршрутизатор,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3G Роутер c антенной, компл.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Программное обеспечение: Windows Pro 7 SP1 64-bit Russian, 1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Программное обеспечение для автоматизированного рабочего места оперативного дежурного пункта управления оповещением П-166 ИТК ОС АРМ ОД, шт.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827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Многоканальная система автоматического оповещения абонентов по каналам связи и сетям передачи данных "РУПОР" на 4 канала; компл.</w:t>
            </w:r>
          </w:p>
        </w:tc>
        <w:tc>
          <w:tcPr>
            <w:tcW w:w="72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>
      <w:pPr>
        <w:pStyle w:val="Normal"/>
        <w:spacing w:before="120" w:after="200"/>
        <w:rPr>
          <w:lang w:eastAsia="en-US"/>
        </w:rPr>
      </w:pPr>
      <w:r>
        <w:rPr>
          <w:lang w:eastAsia="en-US"/>
        </w:rPr>
      </w:r>
    </w:p>
    <w:tbl>
      <w:tblPr>
        <w:tblW w:w="93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64"/>
        <w:gridCol w:w="7850"/>
        <w:gridCol w:w="909"/>
      </w:tblGrid>
      <w:tr>
        <w:trPr>
          <w:trHeight w:val="122" w:hRule="atLeast"/>
        </w:trPr>
        <w:tc>
          <w:tcPr>
            <w:tcW w:w="93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БР (1 к-т)</w:t>
            </w:r>
          </w:p>
        </w:tc>
      </w:tr>
      <w:tr>
        <w:trPr>
          <w:trHeight w:val="446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hanging="0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 комплекса оповещения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>
        <w:trPr>
          <w:trHeight w:val="332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Motorolla GM-300 (45 Вт),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Мачта телескопическая (12 м),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Антенна DP4VHE4 петли, сумматор,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Блок питания 12В, 15А,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Пейджин-й контроллер мультипрот-й,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Модем</w:t>
            </w:r>
            <w:r>
              <w:rPr>
                <w:bCs/>
                <w:lang w:val="en-US" w:eastAsia="en-US"/>
              </w:rPr>
              <w:t xml:space="preserve"> US Robotics «Courier», </w:t>
            </w:r>
            <w:r>
              <w:rPr>
                <w:bCs/>
                <w:lang w:eastAsia="en-US"/>
              </w:rPr>
              <w:t>шт</w:t>
            </w:r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 бесперебойного питания UPS с АКБ,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Шкаф телекоммуникационный под аппаратуру,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8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Услит. мощн. «Vocom» 180 Вт.,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55"/>
        <w:gridCol w:w="8273"/>
        <w:gridCol w:w="727"/>
      </w:tblGrid>
      <w:tr>
        <w:trPr>
          <w:trHeight w:val="122" w:hRule="atLeast"/>
        </w:trPr>
        <w:tc>
          <w:tcPr>
            <w:tcW w:w="95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УЭС (1 к-т)</w:t>
            </w:r>
          </w:p>
        </w:tc>
      </w:tr>
      <w:tr>
        <w:trPr>
          <w:trHeight w:val="446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пп</w:t>
            </w:r>
          </w:p>
        </w:tc>
        <w:tc>
          <w:tcPr>
            <w:tcW w:w="82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комплекса оповещения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</w:tr>
      <w:tr>
        <w:trPr>
          <w:trHeight w:val="332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2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start"/>
              <w:rPr>
                <w:lang w:eastAsia="en-US"/>
              </w:rPr>
            </w:pPr>
            <w:r>
              <w:rPr>
                <w:lang w:eastAsia="en-US"/>
              </w:rPr>
              <w:t>Устройство запуска электросирен по цифровому и радио каналам П-166 ИТК ОС УЭС, с установленным специальным программным обеспечением П-166 ИТК ОС, шт.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2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start"/>
              <w:rPr>
                <w:lang w:eastAsia="en-US"/>
              </w:rPr>
            </w:pPr>
            <w:r>
              <w:rPr>
                <w:lang w:eastAsia="en-US"/>
              </w:rPr>
              <w:t>С-40, шт.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20" w:after="120"/>
        <w:jc w:val="end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766" w:footer="709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482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6F6D8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66F6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831E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831E14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 w:val="false"/>
      </w:rPr>
    </w:lvl>
    <w:lvl w:ilvl="2">
      <w:start w:val="1"/>
      <w:pStyle w:val="Heading3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>
        <w:b w:val="false"/>
      </w:rPr>
    </w:lvl>
    <w:lvl w:ilvl="3">
      <w:start w:val="1"/>
      <w:pStyle w:val="Heading4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space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decimal"/>
      <w:suff w:val="space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decimal"/>
      <w:suff w:val="space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decimal"/>
      <w:suff w:val="space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decimal"/>
      <w:suff w:val="space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1836"/>
        </w:tabs>
        <w:ind w:start="183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227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305c"/>
    <w:pPr>
      <w:widowControl/>
      <w:suppressAutoHyphens w:val="true"/>
      <w:bidi w:val="0"/>
      <w:spacing w:lineRule="auto" w:line="276" w:before="120" w:after="12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rsid w:val="00b32490"/>
    <w:pPr>
      <w:keepNext w:val="true"/>
      <w:keepLines/>
      <w:numPr>
        <w:ilvl w:val="0"/>
        <w:numId w:val="1"/>
      </w:numPr>
      <w:spacing w:before="240" w:after="12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Heading3">
    <w:name w:val="heading 3"/>
    <w:basedOn w:val="Normal"/>
    <w:next w:val="Normal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"/>
    <w:next w:val="Normal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uiPriority w:val="9"/>
    <w:qFormat/>
    <w:rsid w:val="002c64af"/>
    <w:pPr>
      <w:keepNext w:val="true"/>
      <w:keepLines/>
      <w:numPr>
        <w:ilvl w:val="4"/>
        <w:numId w:val="1"/>
      </w:numPr>
      <w:spacing w:before="200" w:after="0"/>
      <w:outlineLvl w:val="4"/>
    </w:pPr>
    <w:rPr/>
  </w:style>
  <w:style w:type="paragraph" w:styleId="Heading6">
    <w:name w:val="heading 6"/>
    <w:basedOn w:val="Normal"/>
    <w:next w:val="Normal"/>
    <w:uiPriority w:val="9"/>
    <w:qFormat/>
    <w:rsid w:val="0098229f"/>
    <w:pPr>
      <w:keepNext w:val="true"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uiPriority w:val="9"/>
    <w:qFormat/>
    <w:rsid w:val="0098229f"/>
    <w:pPr>
      <w:keepNext w:val="true"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uiPriority w:val="9"/>
    <w:qFormat/>
    <w:rsid w:val="0098229f"/>
    <w:pPr>
      <w:keepNext w:val="true"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Heading9">
    <w:name w:val="heading 9"/>
    <w:basedOn w:val="Normal"/>
    <w:next w:val="Normal"/>
    <w:uiPriority w:val="9"/>
    <w:qFormat/>
    <w:rsid w:val="0098229f"/>
    <w:pPr>
      <w:keepNext w:val="true"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normalunnumbered"/>
    <w:uiPriority w:val="9"/>
    <w:qFormat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styleId="2" w:customStyle="1">
    <w:name w:val="Заголовок 2 Знак"/>
    <w:link w:val="heading2normal"/>
    <w:uiPriority w:val="9"/>
    <w:qFormat/>
    <w:rsid w:val="00fb784e"/>
    <w:rPr>
      <w:rFonts w:ascii="Times New Roman" w:hAnsi="Times New Roman"/>
      <w:bCs/>
      <w:sz w:val="20"/>
      <w:szCs w:val="26"/>
      <w:lang w:val="ru-RU"/>
    </w:rPr>
  </w:style>
  <w:style w:type="character" w:styleId="3" w:customStyle="1">
    <w:name w:val="Заголовок 3 Знак"/>
    <w:link w:val="heading3normal"/>
    <w:uiPriority w:val="9"/>
    <w:qFormat/>
    <w:rsid w:val="002c64af"/>
    <w:rPr>
      <w:rFonts w:ascii="Times New Roman" w:hAnsi="Times New Roman"/>
      <w:bCs/>
      <w:sz w:val="20"/>
      <w:lang w:val="ru-RU"/>
    </w:rPr>
  </w:style>
  <w:style w:type="character" w:styleId="4" w:customStyle="1">
    <w:name w:val="Заголовок 4 Знак"/>
    <w:link w:val="heading4normal"/>
    <w:uiPriority w:val="9"/>
    <w:qFormat/>
    <w:rsid w:val="002c64af"/>
    <w:rPr>
      <w:rFonts w:ascii="Times New Roman" w:hAnsi="Times New Roman"/>
      <w:bCs/>
      <w:iCs/>
      <w:sz w:val="20"/>
      <w:lang w:val="ru-RU"/>
    </w:rPr>
  </w:style>
  <w:style w:type="character" w:styleId="5" w:customStyle="1">
    <w:name w:val="Заголовок 5 Знак"/>
    <w:link w:val="heading5normal"/>
    <w:uiPriority w:val="9"/>
    <w:semiHidden/>
    <w:qFormat/>
    <w:rsid w:val="002c64af"/>
    <w:rPr>
      <w:sz w:val="20"/>
      <w:lang w:val="ru-RU"/>
    </w:rPr>
  </w:style>
  <w:style w:type="character" w:styleId="6" w:customStyle="1">
    <w:name w:val="Заголовок 6 Знак"/>
    <w:link w:val="heading6normal"/>
    <w:uiPriority w:val="9"/>
    <w:semiHidden/>
    <w:qFormat/>
    <w:rsid w:val="0098229f"/>
    <w:rPr>
      <w:i/>
      <w:iCs/>
      <w:color w:val="243F60"/>
      <w:sz w:val="20"/>
      <w:lang w:val="ru-RU"/>
    </w:rPr>
  </w:style>
  <w:style w:type="character" w:styleId="7" w:customStyle="1">
    <w:name w:val="Заголовок 7 Знак"/>
    <w:link w:val="heading7normal"/>
    <w:uiPriority w:val="9"/>
    <w:semiHidden/>
    <w:qFormat/>
    <w:rsid w:val="0098229f"/>
    <w:rPr>
      <w:i/>
      <w:iCs/>
      <w:color w:val="404040"/>
      <w:sz w:val="20"/>
      <w:lang w:val="ru-RU"/>
    </w:rPr>
  </w:style>
  <w:style w:type="character" w:styleId="8" w:customStyle="1">
    <w:name w:val="Заголовок 8 Знак"/>
    <w:link w:val="heading8normal"/>
    <w:uiPriority w:val="9"/>
    <w:semiHidden/>
    <w:qFormat/>
    <w:rsid w:val="0098229f"/>
    <w:rPr>
      <w:color w:val="4F81BD"/>
      <w:sz w:val="20"/>
      <w:szCs w:val="20"/>
      <w:lang w:val="ru-RU"/>
    </w:rPr>
  </w:style>
  <w:style w:type="character" w:styleId="9" w:customStyle="1">
    <w:name w:val="Заголовок 9 Знак"/>
    <w:link w:val="heading9normal"/>
    <w:uiPriority w:val="9"/>
    <w:semiHidden/>
    <w:qFormat/>
    <w:rsid w:val="0098229f"/>
    <w:rPr>
      <w:i/>
      <w:iCs/>
      <w:color w:val="404040"/>
      <w:sz w:val="20"/>
      <w:szCs w:val="20"/>
      <w:lang w:val="ru-RU"/>
    </w:rPr>
  </w:style>
  <w:style w:type="character" w:styleId="Style5" w:customStyle="1">
    <w:name w:val="Название Знак"/>
    <w:link w:val="11"/>
    <w:uiPriority w:val="10"/>
    <w:qFormat/>
    <w:rsid w:val="00222923"/>
    <w:rPr>
      <w:rFonts w:ascii="Times New Roman" w:hAnsi="Times New Roman"/>
      <w:b/>
      <w:spacing w:val="5"/>
      <w:kern w:val="2"/>
      <w:sz w:val="28"/>
      <w:szCs w:val="52"/>
    </w:rPr>
  </w:style>
  <w:style w:type="character" w:styleId="Style6" w:customStyle="1">
    <w:name w:val="Подзаголовок Знак"/>
    <w:uiPriority w:val="11"/>
    <w:qFormat/>
    <w:rsid w:val="0098229f"/>
    <w:rPr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8229f"/>
    <w:rPr>
      <w:b/>
      <w:bCs/>
    </w:rPr>
  </w:style>
  <w:style w:type="character" w:styleId="Emphasis">
    <w:name w:val="Emphasis"/>
    <w:uiPriority w:val="20"/>
    <w:qFormat/>
    <w:rsid w:val="0098229f"/>
    <w:rPr>
      <w:i/>
      <w:iCs/>
    </w:rPr>
  </w:style>
  <w:style w:type="character" w:styleId="DeletedPlaceholder" w:customStyle="1">
    <w:name w:val="DeletedPlaceholder Знак"/>
    <w:link w:val="DeletedPlaceholder1"/>
    <w:uiPriority w:val="29"/>
    <w:qFormat/>
    <w:rsid w:val="00eb0599"/>
    <w:rPr>
      <w:rFonts w:ascii="Times New Roman" w:hAnsi="Times New Roman"/>
      <w:i/>
      <w:iCs/>
      <w:color w:val="FF3F1F"/>
    </w:rPr>
  </w:style>
  <w:style w:type="character" w:styleId="21" w:customStyle="1">
    <w:name w:val="Цитата 2 Знак"/>
    <w:link w:val="Warning"/>
    <w:uiPriority w:val="29"/>
    <w:qFormat/>
    <w:rsid w:val="0098229f"/>
    <w:rPr>
      <w:i/>
      <w:iCs/>
      <w:color w:val="000000"/>
    </w:rPr>
  </w:style>
  <w:style w:type="character" w:styleId="Style7" w:customStyle="1">
    <w:name w:val="Выделенная цитата Знак"/>
    <w:link w:val="IntenseQuote"/>
    <w:uiPriority w:val="30"/>
    <w:qFormat/>
    <w:rsid w:val="0098229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8229f"/>
    <w:rPr>
      <w:i/>
      <w:iCs/>
      <w:color w:val="808080"/>
    </w:rPr>
  </w:style>
  <w:style w:type="character" w:styleId="IntenseEmphasis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8229f"/>
    <w:rPr>
      <w:b/>
      <w:bCs/>
      <w:smallCaps/>
      <w:spacing w:val="5"/>
    </w:rPr>
  </w:style>
  <w:style w:type="character" w:styleId="Style8" w:customStyle="1">
    <w:name w:val="Схема документа Знак"/>
    <w:link w:val="DocumentMap"/>
    <w:uiPriority w:val="99"/>
    <w:semiHidden/>
    <w:qFormat/>
    <w:rsid w:val="0022292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0" w:customStyle="1">
    <w:name w:val="Нижний колонтитул Знак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1" w:customStyle="1">
    <w:name w:val="Символ сноски"/>
    <w:qFormat/>
    <w:rsid w:val="00f06394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nhideWhenUsed/>
    <w:rsid w:val="001938a8"/>
    <w:rPr>
      <w:color w:val="0000FF"/>
      <w:u w:val="single"/>
    </w:rPr>
  </w:style>
  <w:style w:type="character" w:styleId="Style12" w:customStyle="1">
    <w:name w:val="Абзац списка Знак"/>
    <w:link w:val="ListParagraph"/>
    <w:uiPriority w:val="34"/>
    <w:qFormat/>
    <w:locked/>
    <w:rsid w:val="00065cfc"/>
    <w:rPr>
      <w:sz w:val="22"/>
      <w:szCs w:val="22"/>
    </w:rPr>
  </w:style>
  <w:style w:type="character" w:styleId="PageNumber">
    <w:name w:val="page number"/>
    <w:basedOn w:val="DefaultParagraphFont"/>
    <w:rsid w:val="0046354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6095c"/>
    <w:rPr>
      <w:rFonts w:ascii="Tahoma" w:hAnsi="Tahoma" w:cs="Tahoma"/>
      <w:sz w:val="16"/>
      <w:szCs w:val="16"/>
    </w:rPr>
  </w:style>
  <w:style w:type="character" w:styleId="CharChar" w:customStyle="1">
    <w:name w:val="Обычный Char Char"/>
    <w:link w:val="12"/>
    <w:qFormat/>
    <w:rsid w:val="0086650d"/>
    <w:rPr>
      <w:rFonts w:eastAsia="Calibri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55499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592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b95929"/>
    <w:rPr/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b95929"/>
    <w:rPr>
      <w:b/>
      <w:bCs/>
    </w:rPr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qFormat/>
    <w:rsid w:val="0098229f"/>
    <w:pPr>
      <w:spacing w:lineRule="auto" w:line="240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Title"/>
    <w:pPr/>
    <w:rPr/>
  </w:style>
  <w:style w:type="paragraph" w:styleId="Normalunindented" w:customStyle="1">
    <w:name w:val="Normal unindented"/>
    <w:qFormat/>
    <w:rsid w:val="0013305c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unnumbered" w:customStyle="1">
    <w:name w:val="heading 1 unnumbered"/>
    <w:basedOn w:val="Normal"/>
    <w:next w:val="Normal"/>
    <w:uiPriority w:val="9"/>
    <w:qFormat/>
    <w:rsid w:val="00b32490"/>
    <w:pPr>
      <w:keepNext w:val="true"/>
      <w:keepLines/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1normal" w:customStyle="1">
    <w:name w:val="heading 1 normal"/>
    <w:basedOn w:val="Normal"/>
    <w:next w:val="Normal"/>
    <w:uiPriority w:val="9"/>
    <w:qFormat/>
    <w:rsid w:val="00b32490"/>
    <w:pPr>
      <w:numPr>
        <w:ilvl w:val="0"/>
        <w:numId w:val="2"/>
      </w:numPr>
      <w:outlineLvl w:val="0"/>
    </w:pPr>
    <w:rPr/>
  </w:style>
  <w:style w:type="paragraph" w:styleId="heading1normalunnumbered" w:customStyle="1">
    <w:name w:val="heading 1 normal unnumbered"/>
    <w:basedOn w:val="Normal"/>
    <w:next w:val="Normal"/>
    <w:link w:val="1"/>
    <w:uiPriority w:val="9"/>
    <w:qFormat/>
    <w:rsid w:val="00b32490"/>
    <w:pPr>
      <w:outlineLvl w:val="0"/>
    </w:pPr>
    <w:rPr/>
  </w:style>
  <w:style w:type="paragraph" w:styleId="heading2normal" w:customStyle="1">
    <w:name w:val="heading 2 normal"/>
    <w:basedOn w:val="Normal"/>
    <w:next w:val="Normal"/>
    <w:link w:val="2"/>
    <w:uiPriority w:val="9"/>
    <w:qFormat/>
    <w:rsid w:val="00b32490"/>
    <w:pPr>
      <w:numPr>
        <w:ilvl w:val="1"/>
        <w:numId w:val="2"/>
      </w:numPr>
      <w:outlineLvl w:val="1"/>
    </w:pPr>
    <w:rPr/>
  </w:style>
  <w:style w:type="paragraph" w:styleId="heading3normal" w:customStyle="1">
    <w:name w:val="heading 3 normal"/>
    <w:basedOn w:val="Normal"/>
    <w:next w:val="Normal"/>
    <w:link w:val="3"/>
    <w:uiPriority w:val="9"/>
    <w:qFormat/>
    <w:rsid w:val="00b32490"/>
    <w:pPr>
      <w:numPr>
        <w:ilvl w:val="2"/>
        <w:numId w:val="2"/>
      </w:numPr>
      <w:outlineLvl w:val="2"/>
    </w:pPr>
    <w:rPr/>
  </w:style>
  <w:style w:type="paragraph" w:styleId="heading4normal" w:customStyle="1">
    <w:name w:val="heading 4 normal"/>
    <w:basedOn w:val="Normal"/>
    <w:next w:val="Normal"/>
    <w:link w:val="4"/>
    <w:uiPriority w:val="9"/>
    <w:qFormat/>
    <w:rsid w:val="00b32490"/>
    <w:pPr>
      <w:numPr>
        <w:ilvl w:val="3"/>
        <w:numId w:val="2"/>
      </w:numPr>
      <w:outlineLvl w:val="3"/>
    </w:pPr>
    <w:rPr/>
  </w:style>
  <w:style w:type="paragraph" w:styleId="heading5normal" w:customStyle="1">
    <w:name w:val="heading 5 normal"/>
    <w:basedOn w:val="Normal"/>
    <w:next w:val="Normal"/>
    <w:link w:val="5"/>
    <w:uiPriority w:val="9"/>
    <w:qFormat/>
    <w:rsid w:val="00b32490"/>
    <w:pPr>
      <w:numPr>
        <w:ilvl w:val="4"/>
        <w:numId w:val="2"/>
      </w:numPr>
      <w:outlineLvl w:val="4"/>
    </w:pPr>
    <w:rPr/>
  </w:style>
  <w:style w:type="paragraph" w:styleId="heading6normal" w:customStyle="1">
    <w:name w:val="heading 6 normal"/>
    <w:basedOn w:val="Normal"/>
    <w:next w:val="Normal"/>
    <w:link w:val="6"/>
    <w:uiPriority w:val="9"/>
    <w:qFormat/>
    <w:rsid w:val="00b32490"/>
    <w:pPr>
      <w:numPr>
        <w:ilvl w:val="5"/>
        <w:numId w:val="2"/>
      </w:numPr>
      <w:outlineLvl w:val="5"/>
    </w:pPr>
    <w:rPr/>
  </w:style>
  <w:style w:type="paragraph" w:styleId="heading7normal" w:customStyle="1">
    <w:name w:val="heading 7 normal"/>
    <w:basedOn w:val="Normal"/>
    <w:next w:val="Normal"/>
    <w:link w:val="7"/>
    <w:uiPriority w:val="9"/>
    <w:qFormat/>
    <w:rsid w:val="00b32490"/>
    <w:pPr>
      <w:numPr>
        <w:ilvl w:val="6"/>
        <w:numId w:val="2"/>
      </w:numPr>
      <w:outlineLvl w:val="6"/>
    </w:pPr>
    <w:rPr/>
  </w:style>
  <w:style w:type="paragraph" w:styleId="heading8normal" w:customStyle="1">
    <w:name w:val="heading 8 normal"/>
    <w:basedOn w:val="Normal"/>
    <w:next w:val="Normal"/>
    <w:link w:val="8"/>
    <w:uiPriority w:val="9"/>
    <w:qFormat/>
    <w:rsid w:val="00b32490"/>
    <w:pPr>
      <w:numPr>
        <w:ilvl w:val="7"/>
        <w:numId w:val="2"/>
      </w:numPr>
      <w:outlineLvl w:val="7"/>
    </w:pPr>
    <w:rPr/>
  </w:style>
  <w:style w:type="paragraph" w:styleId="heading9normal" w:customStyle="1">
    <w:name w:val="heading 9 normal"/>
    <w:basedOn w:val="Normal"/>
    <w:next w:val="Normal"/>
    <w:link w:val="9"/>
    <w:uiPriority w:val="9"/>
    <w:qFormat/>
    <w:rsid w:val="00b32490"/>
    <w:pPr>
      <w:numPr>
        <w:ilvl w:val="8"/>
        <w:numId w:val="2"/>
      </w:numPr>
      <w:outlineLvl w:val="8"/>
    </w:pPr>
    <w:rPr/>
  </w:style>
  <w:style w:type="paragraph" w:styleId="11" w:customStyle="1">
    <w:name w:val="Название1"/>
    <w:basedOn w:val="Normal"/>
    <w:next w:val="Normal"/>
    <w:link w:val="Style5"/>
    <w:uiPriority w:val="10"/>
    <w:qFormat/>
    <w:rsid w:val="00222923"/>
    <w:pPr>
      <w:keepNext w:val="true"/>
      <w:keepLines/>
      <w:spacing w:lineRule="auto" w:line="240" w:before="120" w:after="300"/>
      <w:ind w:hanging="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98229f"/>
    <w:pPr/>
    <w:rPr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98229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12"/>
    <w:uiPriority w:val="34"/>
    <w:qFormat/>
    <w:rsid w:val="0098229f"/>
    <w:pPr>
      <w:spacing w:before="120" w:after="120"/>
      <w:contextualSpacing/>
      <w:jc w:val="start"/>
    </w:pPr>
    <w:rPr/>
  </w:style>
  <w:style w:type="paragraph" w:styleId="Quote">
    <w:name w:val="Quote"/>
    <w:basedOn w:val="Normal"/>
    <w:next w:val="Normal"/>
    <w:uiPriority w:val="29"/>
    <w:qFormat/>
    <w:rsid w:val="0098229f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8064A2"/>
    </w:rPr>
  </w:style>
  <w:style w:type="paragraph" w:styleId="DeletedPlaceholder1" w:customStyle="1">
    <w:name w:val="DeletedPlaceholder"/>
    <w:basedOn w:val="Normal"/>
    <w:next w:val="Normal"/>
    <w:link w:val="DeletedPlaceholder"/>
    <w:uiPriority w:val="29"/>
    <w:qFormat/>
    <w:rsid w:val="00eb0599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FF3F1F"/>
    </w:rPr>
  </w:style>
  <w:style w:type="paragraph" w:styleId="Warning" w:customStyle="1">
    <w:name w:val="Warning"/>
    <w:basedOn w:val="Normal"/>
    <w:next w:val="Normal"/>
    <w:link w:val="21"/>
    <w:uiPriority w:val="29"/>
    <w:qFormat/>
    <w:rsid w:val="0098229f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E36C0A"/>
    </w:rPr>
  </w:style>
  <w:style w:type="paragraph" w:styleId="QuoteMargin" w:customStyle="1">
    <w:name w:val="QuoteMargin"/>
    <w:qFormat/>
    <w:rsid w:val="0013305c"/>
    <w:pPr>
      <w:widowControl/>
      <w:suppressAutoHyphens w:val="true"/>
      <w:bidi w:val="0"/>
      <w:spacing w:lineRule="auto" w:line="276" w:before="120" w:after="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8229f"/>
    <w:pPr>
      <w:pBdr>
        <w:bottom w:val="single" w:sz="4" w:space="4" w:color="4F81BD"/>
      </w:pBdr>
      <w:spacing w:before="200" w:after="0"/>
      <w:ind w:start="936" w:end="936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98229f"/>
    <w:pPr>
      <w:numPr>
        <w:ilvl w:val="0"/>
        <w:numId w:val="1"/>
      </w:numPr>
      <w:outlineLvl w:val="9"/>
    </w:pPr>
    <w:rPr/>
  </w:style>
  <w:style w:type="paragraph" w:styleId="DocumentMap">
    <w:name w:val="Document Map"/>
    <w:basedOn w:val="Normal"/>
    <w:link w:val="Style8"/>
    <w:uiPriority w:val="99"/>
    <w:semiHidden/>
    <w:unhideWhenUsed/>
    <w:qFormat/>
    <w:rsid w:val="00222923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Style18" w:customStyle="1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er">
    <w:name w:val="footer"/>
    <w:basedOn w:val="Normal"/>
    <w:link w:val="Style10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noteText">
    <w:name w:val="footnote text"/>
    <w:basedOn w:val="Normal"/>
    <w:rsid w:val="00f06394"/>
    <w:pPr>
      <w:spacing w:lineRule="auto" w:line="216"/>
    </w:pPr>
    <w:rPr>
      <w:sz w:val="20"/>
      <w:szCs w:val="20"/>
    </w:rPr>
  </w:style>
  <w:style w:type="paragraph" w:styleId="footnotetextunindented" w:customStyle="1">
    <w:name w:val="footnote text unindented"/>
    <w:basedOn w:val="Normalunindented"/>
    <w:qFormat/>
    <w:rsid w:val="00f06394"/>
    <w:pPr>
      <w:spacing w:lineRule="auto" w:line="216"/>
    </w:pPr>
    <w:rPr>
      <w:sz w:val="20"/>
      <w:szCs w:val="20"/>
    </w:rPr>
  </w:style>
  <w:style w:type="paragraph" w:styleId="listfootnotetext" w:customStyle="1">
    <w:name w:val="list footnote text"/>
    <w:basedOn w:val="ListParagraph"/>
    <w:qFormat/>
    <w:rsid w:val="00f06394"/>
    <w:pPr>
      <w:spacing w:lineRule="auto" w:line="216"/>
    </w:pPr>
    <w:rPr>
      <w:sz w:val="20"/>
      <w:szCs w:val="20"/>
    </w:rPr>
  </w:style>
  <w:style w:type="paragraph" w:styleId="NormalWeb">
    <w:name w:val="Normal (Web)"/>
    <w:qFormat/>
    <w:rsid w:val="005d2782"/>
    <w:pPr>
      <w:widowControl w:val="false"/>
      <w:suppressAutoHyphens w:val="true"/>
      <w:bidi w:val="0"/>
      <w:spacing w:lineRule="auto" w:line="276" w:before="0" w:after="200"/>
      <w:jc w:val="start"/>
    </w:pPr>
    <w:rPr>
      <w:rFonts w:ascii="Calibri" w:hAnsi="Calibri" w:eastAsia="DejaVu Sans" w:cs="Times New Roman"/>
      <w:color w:val="auto"/>
      <w:kern w:val="2"/>
      <w:sz w:val="22"/>
      <w:szCs w:val="22"/>
      <w:lang w:val="ru-RU" w:eastAsia="ar-SA" w:bidi="ar-SA"/>
    </w:rPr>
  </w:style>
  <w:style w:type="paragraph" w:styleId="Style19" w:customStyle="1">
    <w:name w:val="Таблицы (моноширинный)"/>
    <w:basedOn w:val="Normal"/>
    <w:next w:val="Normal"/>
    <w:qFormat/>
    <w:rsid w:val="0046354b"/>
    <w:pPr>
      <w:widowControl w:val="false"/>
      <w:spacing w:lineRule="auto" w:line="240" w:before="0" w:after="0"/>
      <w:ind w:hanging="0"/>
    </w:pPr>
    <w:rPr>
      <w:rFonts w:ascii="Courier New" w:hAnsi="Courier New" w:eastAsia="MS Mincho" w:cs="Courier New"/>
      <w:sz w:val="20"/>
      <w:szCs w:val="20"/>
      <w:lang w:eastAsia="zh-CN"/>
    </w:rPr>
  </w:style>
  <w:style w:type="paragraph" w:styleId="formattext" w:customStyle="1">
    <w:name w:val="formattext"/>
    <w:basedOn w:val="Normal"/>
    <w:qFormat/>
    <w:rsid w:val="0046354b"/>
    <w:pPr>
      <w:spacing w:lineRule="auto" w:line="240" w:before="280" w:after="280"/>
      <w:ind w:hanging="0"/>
      <w:jc w:val="start"/>
    </w:pPr>
    <w:rPr>
      <w:rFonts w:eastAsia="Calibri"/>
      <w:sz w:val="24"/>
      <w:szCs w:val="24"/>
      <w:lang w:eastAsia="zh-CN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609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 w:customStyle="1">
    <w:name w:val="Обычный1"/>
    <w:link w:val="CharChar"/>
    <w:qFormat/>
    <w:rsid w:val="0086650d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Стиль1"/>
    <w:basedOn w:val="Normal"/>
    <w:qFormat/>
    <w:rsid w:val="0055499c"/>
    <w:pPr>
      <w:keepNext w:val="true"/>
      <w:keepLines/>
      <w:widowControl w:val="false"/>
      <w:numPr>
        <w:ilvl w:val="0"/>
        <w:numId w:val="3"/>
      </w:numPr>
      <w:suppressLineNumbers/>
      <w:spacing w:lineRule="auto" w:line="240" w:before="0" w:after="60"/>
      <w:jc w:val="start"/>
    </w:pPr>
    <w:rPr>
      <w:rFonts w:eastAsia="MS Mincho"/>
      <w:b/>
      <w:sz w:val="28"/>
      <w:szCs w:val="24"/>
    </w:rPr>
  </w:style>
  <w:style w:type="paragraph" w:styleId="23" w:customStyle="1">
    <w:name w:val="Стиль2"/>
    <w:basedOn w:val="ListNumber2"/>
    <w:qFormat/>
    <w:rsid w:val="0055499c"/>
    <w:pPr>
      <w:keepNext w:val="true"/>
      <w:keepLines/>
      <w:widowControl w:val="false"/>
      <w:suppressLineNumbers/>
      <w:spacing w:lineRule="auto" w:line="240" w:before="0" w:after="60"/>
      <w:contextualSpacing w:val="false"/>
    </w:pPr>
    <w:rPr>
      <w:rFonts w:eastAsia="MS Mincho"/>
      <w:b/>
      <w:sz w:val="24"/>
      <w:szCs w:val="20"/>
    </w:rPr>
  </w:style>
  <w:style w:type="paragraph" w:styleId="ListNumber2">
    <w:name w:val="List Number 2"/>
    <w:basedOn w:val="Normal"/>
    <w:uiPriority w:val="99"/>
    <w:semiHidden/>
    <w:unhideWhenUsed/>
    <w:rsid w:val="0055499c"/>
    <w:pPr>
      <w:tabs>
        <w:tab w:val="clear" w:pos="720"/>
        <w:tab w:val="left" w:pos="432" w:leader="none"/>
      </w:tabs>
      <w:spacing w:before="120" w:after="120"/>
      <w:ind w:hanging="432" w:start="432"/>
      <w:contextualSpacing/>
    </w:pPr>
    <w:rPr/>
  </w:style>
  <w:style w:type="paragraph" w:styleId="31" w:customStyle="1">
    <w:name w:val="Стиль3"/>
    <w:basedOn w:val="BodyTextIndent2"/>
    <w:qFormat/>
    <w:rsid w:val="0055499c"/>
    <w:pPr>
      <w:widowControl w:val="false"/>
      <w:numPr>
        <w:ilvl w:val="2"/>
        <w:numId w:val="3"/>
      </w:numPr>
      <w:spacing w:lineRule="auto" w:line="240" w:before="0" w:after="0"/>
      <w:ind w:firstLine="482" w:start="283"/>
      <w:textAlignment w:val="baseline"/>
    </w:pPr>
    <w:rPr>
      <w:rFonts w:eastAsia="MS Mincho"/>
      <w:sz w:val="24"/>
      <w:szCs w:val="20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55499c"/>
    <w:pPr>
      <w:spacing w:lineRule="auto" w:line="480"/>
      <w:ind w:start="283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b959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b95929"/>
    <w:pPr/>
    <w:rPr>
      <w:b/>
      <w:bCs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Комментарий"/>
    <w:basedOn w:val="Normal"/>
    <w:qFormat/>
    <w:pPr>
      <w:spacing w:lineRule="auto" w:line="240" w:before="56" w:after="0"/>
      <w:ind w:hanging="0" w:start="57" w:end="57"/>
    </w:pPr>
    <w:rPr>
      <w:sz w:val="20"/>
      <w:szCs w:val="20"/>
    </w:rPr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4635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30F6-627B-4340-9215-97346265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LibreOffice/25.8.0.4$Linux_X86_64 LibreOffice_project/48f00303701489684e67c38c28aff00cd5929e67</Application>
  <AppVersion>15.0000</AppVersion>
  <Pages>6</Pages>
  <Words>1961</Words>
  <Characters>12809</Characters>
  <CharactersWithSpaces>14447</CharactersWithSpaces>
  <Paragraphs>342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2026-03-17T03:48:00Z</dcterms:created>
  <dc:creator>Консультант Плюс</dc:creator>
  <dc:description>Консультант Плюс - Конструктор Договоров</dc:description>
  <dc:language>ru-RU</dc:language>
  <cp:lastModifiedBy/>
  <cp:lastPrinted>2023-03-16T23:06:00Z</cp:lastPrinted>
  <dcterms:modified xsi:type="dcterms:W3CDTF">2026-03-18T15:28:50Z</dcterms:modified>
  <cp:revision>9</cp:revision>
  <dc:subject/>
  <dc:title>Муниципальный контракт на оказание услуг № 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