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kern w:val="2"/>
          <w:sz w:val="24"/>
          <w:szCs w:val="24"/>
        </w:rPr>
        <w:t>Техническое задание</w:t>
      </w:r>
    </w:p>
    <w:p>
      <w:pPr>
        <w:pStyle w:val="Normal"/>
        <w:jc w:val="center"/>
        <w:rPr/>
      </w:pPr>
      <w:r>
        <w:rPr>
          <w:b/>
          <w:kern w:val="2"/>
          <w:sz w:val="24"/>
          <w:szCs w:val="24"/>
        </w:rPr>
        <w:t>Оказание услуг по техническому обслуживанию муниципальной системы оповещения (П-166 ИТК ОС) Томского района</w:t>
      </w:r>
    </w:p>
    <w:p>
      <w:pPr>
        <w:pStyle w:val="Normal"/>
        <w:spacing w:lineRule="auto" w:line="240" w:before="120" w:after="0"/>
        <w:ind w:firstLine="709"/>
        <w:rPr/>
      </w:pPr>
      <w:r>
        <w:rPr>
          <w:b/>
          <w:bCs/>
          <w:sz w:val="24"/>
          <w:szCs w:val="24"/>
        </w:rPr>
        <w:t>1. Общие требования</w:t>
      </w:r>
    </w:p>
    <w:p>
      <w:pPr>
        <w:pStyle w:val="Normal"/>
        <w:rPr/>
      </w:pPr>
      <w:r>
        <w:rPr>
          <w:sz w:val="24"/>
          <w:szCs w:val="24"/>
        </w:rPr>
        <w:t>Перечень услуг по техническому обслуживанию муниципальной системы оповещения населения (далее МСОН) Томского муниципального района Томской области включает в себя комплекс работ по поддержанию в исправном состоянии, восстановлению работоспособности программно-технических комплексов оповещения, выполняемых в период их использования по назначению.</w:t>
      </w:r>
    </w:p>
    <w:p>
      <w:pPr>
        <w:pStyle w:val="Normal"/>
        <w:spacing w:lineRule="auto" w:line="240" w:before="120" w:after="0"/>
        <w:ind w:firstLine="426"/>
        <w:rPr/>
      </w:pPr>
      <w:r>
        <w:rPr>
          <w:sz w:val="24"/>
          <w:szCs w:val="24"/>
        </w:rPr>
        <w:t xml:space="preserve">МСОН Томского муниципального района Томской области включает в себя комплексы технических средств оповещения с установленным специальным программным обеспечением П-166 ИТК ОС, и сетевую инфраструктуру, обеспечивающую построение виртуальных частных сетей на основе технологии многопротокольной коммутации по меткам (далее-MPLS). </w:t>
      </w:r>
    </w:p>
    <w:p>
      <w:pPr>
        <w:pStyle w:val="Normal"/>
        <w:spacing w:lineRule="auto" w:line="240" w:before="120" w:after="0"/>
        <w:ind w:firstLine="426"/>
        <w:rPr/>
      </w:pPr>
      <w:r>
        <w:rPr>
          <w:sz w:val="24"/>
          <w:szCs w:val="24"/>
        </w:rPr>
        <w:t>К мероприятиям технического обслуживания относятся: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ежемесячное обслуживание программно-технических средств оповещения в Томском муниципальном районе, в соответствии с Приложением № 1 к техническому заданию;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проведение ремонтно-восстановительных работ и работ по замене вышедшего из строя оборудования.</w:t>
      </w:r>
    </w:p>
    <w:p>
      <w:pPr>
        <w:pStyle w:val="Normal"/>
        <w:spacing w:lineRule="auto" w:line="240" w:before="120"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2. Требования, предъявляемые Заказчиком к оказываемым услугам.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2.1. Техническое обслуживание должно осуществляться в соответствии с «Регламентом технического обслуживания аппаратуры оповещения РАСЦО/КСЭОН на базе П-166 ИТК ОС».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2.2. Исполнитель обязуется оказывать услуги по техническому обслуживанию программно-технических комплексов оповещения, находящихся в ведении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</w:rPr>
        <w:t>Заказчика, на основании перечня технических средств оповещения, передаваемых на техническое обслуживание (Приложение № 1 к техническому заданию).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2.3. Исполнитель принимает на себя выполнение следующих обязательств: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обеспечивать постоянную техническую готовность и работоспособность программно-технических средств оповещения, принятых на техническое обслуживание;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техническое обслуживание в соответствии с «Регламентом технического обслуживания аппаратуры оповещения РАСЦО/КСЭОН на базе П-166 ИТК ОС»;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проводить ежемесячное техническое обслуживание в отношении указанных в Приложении № 1 к техническому заданию средств оповещения в соответствии с Планом-графиком технического обслуживания технических средств оповещения (Приложение №3 </w:t>
      </w:r>
      <w:r>
        <w:rPr/>
        <w:t xml:space="preserve">к </w:t>
      </w:r>
      <w:r>
        <w:rPr>
          <w:sz w:val="24"/>
          <w:szCs w:val="24"/>
        </w:rPr>
        <w:t>настоящему техническому заданию) в объемах, указанных в регламентах технического обслуживания;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совместный с представителем Заказчика ежеквартальный аудит технической готовности и работоспособности программно-технических средств оповещения, принятых на техническое обслуживание. Результаты аудита заносятся комиссией Исполнителя в акт проведения технического обслуживания (ТО-2) технических средств оповещения (Приложение № 5 к настоящему техническому заданию);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диагностику вышедшего из строя оборудования и замену его элементов;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принимать участие в технических проверках системы оповещения.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2.4. Обеспечение постоянной готовности включает в себя следующий комплекс мероприятий: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обеспечить техническую готовность системы оповещения в каждом направлении оповещения с коэффициентом технической готовности не менее 0,99 в месяц, организовать круглосуточной мониторинг состояния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еженедельный удаленный запрос технического состояния установленного оборудования (в рабочие дни) с 09:00 до 09:30 (время местное); </w:t>
      </w:r>
    </w:p>
    <w:p>
      <w:pPr>
        <w:pStyle w:val="Normal"/>
        <w:spacing w:lineRule="auto" w:line="240" w:before="120" w:after="0"/>
        <w:ind w:firstLine="426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 xml:space="preserve">- регистрация и обработка аварийных сообщений от оконечного оборудования, их проверка и информирование Заказчика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ru-RU" w:bidi="ar-SA"/>
        </w:rPr>
        <w:t>(</w:t>
      </w:r>
      <w:r>
        <w:rPr>
          <w:b w:val="false"/>
          <w:bCs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</w:rPr>
        <w:t>elena.brodskaya@sibir.rt.ru</w:t>
      </w:r>
      <w:r>
        <w:rPr>
          <w:b w:val="false"/>
          <w:bCs w:val="false"/>
          <w:color w:val="000000"/>
          <w:sz w:val="24"/>
          <w:szCs w:val="24"/>
        </w:rPr>
        <w:t xml:space="preserve">) и Государственного заказчика о неисправностях ЕДДС Томского района 8 (3822) 40-11-22, режим работы ЕДДС Томского района круглосуточный;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контроль исправности основных и резервных каналов связи, принятие мер по восстановлению их работоспособности;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проверка конфигурационных параметров оборудования и их настройка в соответствии с документацией;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проверка работы встроенного речевого меню оборудования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контроль целостности каталога сигналов оповещения, предварительно записанных в память оборудования;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восстановление конфигурации оборудования оповещения, возникшее вследствие ошибок эксплуатирующего персонала;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участие в технических проверках системы оповещения, анализ работы программных и технических средств оповещения по журналам и результатов фактической отработки по информации дежурно-диспетчерских служб;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при отказах технических средств обеспечить проведение диагностики вышедшего из строя оборудования и его восстановление.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Записи о результатах проверки технического состояния системы оповещения, изменения режимов работы, отказов технических средств оповещения, каналов связи, принятые меры, коэффициент технической готовности работы системы в каждом направлении заносятся Исполнителем в Книгу учета технических средств муниципальной системы оповещения населения Томского района об угрозе возникновения или возникновения чрезвычайных ситуаций в 2026 году (Приложение № 2 к настоящему техническому заданию), находящейся в ЕДДС Томского района, по адресу: 634009, г. Томск, ул. Карла Маркса, 56.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2.5. Ежемесячное техническое обслуживание предусматривает выполнение следующих видов услуг: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проведение внешнего осмотра, включающего проверку крепления соединителей и соединительных кабелей, состояние лакокрасочных и гальванических покрытий;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проверку комплектности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удаление с наружных поверхностей технических средств оповещения пыли, грязи, снега.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проведение диагностики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замену некачественных (неработоспособных) элементов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проверку работоспособности, включая проведение необходимых регулировок с использованием встроенных систем контроля и автономных средств измерений.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Замена вышедшего из строя оборудования и его составных частей производится с использованием комплекта запасного имущества и принадлежностей, предоставляемого Заказчиком, и выполняется по мере необходимости.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2.6. В течение 10 (Десяти) рабочих дней с момента заключения Муниципального контракта Исполнитель обязан провести технический аудит установленного оборудования;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 течение 5 (Пяти) рабочих дней с момента технического аудита Исполнитель обязан разработать и утвердить у Заказчика План-график технического обслуживания технических средств оповещения (Приложение № 3 к настоящему техническому заданию), Планы проведения технического обслуживания (ТО-1, ТО-2) технических средств оповещения (Приложение № 4 к настоящему техническому заданию). Указанную документацию необходимо предоставить Заказчику по адресу; 634009, г. Томск, ул. Карла Маркса, 56;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2.7. Качество оказываемых услуг должно соответствовать требованиям </w:t>
      </w:r>
      <w:r>
        <w:rPr>
          <w:sz w:val="24"/>
          <w:szCs w:val="24"/>
        </w:rPr>
        <w:t>ГОСТ Р ISO 9001-2015.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2.8. Все оказываемые услуги должны фиксироваться Исполнителем в «Книгу учета технических средств муниципальной системы оповещения населения Томского района об угрозе возникновения лили возникновения чрезвычайных ситуаций» (Приложение № 2 к настоящему техническому заданию).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2.9. Оказание услуг по технической поддержке организуются и выполняются в соответствии с законодательством Российской Федерации в области охраны труда, в соответствии с ГОСТ 15.601-98, ГОСТ 28.001-83, ГОСТ 18322-2016, «Правил устройства электроустановок» ПУЭ, СП 76.13330, СП 76.13330.2016 и требований предусмотренных технической документацией на оборудование, регламентов технического обслуживания, разработанными изготовителями соответствующего оборудования.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2.10. Исполнитель, осуществляющий оказание услуг по технической поддержке, должен иметь необходимые для проведения работ по техническому обслуживанию измерительные приборы и инструменты.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Для оказания услуг руководители организаций, осуществляющих техническую поддержку, назначают своим приказом специалистов из числа своих сотрудников и допускают к проведению этих работ с учетом наличия у них: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соответствующей группы по электробезопасности;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допуска к работам на высоте вне помещений.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Допуск Заказчиком специалистов осуществляется на основании предоставленного приказа Исполнителя о допуске к работам, и документов, удостоверяющих личность и подтверждающих право на выполнение работ.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2.11</w:t>
      </w:r>
      <w:bookmarkStart w:id="0" w:name="_GoBack"/>
      <w:bookmarkEnd w:id="0"/>
      <w:r>
        <w:rPr>
          <w:sz w:val="24"/>
          <w:szCs w:val="24"/>
        </w:rPr>
        <w:t>. Специалисты Исполнителя обязаны соблюдать требования внутренних регламентов Заказчика и организаций, на территории которых установлено обслуживаемое оборудование.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оказания услуг по техническому обслуживанию.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3.1. Техническое обслуживание программно-технических комплексов оповещения проводится на местах их установки силами Исполнителя.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3.2. Техническое обслуживание проводится в сроки, указанные в План-графике технического обслуживания технических средств оповещения (Приложение № 3 к настоящему техническому заданию)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3.3. Ремонтно-восстановительные работы выполняются круглосуточно Исполнителем по заявке Заказчика.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3.4. Исполнитель обязан приступить к началу ремонтно-восстановительных работ в течение 1 (одного) часа с момента получения заявки от Заказчика.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3.5. Обращение Заказчика к Исполнителю может осуществляться с помощью: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электронной почты;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по телефону;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системы регистрации обращений.</w:t>
      </w:r>
    </w:p>
    <w:tbl>
      <w:tblPr>
        <w:tblW w:w="91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3681"/>
        <w:gridCol w:w="4931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03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№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Способ обращения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Контактные данные Исполнителя *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79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Электронная почта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79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Телефон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12"/>
              <w:ind w:firstLine="426"/>
              <w:rPr>
                <w:rFonts w:eastAsia="PT Astra Serif"/>
                <w:color w:val="000000"/>
                <w:sz w:val="22"/>
                <w:szCs w:val="22"/>
              </w:rPr>
            </w:pPr>
            <w:r>
              <w:rPr>
                <w:rFonts w:eastAsia="PT Astra Serif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621" w:start="-788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 xml:space="preserve">  </w:t>
            </w:r>
            <w:r>
              <w:rPr>
                <w:rFonts w:eastAsia="PT Astra Serif"/>
                <w:color w:val="000000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Система регистрации обращений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66" w:leader="none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*заполняются после заключения договора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Исполнителем может быть запрошена дополнительная информация, необходимая для решения заявок (обращений).</w:t>
      </w:r>
    </w:p>
    <w:p>
      <w:pPr>
        <w:pStyle w:val="Normal"/>
        <w:spacing w:lineRule="auto" w:line="240" w:before="120" w:after="0"/>
        <w:ind w:firstLine="426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Ответ на заявку (обращение) передается Заказчику по электронной почте </w:t>
      </w:r>
      <w:r>
        <w:rPr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</w:rPr>
        <w:t>elena.brodskaya@sibir.rt.ru</w:t>
      </w:r>
      <w:r>
        <w:rPr>
          <w:color w:val="000000"/>
          <w:sz w:val="24"/>
          <w:szCs w:val="24"/>
          <w:shd w:fill="auto" w:val="clear"/>
        </w:rPr>
        <w:t xml:space="preserve"> в системе обработки обращений (при наличии у Исполнителя), а по требованию Заказчика дублируется факсимильным сообщением или на бумажном носителе.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3.6. Срок ремонтно-восстановительных работ: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программные сбои – в течение 24 часов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 момента получения заявки;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технические неисправности: – в течение 3 рабочих дней (при наличии запасного имущества и принадлежностей) и в течение 20 рабочих дней при заказе необходимых запасных частей и оборудования для полного восстановления работы комплексов за счет сил и средств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</w:rPr>
        <w:t>Заказчика.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3.7. После ремонтно-восстановительных работ Исполнитель обязан проинформировать Заказчика о характере неисправности, принятых мерах и предположительных сроках восстановления работоспособности: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программные сбои: в течение 3-4 часов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технические неисправности: в течение 24 часов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3.8. В случаях невозможности проведения диагностики и устранения неисправности на местах установки программно-технических комплексов оповещения, доставка неисправного оборудования до сервисных центров не более 20 рабочих дней (независимо от адреса их нахождения) и обратно является обязательством Исполнителя.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3.9. Если после диагностики в сервисном центре будет выявлена необходимость проведения ремонтных работ, связанных с дополнительными финансовыми расходами, Заказчик принимает решение о целесообразности данного ремонта, о чем письменно уведомляет Исполнителя по каналам связи, указанных в п.3.5.</w:t>
      </w:r>
      <w:r>
        <w:br w:type="page"/>
      </w:r>
    </w:p>
    <w:p>
      <w:pPr>
        <w:pStyle w:val="Normal"/>
        <w:spacing w:before="0" w:after="120"/>
        <w:jc w:val="end"/>
        <w:rPr>
          <w:lang w:eastAsia="en-US"/>
        </w:rPr>
      </w:pPr>
      <w:r>
        <w:rPr>
          <w:lang w:eastAsia="en-US"/>
        </w:rPr>
        <w:t>Приложение № 1</w:t>
      </w:r>
    </w:p>
    <w:p>
      <w:pPr>
        <w:pStyle w:val="Normal"/>
        <w:jc w:val="end"/>
        <w:rPr>
          <w:lang w:eastAsia="en-US"/>
        </w:rPr>
      </w:pPr>
      <w:r>
        <w:rPr>
          <w:lang w:eastAsia="en-US"/>
        </w:rPr>
        <w:t>к техническому заданию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  <w:t>Перечень технических средств оповещения,</w:t>
        <w:br/>
        <w:t xml:space="preserve"> передаваемых на техническое обслуживание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71"/>
        <w:gridCol w:w="2798"/>
        <w:gridCol w:w="992"/>
        <w:gridCol w:w="562"/>
        <w:gridCol w:w="4966"/>
      </w:tblGrid>
      <w:tr>
        <w:trPr>
          <w:trHeight w:val="70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комплексов (средств) оповещения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-166" w:end="-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измере-ния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end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4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установки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АРМ ОД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г. Томск, ул. Карла Маркса, 56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БР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г. Томск, ул. Карла Маркса, 56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Барабинка, ул. Болотная, 10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Березкино, ул. Мира, 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Борики, ул. Лесная, 11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Головина, ул. Светлая, 17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Губино, ул. Кедровая, 7/1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Калтай, 74а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Кандинка, ул. Мира, 16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с.Кафтанчиково, ул. Коммунистическая, 86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Лаврово, ул. Центральная, 25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Кисловка, ул. Мира, 16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Ключи, ул. Центральная, 1 с 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Козюлино, пер. Водонапорный, 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Кудринский Участок, ул. Кооперативная (территория фермы СПК Нелюбино)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Карбышево, ул. Центральная, 27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Нагорный Иштан, ул. Озёрная, 70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Нелюбино, ул. Рабочая 71а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Чернышевка, ул. Главная, 26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Верхнее-Сеченово, ул. Лесная, 1а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86-й квартал, ул. Школьная, 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Курлек, ул. Трактовая, 48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Половинка, ул. Центральная, 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Рыбалово, ул. Советская, 3Б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Тахтамышево, ул. Фабричная, 11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Богашево, ул. Новостройка, 1а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Аэропорт, д 1 (АСС – аварийно - спасательная станция)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Моряковский Затон, Советская, 25 б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Черная Речка, ул. Береговая, 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Батурино, ул. Цветочная, 11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Вершинино, пер. Новый, 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Коларово, ул. Кооперативная, 12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Казанка, ул. Береговая, 28а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7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Зональный ул. Зеленая 40</w:t>
            </w:r>
          </w:p>
        </w:tc>
      </w:tr>
    </w:tbl>
    <w:p>
      <w:pPr>
        <w:pStyle w:val="Normal"/>
        <w:jc w:val="center"/>
        <w:rPr>
          <w:b/>
          <w:lang w:eastAsia="en-US"/>
        </w:rPr>
      </w:pPr>
      <w:r>
        <w:br w:type="page"/>
      </w:r>
      <w:r>
        <w:rPr>
          <w:b/>
          <w:lang w:eastAsia="en-US"/>
        </w:rPr>
        <w:t>Спецификация оборудования комплексов оповещения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55"/>
        <w:gridCol w:w="8275"/>
        <w:gridCol w:w="725"/>
      </w:tblGrid>
      <w:tr>
        <w:trPr>
          <w:trHeight w:val="255" w:hRule="atLeast"/>
        </w:trPr>
        <w:tc>
          <w:tcPr>
            <w:tcW w:w="95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ОС АРМ ОД(1 к-т)</w:t>
            </w:r>
          </w:p>
        </w:tc>
      </w:tr>
      <w:tr>
        <w:trPr>
          <w:trHeight w:val="409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</w:t>
            </w:r>
            <w:r>
              <w:rPr>
                <w:bCs/>
                <w:lang w:eastAsia="en-US"/>
              </w:rPr>
              <w:t>пп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 комплексов оповещения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>
        <w:trPr>
          <w:trHeight w:val="228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Стоечный системный блок П-166 ИТК  ОС  АРМ  ОД, 1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Монитор 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Клавиатура s,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179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Мышь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Акустическая система,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Микрофон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Принтер, шт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198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 бесперебойного питания,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Маршрутизатор,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3G Роутер c антенной, компл.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Программное обеспечение: Windows Pro 7 SP1 64-bit Russian, 1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Программное обеспечение для автоматизированного рабочего места оперативного дежурного пункта управления оповещением П-166 ИТК ОС АРМ ОД, шт.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82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Многоканальная система автоматического оповещения абонентов по каналам связи и сетям передачи данных "РУПОР" на 4 канала; компл.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>
      <w:pPr>
        <w:pStyle w:val="Normal"/>
        <w:spacing w:before="120" w:after="200"/>
        <w:rPr>
          <w:lang w:eastAsia="en-US"/>
        </w:rPr>
      </w:pPr>
      <w:r>
        <w:rPr>
          <w:lang w:eastAsia="en-US"/>
        </w:rPr>
      </w:r>
    </w:p>
    <w:tbl>
      <w:tblPr>
        <w:tblW w:w="93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64"/>
        <w:gridCol w:w="7850"/>
        <w:gridCol w:w="909"/>
      </w:tblGrid>
      <w:tr>
        <w:trPr>
          <w:trHeight w:val="122" w:hRule="atLeast"/>
        </w:trPr>
        <w:tc>
          <w:tcPr>
            <w:tcW w:w="93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БР (1 к-т)</w:t>
            </w:r>
          </w:p>
        </w:tc>
      </w:tr>
      <w:tr>
        <w:trPr>
          <w:trHeight w:val="446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hanging="0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 комплекса оповещения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>
        <w:trPr>
          <w:trHeight w:val="332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Motorolla GM-300 (45 Вт),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Мачта телескопическая (12 м),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Антенна DP4VHE4 петли, сумматор,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Блок питания 12В, 15А,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Пейджин-й контроллер мультипрот-й,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Модем</w:t>
            </w:r>
            <w:r>
              <w:rPr>
                <w:bCs/>
                <w:lang w:val="en-US" w:eastAsia="en-US"/>
              </w:rPr>
              <w:t xml:space="preserve"> US Robotics «Courier», </w:t>
            </w:r>
            <w:r>
              <w:rPr>
                <w:bCs/>
                <w:lang w:eastAsia="en-US"/>
              </w:rPr>
              <w:t>шт</w:t>
            </w:r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val="en-US" w:eastAsia="en-US"/>
              </w:rPr>
            </w:pPr>
            <w:r>
              <w:rPr>
                <w:highlight w:val="yellow"/>
                <w:lang w:val="en-US"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 бесперебойного питания UPS с АКБ,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Шкаф телекоммуникационный под аппаратуру,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Услит. мощн. «Vocom» 180 Вт.,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55"/>
        <w:gridCol w:w="8275"/>
        <w:gridCol w:w="725"/>
      </w:tblGrid>
      <w:tr>
        <w:trPr>
          <w:trHeight w:val="122" w:hRule="atLeast"/>
        </w:trPr>
        <w:tc>
          <w:tcPr>
            <w:tcW w:w="95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УЭС (1 к-т)</w:t>
            </w:r>
          </w:p>
        </w:tc>
      </w:tr>
      <w:tr>
        <w:trPr>
          <w:trHeight w:val="446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пп</w:t>
            </w:r>
          </w:p>
        </w:tc>
        <w:tc>
          <w:tcPr>
            <w:tcW w:w="8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комплекса оповещения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</w:tr>
      <w:tr>
        <w:trPr>
          <w:trHeight w:val="332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start"/>
              <w:rPr>
                <w:lang w:eastAsia="en-US"/>
              </w:rPr>
            </w:pPr>
            <w:r>
              <w:rPr>
                <w:lang w:eastAsia="en-US"/>
              </w:rPr>
              <w:t>Устройство запуска электросирен по цифровому и радио каналам П-166 ИТК ОС УЭС, с установленным специальным программным обеспечением П-166 ИТК ОС, шт.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start"/>
              <w:rPr>
                <w:lang w:eastAsia="en-US"/>
              </w:rPr>
            </w:pPr>
            <w:r>
              <w:rPr>
                <w:lang w:eastAsia="en-US"/>
              </w:rPr>
              <w:t>С-40, шт.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Приложение № 2</w:t>
      </w:r>
      <w:r>
        <w:rPr>
          <w:lang w:eastAsia="en-US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120" w:after="120"/>
        <w:ind w:firstLine="482" w:start="0"/>
        <w:jc w:val="end"/>
        <w:rPr>
          <w:lang w:eastAsia="en-US"/>
        </w:rPr>
      </w:pPr>
      <w:r>
        <w:rPr>
          <w:lang w:eastAsia="en-US"/>
        </w:rPr>
        <w:t>к техническому заданию</w:t>
      </w:r>
    </w:p>
    <w:p>
      <w:pPr>
        <w:pStyle w:val="Normal"/>
        <w:spacing w:before="120" w:after="20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КНИГА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учета технических средств муниципальной  системы оповещения населения Томского района  об угрозе возникновения или возникновении чрезвычайных ситуаций</w:t>
        <w:br/>
        <w:t>в 2026 году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jc w:val="end"/>
        <w:rPr/>
      </w:pPr>
      <w:r>
        <w:rPr/>
        <w:t>Начата "_____"________________20___г.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567" w:gutter="0" w:header="709" w:top="766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jc w:val="end"/>
        <w:rPr/>
      </w:pPr>
      <w:r>
        <w:rPr/>
        <w:t>Окончена "_____"______________20___г.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Содержание</w:t>
      </w:r>
    </w:p>
    <w:p>
      <w:pPr>
        <w:pStyle w:val="Normal"/>
        <w:rPr/>
      </w:pPr>
      <w:r>
        <w:rPr/>
      </w:r>
    </w:p>
    <w:tbl>
      <w:tblPr>
        <w:tblW w:w="1013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2197"/>
        <w:gridCol w:w="1285"/>
        <w:gridCol w:w="1572"/>
        <w:gridCol w:w="2131"/>
        <w:gridCol w:w="1315"/>
        <w:gridCol w:w="1636"/>
      </w:tblGrid>
      <w:tr>
        <w:trPr>
          <w:trHeight w:val="398" w:hRule="atLeast"/>
        </w:trPr>
        <w:tc>
          <w:tcPr>
            <w:tcW w:w="21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200"/>
              <w:ind w:hanging="0" w:star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материальных средств</w:t>
            </w:r>
          </w:p>
          <w:p>
            <w:pPr>
              <w:pStyle w:val="Normal"/>
              <w:widowControl w:val="false"/>
              <w:spacing w:before="120" w:after="20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 w:star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Страницы книги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200"/>
              <w:ind w:hanging="0" w:star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материальных средств</w:t>
            </w:r>
          </w:p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 w:start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Страницы книги</w:t>
            </w:r>
          </w:p>
        </w:tc>
      </w:tr>
      <w:tr>
        <w:trPr>
          <w:trHeight w:val="1032" w:hRule="atLeast"/>
        </w:trPr>
        <w:tc>
          <w:tcPr>
            <w:tcW w:w="21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2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1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начальная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последующие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начальная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последующие</w:t>
            </w:r>
          </w:p>
        </w:tc>
      </w:tr>
      <w:tr>
        <w:trPr>
          <w:trHeight w:val="58" w:hRule="atLeast"/>
        </w:trPr>
        <w:tc>
          <w:tcPr>
            <w:tcW w:w="2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hd w:val="clear" w:color="auto" w:fill="FFFFFF"/>
        <w:spacing w:lineRule="auto" w:line="288" w:before="0" w:after="120"/>
        <w:ind w:firstLine="709"/>
        <w:jc w:val="end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  <w:t>(левая сторона)</w:t>
      </w:r>
    </w:p>
    <w:tbl>
      <w:tblPr>
        <w:tblW w:w="9489" w:type="dxa"/>
        <w:jc w:val="start"/>
        <w:tblInd w:w="1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noHBand="0" w:noVBand="0" w:firstColumn="1" w:lastRow="1" w:lastColumn="1" w:firstRow="1"/>
      </w:tblPr>
      <w:tblGrid>
        <w:gridCol w:w="1594"/>
        <w:gridCol w:w="3068"/>
        <w:gridCol w:w="1425"/>
        <w:gridCol w:w="1694"/>
        <w:gridCol w:w="1708"/>
      </w:tblGrid>
      <w:tr>
        <w:trPr>
          <w:trHeight w:val="240" w:hRule="atLeast"/>
        </w:trPr>
        <w:tc>
          <w:tcPr>
            <w:tcW w:w="1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технического обслуживания (ремонта)</w:t>
            </w:r>
          </w:p>
        </w:tc>
        <w:tc>
          <w:tcPr>
            <w:tcW w:w="3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средств оповещения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Наработкас начала эксплуатации</w:t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8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4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spacing w:lineRule="auto" w:line="288"/>
        <w:ind w:firstLine="709" w:end="141"/>
        <w:jc w:val="end"/>
        <w:textAlignment w:val="baseline"/>
        <w:rPr>
          <w:rFonts w:ascii="Times New Roman" w:hAnsi="Times New Roman" w:eastAsia="Calibri"/>
          <w:spacing w:val="2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</w:r>
    </w:p>
    <w:p>
      <w:pPr>
        <w:pStyle w:val="Normal"/>
        <w:shd w:val="clear" w:color="auto" w:fill="FFFFFF"/>
        <w:spacing w:lineRule="auto" w:line="288"/>
        <w:ind w:firstLine="709" w:end="141"/>
        <w:jc w:val="end"/>
        <w:textAlignment w:val="baseline"/>
        <w:rPr>
          <w:rFonts w:ascii="Times New Roman" w:hAnsi="Times New Roman" w:eastAsia="Calibri"/>
          <w:spacing w:val="2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</w:r>
    </w:p>
    <w:p>
      <w:pPr>
        <w:pStyle w:val="Normal"/>
        <w:shd w:val="clear" w:color="auto" w:fill="FFFFFF"/>
        <w:spacing w:lineRule="auto" w:line="288"/>
        <w:ind w:firstLine="709" w:end="141"/>
        <w:jc w:val="end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  <w:t>(правая сторона)</w:t>
      </w:r>
    </w:p>
    <w:tbl>
      <w:tblPr>
        <w:tblW w:w="9479" w:type="dxa"/>
        <w:jc w:val="start"/>
        <w:tblInd w:w="1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noHBand="0" w:noVBand="0" w:firstColumn="1" w:lastRow="1" w:lastColumn="1" w:firstRow="1"/>
      </w:tblPr>
      <w:tblGrid>
        <w:gridCol w:w="1582"/>
        <w:gridCol w:w="1583"/>
        <w:gridCol w:w="2349"/>
        <w:gridCol w:w="1836"/>
        <w:gridCol w:w="2129"/>
      </w:tblGrid>
      <w:tr>
        <w:trPr>
          <w:trHeight w:val="240" w:hRule="atLeast"/>
        </w:trPr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технического обслуживания (ЕТО, ТО-1, ТО-2, ремонт)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firstLine="482" w:start="57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ind w:hanging="0" w:start="57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Трудозатраты (чел.-час.)</w:t>
            </w:r>
          </w:p>
        </w:tc>
        <w:tc>
          <w:tcPr>
            <w:tcW w:w="2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Замененные элементы, израсходованные ЗИП и материалы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выполненного технического обслуживания (ремонта)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подпись исполнителя работ</w:t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6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418" w:right="567" w:gutter="0" w:header="709" w:top="766" w:footer="709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Приложение № 3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en-US"/>
        </w:rPr>
        <w:t>к техническому заданию</w:t>
      </w:r>
    </w:p>
    <w:p>
      <w:pPr>
        <w:pStyle w:val="Normal"/>
        <w:spacing w:lineRule="auto" w:line="360"/>
        <w:jc w:val="end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bookmarkStart w:id="1" w:name="_Hlk83033239"/>
      <w:bookmarkStart w:id="2" w:name="_Hlk83033239"/>
      <w:bookmarkEnd w:id="2"/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</w:t>
      </w:r>
      <w:r>
        <w:rPr>
          <w:rFonts w:cs="Courier New"/>
          <w:sz w:val="22"/>
          <w:szCs w:val="22"/>
        </w:rPr>
        <w:t>"СОГЛАСОВАНО"                                           "УТВЕРЖДАЮ"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(Наименование организации)                                      (Должность)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(Подпись, фамилия и инициалы)                         (Подпись, фамилия и инициалы)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"___"_____________20 __ г.                            "____ "_______________ 20 ___ г.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b/>
          <w:bCs/>
          <w:color w:val="26282F"/>
          <w:sz w:val="22"/>
          <w:szCs w:val="22"/>
        </w:rPr>
        <w:t xml:space="preserve">                                      </w:t>
      </w:r>
      <w:r>
        <w:rPr>
          <w:rFonts w:cs="Courier New"/>
          <w:b/>
          <w:bCs/>
          <w:color w:val="26282F"/>
          <w:sz w:val="22"/>
          <w:szCs w:val="22"/>
        </w:rPr>
        <w:t>ПЛАН-ГРАФИК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b/>
          <w:bCs/>
          <w:color w:val="26282F"/>
          <w:sz w:val="22"/>
          <w:szCs w:val="22"/>
        </w:rPr>
        <w:t xml:space="preserve">                </w:t>
      </w:r>
      <w:r>
        <w:rPr>
          <w:rFonts w:cs="Courier New"/>
          <w:b/>
          <w:bCs/>
          <w:color w:val="26282F"/>
          <w:sz w:val="22"/>
          <w:szCs w:val="22"/>
        </w:rPr>
        <w:t>технического обслуживания технических средств оповещения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</w:t>
      </w:r>
      <w:r>
        <w:rPr>
          <w:rFonts w:cs="Courier New"/>
          <w:sz w:val="22"/>
          <w:szCs w:val="22"/>
        </w:rPr>
        <w:t>_______________________________________________________________ на 20___ год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</w:t>
      </w:r>
      <w:r>
        <w:rPr>
          <w:rFonts w:cs="Courier New"/>
          <w:sz w:val="22"/>
          <w:szCs w:val="22"/>
        </w:rPr>
        <w:t>(Наименование системы оповещения)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tbl>
      <w:tblPr>
        <w:tblW w:w="15078" w:type="dxa"/>
        <w:jc w:val="start"/>
        <w:tblInd w:w="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41"/>
        <w:gridCol w:w="1580"/>
        <w:gridCol w:w="1001"/>
        <w:gridCol w:w="1900"/>
        <w:gridCol w:w="855"/>
        <w:gridCol w:w="995"/>
        <w:gridCol w:w="1040"/>
        <w:gridCol w:w="763"/>
        <w:gridCol w:w="768"/>
        <w:gridCol w:w="817"/>
        <w:gridCol w:w="834"/>
        <w:gridCol w:w="1814"/>
        <w:gridCol w:w="1869"/>
      </w:tblGrid>
      <w:tr>
        <w:trPr/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N 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Организация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Вид ЭТО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607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Дата проведения ЭТО (по месяцам)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Отметка о выполнении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...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12</w:t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______________</w:t>
      </w:r>
      <w:r>
        <w:rPr>
          <w:rFonts w:cs="Courier New"/>
          <w:sz w:val="22"/>
          <w:szCs w:val="22"/>
        </w:rPr>
        <w:t>___________________________________________________________</w:t>
      </w:r>
    </w:p>
    <w:p>
      <w:pPr>
        <w:pStyle w:val="Normal"/>
        <w:widowControl w:val="false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    </w:t>
      </w:r>
      <w:r>
        <w:rPr>
          <w:rFonts w:cs="Courier New"/>
          <w:sz w:val="22"/>
          <w:szCs w:val="22"/>
        </w:rPr>
        <w:t>(Должность)</w:t>
      </w:r>
    </w:p>
    <w:p>
      <w:pPr>
        <w:pStyle w:val="Normal"/>
        <w:widowControl w:val="false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</w:t>
      </w:r>
      <w:r>
        <w:rPr>
          <w:rFonts w:cs="Courier New"/>
          <w:sz w:val="22"/>
          <w:szCs w:val="22"/>
        </w:rPr>
        <w:t>(Подпись, фамилия и инициалы)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</w:t>
      </w:r>
      <w:r>
        <w:rPr>
          <w:rFonts w:cs="Courier New"/>
          <w:sz w:val="22"/>
          <w:szCs w:val="22"/>
        </w:rPr>
        <w:t>"____"______________20__г.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spacing w:before="120" w:after="200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br w:type="page"/>
      </w:r>
    </w:p>
    <w:p>
      <w:pPr>
        <w:pStyle w:val="Normal"/>
        <w:spacing w:before="0" w:after="120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Приложение № 4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en-US"/>
        </w:rPr>
        <w:t>к техническому заданию</w:t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"СОГЛАСОВАНО"                                           "УТВЕРЖДАЮ"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(Наименование организации)                                   (Должность)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(Подпись, фамилия и инициалы)                         (Подпись, фамилия и инициалы)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"___"_____________20 __ г.                            "____ "_______________ 20 ___ г.</w:t>
      </w:r>
    </w:p>
    <w:p>
      <w:pPr>
        <w:pStyle w:val="Normal"/>
        <w:widowControl w:val="false"/>
        <w:ind w:firstLine="720"/>
        <w:jc w:val="start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b/>
          <w:bCs/>
          <w:color w:val="26282F"/>
          <w:sz w:val="22"/>
          <w:szCs w:val="22"/>
        </w:rPr>
        <w:t>ПЛАН</w:t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 xml:space="preserve">     </w:t>
      </w:r>
      <w:r>
        <w:rPr>
          <w:rFonts w:cs="Courier New" w:ascii="Courier New" w:hAnsi="Courier New"/>
          <w:b/>
          <w:bCs/>
          <w:color w:val="26282F"/>
          <w:sz w:val="22"/>
          <w:szCs w:val="22"/>
        </w:rPr>
        <w:t>проведения технического обслуживания (ТО-1, ТО-2) технических средств оповещения</w:t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start"/>
        <w:rPr>
          <w:rFonts w:ascii="Times New Roman" w:hAnsi="Times New Roman"/>
          <w:color w:val="000000"/>
        </w:rPr>
      </w:pPr>
      <w:r>
        <w:rPr>
          <w:rFonts w:cs="Courier New"/>
          <w:color w:val="000000"/>
          <w:sz w:val="22"/>
          <w:szCs w:val="22"/>
        </w:rPr>
        <w:t xml:space="preserve">          </w:t>
      </w:r>
      <w:r>
        <w:rPr>
          <w:rFonts w:cs="Courier New"/>
          <w:color w:val="000000"/>
          <w:sz w:val="22"/>
          <w:szCs w:val="22"/>
        </w:rPr>
        <w:t>_________________________________________________________________________</w:t>
      </w:r>
    </w:p>
    <w:p>
      <w:pPr>
        <w:pStyle w:val="Normal"/>
        <w:widowControl w:val="false"/>
        <w:jc w:val="start"/>
        <w:rPr>
          <w:rFonts w:ascii="Times New Roman" w:hAnsi="Times New Roman"/>
          <w:color w:val="000000"/>
        </w:rPr>
      </w:pPr>
      <w:r>
        <w:rPr>
          <w:rFonts w:cs="Courier New"/>
          <w:color w:val="000000"/>
          <w:sz w:val="22"/>
          <w:szCs w:val="22"/>
        </w:rPr>
        <w:t xml:space="preserve">                            </w:t>
      </w:r>
      <w:r>
        <w:rPr>
          <w:rFonts w:cs="Courier New"/>
          <w:color w:val="000000"/>
          <w:sz w:val="22"/>
          <w:szCs w:val="22"/>
        </w:rPr>
        <w:t>(Наименование системы оповещения)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tbl>
      <w:tblPr>
        <w:tblW w:w="15340" w:type="dxa"/>
        <w:jc w:val="start"/>
        <w:tblInd w:w="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00"/>
        <w:gridCol w:w="4272"/>
        <w:gridCol w:w="1720"/>
        <w:gridCol w:w="1862"/>
        <w:gridCol w:w="2562"/>
        <w:gridCol w:w="4023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N п/п</w:t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Наименование работ (мероприятий)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Срок выполнения работ (мероприятий)</w:t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Кто контролирует выполнение работ</w:t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Отметка о выполнении</w:t>
            </w:r>
          </w:p>
        </w:tc>
      </w:tr>
      <w:tr>
        <w:trPr/>
        <w:tc>
          <w:tcPr>
            <w:tcW w:w="153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ind w:firstLine="482" w:start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bookmarkStart w:id="3" w:name="sub_13100"/>
            <w:r>
              <w:rPr>
                <w:rFonts w:cs="Times New Roman CYR" w:ascii="Times New Roman CYR" w:hAnsi="Times New Roman CYR"/>
                <w:b/>
                <w:bCs/>
                <w:color w:val="26282F"/>
                <w:sz w:val="22"/>
                <w:szCs w:val="22"/>
              </w:rPr>
              <w:t>I. Подготовительные мероприятия</w:t>
            </w:r>
            <w:bookmarkEnd w:id="3"/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153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ind w:firstLine="482" w:start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bookmarkStart w:id="4" w:name="sub_13200"/>
            <w:r>
              <w:rPr>
                <w:rFonts w:cs="Times New Roman CYR" w:ascii="Times New Roman CYR" w:hAnsi="Times New Roman CYR"/>
                <w:b/>
                <w:bCs/>
                <w:color w:val="26282F"/>
                <w:sz w:val="22"/>
                <w:szCs w:val="22"/>
              </w:rPr>
              <w:t>II. Работы по проведению технического обслуживания</w:t>
            </w:r>
            <w:bookmarkEnd w:id="4"/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153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ind w:firstLine="482" w:start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bookmarkStart w:id="5" w:name="sub_13300"/>
            <w:r>
              <w:rPr>
                <w:rFonts w:cs="Times New Roman CYR" w:ascii="Times New Roman CYR" w:hAnsi="Times New Roman CYR"/>
                <w:b/>
                <w:bCs/>
                <w:color w:val="26282F"/>
                <w:sz w:val="22"/>
                <w:szCs w:val="22"/>
              </w:rPr>
              <w:t>III. Мероприятия по контролю качества выполнения технического обслуживания</w:t>
            </w:r>
            <w:bookmarkEnd w:id="5"/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Ответственный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исполнитель         ____________________________________________________________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</w:t>
      </w:r>
      <w:r>
        <w:rPr>
          <w:rFonts w:cs="Courier New"/>
          <w:sz w:val="22"/>
          <w:szCs w:val="22"/>
        </w:rPr>
        <w:t>(Должность, подпись, фамилия и инициалы)</w: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851" w:right="567" w:gutter="0" w:header="709" w:top="1418" w:footer="709" w:bottom="766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"___"______________ 20___г.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Приложение № 5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en-US"/>
        </w:rPr>
        <w:t>к техническому заданию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tabs>
          <w:tab w:val="clear" w:pos="720"/>
          <w:tab w:val="left" w:pos="12474" w:leader="none"/>
        </w:tabs>
        <w:ind w:firstLine="482" w:start="5103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                                              </w:t>
      </w:r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"УТВЕРЖДАЮ"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</w:t>
      </w:r>
      <w:r>
        <w:rPr>
          <w:rFonts w:cs="Courier New"/>
          <w:sz w:val="22"/>
          <w:szCs w:val="22"/>
        </w:rPr>
        <w:t>_________________________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        </w:t>
      </w:r>
      <w:r>
        <w:rPr>
          <w:rFonts w:cs="Courier New"/>
          <w:sz w:val="22"/>
          <w:szCs w:val="22"/>
        </w:rPr>
        <w:t>(Должность)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</w:t>
      </w:r>
      <w:r>
        <w:rPr>
          <w:rFonts w:cs="Courier New"/>
          <w:sz w:val="22"/>
          <w:szCs w:val="22"/>
        </w:rPr>
        <w:t>_________________________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</w:t>
      </w:r>
      <w:r>
        <w:rPr>
          <w:rFonts w:cs="Courier New"/>
          <w:sz w:val="22"/>
          <w:szCs w:val="22"/>
        </w:rPr>
        <w:t>(Подпись, фамилия и инициалы)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  </w:t>
      </w:r>
      <w:r>
        <w:rPr>
          <w:rFonts w:cs="Courier New"/>
          <w:sz w:val="22"/>
          <w:szCs w:val="22"/>
        </w:rPr>
        <w:t>"___"___________20__ г.</w:t>
      </w:r>
    </w:p>
    <w:p>
      <w:pPr>
        <w:pStyle w:val="Normal"/>
        <w:widowControl w:val="false"/>
        <w:ind w:firstLine="720"/>
        <w:jc w:val="end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Courier New" w:hAnsi="Courier New" w:cs="Courier New"/>
          <w:b/>
          <w:bCs/>
          <w:color w:val="26282F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>АКТ</w:t>
      </w:r>
    </w:p>
    <w:p>
      <w:pPr>
        <w:pStyle w:val="Normal"/>
        <w:widowControl w:val="false"/>
        <w:jc w:val="center"/>
        <w:rPr>
          <w:rFonts w:ascii="Courier New" w:hAnsi="Courier New" w:cs="Courier New"/>
          <w:b/>
          <w:bCs/>
          <w:color w:val="26282F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 xml:space="preserve">проведения технического обслуживания (ТО-2) </w:t>
      </w:r>
    </w:p>
    <w:p>
      <w:pPr>
        <w:pStyle w:val="Normal"/>
        <w:widowControl w:val="false"/>
        <w:jc w:val="center"/>
        <w:rPr>
          <w:rFonts w:ascii="Courier New" w:hAnsi="Courier New" w:cs="Courier New"/>
          <w:b/>
          <w:bCs/>
          <w:color w:val="26282F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>технических средств оповещения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Наименование системы оповещения)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Комиссия в составе: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председатель 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</w:t>
      </w:r>
      <w:r>
        <w:rPr>
          <w:rFonts w:cs="Courier New"/>
          <w:sz w:val="22"/>
          <w:szCs w:val="22"/>
        </w:rPr>
        <w:t>(Должность, фамилия и инициалы)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члены комиссии 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</w:t>
      </w:r>
      <w:r>
        <w:rPr>
          <w:rFonts w:cs="Courier New"/>
          <w:sz w:val="22"/>
          <w:szCs w:val="22"/>
        </w:rPr>
        <w:t>(Должность, фамилия и инициалы каждого)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на основании 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в период с____________ по___________ провела проверку качества проведения ежемесячного технического обслуживания и технического состояния ТСО.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6" w:name="sub_14001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1. Результаты ежемесячного технического обслуживания средств оповещения:</w:t>
      </w:r>
      <w:bookmarkEnd w:id="6"/>
    </w:p>
    <w:tbl>
      <w:tblPr>
        <w:tblW w:w="10064" w:type="dxa"/>
        <w:jc w:val="start"/>
        <w:tblInd w:w="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13"/>
        <w:gridCol w:w="2334"/>
        <w:gridCol w:w="1272"/>
        <w:gridCol w:w="1452"/>
        <w:gridCol w:w="1244"/>
        <w:gridCol w:w="1475"/>
        <w:gridCol w:w="1673"/>
      </w:tblGrid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N п/п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Тип ТСО</w:t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Имеется в наличии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Всего обслужено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Исправно</w:t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Требует текущего ремонта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7" w:name="sub_14002"/>
      <w:r>
        <w:rPr>
          <w:rFonts w:cs="Courier New" w:ascii="Courier New" w:hAnsi="Courier New"/>
          <w:sz w:val="22"/>
          <w:szCs w:val="22"/>
        </w:rPr>
        <w:t xml:space="preserve">   </w:t>
      </w: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2. Характерные неисправности  средств   оповещения,   выявленные при</w:t>
      </w:r>
      <w:bookmarkEnd w:id="7"/>
      <w:r>
        <w:rPr>
          <w:rFonts w:cs="Courier New"/>
          <w:sz w:val="22"/>
          <w:szCs w:val="22"/>
        </w:rPr>
        <w:t xml:space="preserve"> эксплуатации и техническом   обслуживании, и их причины.  Рекомендации по мероприятиям, которые необходимо провести для их предотвращения: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8" w:name="sub_14003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3. По результатам проведения   технического   обслуживания состояние</w:t>
      </w:r>
      <w:bookmarkEnd w:id="8"/>
      <w:r>
        <w:rPr>
          <w:rFonts w:cs="Courier New"/>
          <w:sz w:val="22"/>
          <w:szCs w:val="22"/>
        </w:rPr>
        <w:t xml:space="preserve"> средств оповещения оценивается: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9" w:name="sub_14004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4. Оценка состояния хранения, эксплуатации и ремонта ТСО,  состояния</w:t>
      </w:r>
      <w:bookmarkEnd w:id="9"/>
      <w:r>
        <w:rPr>
          <w:rFonts w:cs="Courier New"/>
          <w:sz w:val="22"/>
          <w:szCs w:val="22"/>
        </w:rPr>
        <w:t xml:space="preserve"> метрологического обеспечения,   запаса ЗИП   и рекомендации по устранению выявленных недостатков: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10" w:name="sub_14005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5. Лучшими специалистами по содержанию средств оповещения являются:</w:t>
      </w:r>
      <w:bookmarkEnd w:id="10"/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11" w:name="sub_14006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6. Предложения по совершенствованию технического обслуживания:</w:t>
      </w:r>
      <w:bookmarkEnd w:id="11"/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Председатель комиссии:___________________________________________________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</w:t>
      </w:r>
      <w:r>
        <w:rPr>
          <w:rFonts w:cs="Courier New"/>
          <w:sz w:val="22"/>
          <w:szCs w:val="22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</w:t>
      </w:r>
    </w:p>
    <w:p>
      <w:pPr>
        <w:pStyle w:val="Normal"/>
        <w:widowControl w:val="false"/>
        <w:jc w:val="both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>Члены комиссии:___________________________________________________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</w:t>
      </w:r>
      <w:r>
        <w:rPr>
          <w:rFonts w:cs="Courier New"/>
          <w:sz w:val="22"/>
          <w:szCs w:val="22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</w:t>
      </w:r>
      <w:r>
        <w:rPr>
          <w:rFonts w:cs="Courier New"/>
          <w:sz w:val="22"/>
          <w:szCs w:val="22"/>
        </w:rPr>
        <w:t>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</w:t>
      </w:r>
      <w:r>
        <w:rPr>
          <w:rFonts w:cs="Courier New"/>
          <w:sz w:val="22"/>
          <w:szCs w:val="22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</w:t>
      </w:r>
      <w:r>
        <w:rPr>
          <w:rFonts w:cs="Courier New"/>
          <w:sz w:val="22"/>
          <w:szCs w:val="22"/>
        </w:rPr>
        <w:t>"____"______________20___г.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spacing w:lineRule="auto" w:line="240" w:before="120" w:after="0"/>
        <w:ind w:hanging="0"/>
        <w:jc w:val="both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type w:val="nextPage"/>
      <w:pgSz w:w="11906" w:h="16838"/>
      <w:pgMar w:left="851" w:right="1701" w:gutter="0" w:header="720" w:top="1134" w:footer="720" w:bottom="1134"/>
      <w:pgNumType w:start="1"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482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из </w:t>
    </w:r>
    <w:r>
      <w:fldChar w:fldCharType="begin"/>
    </w:r>
    <w:r>
      <w:rPr/>
      <w:instrText xml:space="preserve">SECTIONPAGES</w:instrText>
    </w:r>
    <w:r>
      <w:rPr/>
    </w:r>
    <w:r>
      <w:rPr/>
      <w:fldChar w:fldCharType="separate"/>
    </w:r>
    <w:r>
      <w:rPr/>
      <w:t>3</w:t>
    </w:r>
    <w:r/>
    <w:r>
      <w:rPr/>
      <w:fldChar w:fldCharType="end"/>
    </w: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из </w:t>
    </w:r>
    <w:r>
      <w:fldChar w:fldCharType="begin"/>
    </w:r>
    <w:r>
      <w:rPr/>
      <w:instrText xml:space="preserve">SECTIONPAGES</w:instrText>
    </w:r>
    <w:r>
      <w:rPr/>
    </w:r>
    <w:r>
      <w:rPr/>
      <w:fldChar w:fldCharType="separate"/>
    </w:r>
    <w:r>
      <w:rPr/>
      <w:t>1</w:t>
    </w:r>
    <w:r/>
    <w:r>
      <w:rPr/>
      <w:fldChar w:fldCharType="end"/>
    </w: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 w:val="false"/>
      </w:rPr>
    </w:lvl>
    <w:lvl w:ilvl="2">
      <w:start w:val="1"/>
      <w:pStyle w:val="Heading3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>
        <w:b w:val="false"/>
      </w:rPr>
    </w:lvl>
    <w:lvl w:ilvl="3">
      <w:start w:val="1"/>
      <w:pStyle w:val="Heading4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space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decimal"/>
      <w:suff w:val="space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decimal"/>
      <w:suff w:val="space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decimal"/>
      <w:suff w:val="space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decimal"/>
      <w:suff w:val="space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1836"/>
        </w:tabs>
        <w:ind w:start="183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227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9" w:semiHidden="0" w:unhideWhenUsed="0" w:qFormat="1"/>
    <w:lsdException w:name="caption" w:uiPriority="35" w:semiHidden="0" w:unhideWhenUsed="0" w:qFormat="1"/>
    <w:lsdException w:name="footnote reference" w:uiPriority="39" w:semiHidden="0" w:unhideWhenUsed="0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13305c"/>
    <w:pPr>
      <w:widowControl/>
      <w:suppressAutoHyphens w:val="true"/>
      <w:bidi w:val="0"/>
      <w:spacing w:lineRule="auto" w:line="276" w:before="120" w:after="12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rsid w:val="00b32490"/>
    <w:pPr>
      <w:keepNext w:val="true"/>
      <w:keepLines/>
      <w:numPr>
        <w:ilvl w:val="0"/>
        <w:numId w:val="1"/>
      </w:numPr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Heading3">
    <w:name w:val="heading 3"/>
    <w:basedOn w:val="Normal"/>
    <w:next w:val="Normal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"/>
    <w:next w:val="Normal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uiPriority w:val="9"/>
    <w:qFormat/>
    <w:rsid w:val="002c64af"/>
    <w:pPr>
      <w:keepNext w:val="true"/>
      <w:keepLines/>
      <w:numPr>
        <w:ilvl w:val="4"/>
        <w:numId w:val="1"/>
      </w:numPr>
      <w:spacing w:before="200" w:after="0"/>
      <w:outlineLvl w:val="4"/>
    </w:pPr>
    <w:rPr/>
  </w:style>
  <w:style w:type="paragraph" w:styleId="Heading6">
    <w:name w:val="heading 6"/>
    <w:basedOn w:val="Normal"/>
    <w:next w:val="Normal"/>
    <w:uiPriority w:val="9"/>
    <w:qFormat/>
    <w:rsid w:val="0098229f"/>
    <w:pPr>
      <w:keepNext w:val="true"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uiPriority w:val="9"/>
    <w:qFormat/>
    <w:rsid w:val="0098229f"/>
    <w:pPr>
      <w:keepNext w:val="true"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uiPriority w:val="9"/>
    <w:qFormat/>
    <w:rsid w:val="0098229f"/>
    <w:pPr>
      <w:keepNext w:val="true"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Heading9">
    <w:name w:val="heading 9"/>
    <w:basedOn w:val="Normal"/>
    <w:next w:val="Normal"/>
    <w:uiPriority w:val="9"/>
    <w:qFormat/>
    <w:rsid w:val="0098229f"/>
    <w:pPr>
      <w:keepNext w:val="true"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normalunnumbered"/>
    <w:uiPriority w:val="9"/>
    <w:qFormat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styleId="2" w:customStyle="1">
    <w:name w:val="Заголовок 2 Знак"/>
    <w:link w:val="heading2normal"/>
    <w:uiPriority w:val="9"/>
    <w:qFormat/>
    <w:rsid w:val="00fb784e"/>
    <w:rPr>
      <w:rFonts w:ascii="Times New Roman" w:hAnsi="Times New Roman"/>
      <w:bCs/>
      <w:sz w:val="20"/>
      <w:szCs w:val="26"/>
      <w:lang w:val="ru-RU"/>
    </w:rPr>
  </w:style>
  <w:style w:type="character" w:styleId="3" w:customStyle="1">
    <w:name w:val="Заголовок 3 Знак"/>
    <w:link w:val="heading3normal"/>
    <w:uiPriority w:val="9"/>
    <w:qFormat/>
    <w:rsid w:val="002c64af"/>
    <w:rPr>
      <w:rFonts w:ascii="Times New Roman" w:hAnsi="Times New Roman"/>
      <w:bCs/>
      <w:sz w:val="20"/>
      <w:lang w:val="ru-RU"/>
    </w:rPr>
  </w:style>
  <w:style w:type="character" w:styleId="4" w:customStyle="1">
    <w:name w:val="Заголовок 4 Знак"/>
    <w:link w:val="heading4normal"/>
    <w:uiPriority w:val="9"/>
    <w:qFormat/>
    <w:rsid w:val="002c64af"/>
    <w:rPr>
      <w:rFonts w:ascii="Times New Roman" w:hAnsi="Times New Roman"/>
      <w:bCs/>
      <w:iCs/>
      <w:sz w:val="20"/>
      <w:lang w:val="ru-RU"/>
    </w:rPr>
  </w:style>
  <w:style w:type="character" w:styleId="5" w:customStyle="1">
    <w:name w:val="Заголовок 5 Знак"/>
    <w:link w:val="heading5normal"/>
    <w:uiPriority w:val="9"/>
    <w:semiHidden/>
    <w:qFormat/>
    <w:rsid w:val="002c64af"/>
    <w:rPr>
      <w:sz w:val="20"/>
      <w:lang w:val="ru-RU"/>
    </w:rPr>
  </w:style>
  <w:style w:type="character" w:styleId="6" w:customStyle="1">
    <w:name w:val="Заголовок 6 Знак"/>
    <w:link w:val="heading6normal"/>
    <w:uiPriority w:val="9"/>
    <w:semiHidden/>
    <w:qFormat/>
    <w:rsid w:val="0098229f"/>
    <w:rPr>
      <w:i/>
      <w:iCs/>
      <w:color w:val="243F60"/>
      <w:sz w:val="20"/>
      <w:lang w:val="ru-RU"/>
    </w:rPr>
  </w:style>
  <w:style w:type="character" w:styleId="7" w:customStyle="1">
    <w:name w:val="Заголовок 7 Знак"/>
    <w:link w:val="heading7normal"/>
    <w:uiPriority w:val="9"/>
    <w:semiHidden/>
    <w:qFormat/>
    <w:rsid w:val="0098229f"/>
    <w:rPr>
      <w:i/>
      <w:iCs/>
      <w:color w:val="404040"/>
      <w:sz w:val="20"/>
      <w:lang w:val="ru-RU"/>
    </w:rPr>
  </w:style>
  <w:style w:type="character" w:styleId="8" w:customStyle="1">
    <w:name w:val="Заголовок 8 Знак"/>
    <w:link w:val="heading8normal"/>
    <w:uiPriority w:val="9"/>
    <w:semiHidden/>
    <w:qFormat/>
    <w:rsid w:val="0098229f"/>
    <w:rPr>
      <w:color w:val="4F81BD"/>
      <w:sz w:val="20"/>
      <w:szCs w:val="20"/>
      <w:lang w:val="ru-RU"/>
    </w:rPr>
  </w:style>
  <w:style w:type="character" w:styleId="9" w:customStyle="1">
    <w:name w:val="Заголовок 9 Знак"/>
    <w:link w:val="heading9normal"/>
    <w:uiPriority w:val="9"/>
    <w:semiHidden/>
    <w:qFormat/>
    <w:rsid w:val="0098229f"/>
    <w:rPr>
      <w:i/>
      <w:iCs/>
      <w:color w:val="404040"/>
      <w:sz w:val="20"/>
      <w:szCs w:val="20"/>
      <w:lang w:val="ru-RU"/>
    </w:rPr>
  </w:style>
  <w:style w:type="character" w:styleId="Style5" w:customStyle="1">
    <w:name w:val="Название Знак"/>
    <w:link w:val="11"/>
    <w:uiPriority w:val="10"/>
    <w:qFormat/>
    <w:rsid w:val="00222923"/>
    <w:rPr>
      <w:rFonts w:ascii="Times New Roman" w:hAnsi="Times New Roman"/>
      <w:b/>
      <w:spacing w:val="5"/>
      <w:kern w:val="2"/>
      <w:sz w:val="28"/>
      <w:szCs w:val="52"/>
    </w:rPr>
  </w:style>
  <w:style w:type="character" w:styleId="Style6" w:customStyle="1">
    <w:name w:val="Подзаголовок Знак"/>
    <w:uiPriority w:val="11"/>
    <w:qFormat/>
    <w:rsid w:val="0098229f"/>
    <w:rPr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8229f"/>
    <w:rPr>
      <w:b/>
      <w:bCs/>
    </w:rPr>
  </w:style>
  <w:style w:type="character" w:styleId="Emphasis">
    <w:name w:val="Emphasis"/>
    <w:uiPriority w:val="20"/>
    <w:qFormat/>
    <w:rsid w:val="0098229f"/>
    <w:rPr>
      <w:i/>
      <w:iCs/>
    </w:rPr>
  </w:style>
  <w:style w:type="character" w:styleId="DeletedPlaceholder" w:customStyle="1">
    <w:name w:val="DeletedPlaceholder Знак"/>
    <w:link w:val="DeletedPlaceholder1"/>
    <w:uiPriority w:val="29"/>
    <w:qFormat/>
    <w:rsid w:val="00eb0599"/>
    <w:rPr>
      <w:rFonts w:ascii="Times New Roman" w:hAnsi="Times New Roman"/>
      <w:i/>
      <w:iCs/>
      <w:color w:val="FF3F1F"/>
    </w:rPr>
  </w:style>
  <w:style w:type="character" w:styleId="21" w:customStyle="1">
    <w:name w:val="Цитата 2 Знак"/>
    <w:link w:val="Warning"/>
    <w:uiPriority w:val="29"/>
    <w:qFormat/>
    <w:rsid w:val="0098229f"/>
    <w:rPr>
      <w:i/>
      <w:iCs/>
      <w:color w:val="000000"/>
    </w:rPr>
  </w:style>
  <w:style w:type="character" w:styleId="Style7" w:customStyle="1">
    <w:name w:val="Выделенная цитата Знак"/>
    <w:link w:val="IntenseQuote"/>
    <w:uiPriority w:val="30"/>
    <w:qFormat/>
    <w:rsid w:val="0098229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8229f"/>
    <w:rPr>
      <w:i/>
      <w:iCs/>
      <w:color w:val="808080"/>
    </w:rPr>
  </w:style>
  <w:style w:type="character" w:styleId="IntenseEmphasis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8229f"/>
    <w:rPr>
      <w:b/>
      <w:bCs/>
      <w:smallCaps/>
      <w:spacing w:val="5"/>
    </w:rPr>
  </w:style>
  <w:style w:type="character" w:styleId="Style8" w:customStyle="1">
    <w:name w:val="Схема документа Знак"/>
    <w:link w:val="DocumentMap"/>
    <w:uiPriority w:val="99"/>
    <w:semiHidden/>
    <w:qFormat/>
    <w:rsid w:val="0022292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0" w:customStyle="1">
    <w:name w:val="Нижний колонтитул Знак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1">
    <w:name w:val="Символ сноски"/>
    <w:qFormat/>
    <w:rsid w:val="00f06394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nhideWhenUsed/>
    <w:rsid w:val="001938a8"/>
    <w:rPr>
      <w:color w:val="0000FF"/>
      <w:u w:val="single"/>
    </w:rPr>
  </w:style>
  <w:style w:type="character" w:styleId="Style12" w:customStyle="1">
    <w:name w:val="Абзац списка Знак"/>
    <w:link w:val="ListParagraph"/>
    <w:uiPriority w:val="34"/>
    <w:qFormat/>
    <w:locked/>
    <w:rsid w:val="00065cfc"/>
    <w:rPr>
      <w:sz w:val="22"/>
      <w:szCs w:val="22"/>
    </w:rPr>
  </w:style>
  <w:style w:type="character" w:styleId="PageNumber">
    <w:name w:val="page number"/>
    <w:basedOn w:val="DefaultParagraphFont"/>
    <w:rsid w:val="0046354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6095c"/>
    <w:rPr>
      <w:rFonts w:ascii="Tahoma" w:hAnsi="Tahoma" w:cs="Tahoma"/>
      <w:sz w:val="16"/>
      <w:szCs w:val="16"/>
    </w:rPr>
  </w:style>
  <w:style w:type="character" w:styleId="CharChar" w:customStyle="1">
    <w:name w:val="Обычный Char Char"/>
    <w:link w:val="12"/>
    <w:qFormat/>
    <w:rsid w:val="0086650d"/>
    <w:rPr>
      <w:rFonts w:eastAsia="Calibri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55499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592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b95929"/>
    <w:rPr/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b95929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qFormat/>
    <w:rsid w:val="0098229f"/>
    <w:pPr>
      <w:spacing w:lineRule="auto" w:line="240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Normalunindented" w:customStyle="1">
    <w:name w:val="Normal unindented"/>
    <w:qFormat/>
    <w:rsid w:val="0013305c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unnumbered" w:customStyle="1">
    <w:name w:val="heading 1 unnumbered"/>
    <w:basedOn w:val="Normal"/>
    <w:next w:val="Normal"/>
    <w:uiPriority w:val="9"/>
    <w:qFormat/>
    <w:rsid w:val="00b32490"/>
    <w:pPr>
      <w:keepNext w:val="true"/>
      <w:keepLines/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1normal" w:customStyle="1">
    <w:name w:val="heading 1 normal"/>
    <w:basedOn w:val="Normal"/>
    <w:next w:val="Normal"/>
    <w:uiPriority w:val="9"/>
    <w:qFormat/>
    <w:rsid w:val="00b32490"/>
    <w:pPr>
      <w:numPr>
        <w:ilvl w:val="0"/>
        <w:numId w:val="2"/>
      </w:numPr>
      <w:outlineLvl w:val="0"/>
    </w:pPr>
    <w:rPr/>
  </w:style>
  <w:style w:type="paragraph" w:styleId="heading1normalunnumbered" w:customStyle="1">
    <w:name w:val="heading 1 normal unnumbered"/>
    <w:basedOn w:val="Normal"/>
    <w:next w:val="Normal"/>
    <w:link w:val="1"/>
    <w:uiPriority w:val="9"/>
    <w:qFormat/>
    <w:rsid w:val="00b32490"/>
    <w:pPr>
      <w:outlineLvl w:val="0"/>
    </w:pPr>
    <w:rPr/>
  </w:style>
  <w:style w:type="paragraph" w:styleId="heading2normal" w:customStyle="1">
    <w:name w:val="heading 2 normal"/>
    <w:basedOn w:val="Normal"/>
    <w:next w:val="Normal"/>
    <w:link w:val="2"/>
    <w:uiPriority w:val="9"/>
    <w:qFormat/>
    <w:rsid w:val="00b32490"/>
    <w:pPr>
      <w:numPr>
        <w:ilvl w:val="1"/>
        <w:numId w:val="2"/>
      </w:numPr>
      <w:outlineLvl w:val="1"/>
    </w:pPr>
    <w:rPr/>
  </w:style>
  <w:style w:type="paragraph" w:styleId="heading3normal" w:customStyle="1">
    <w:name w:val="heading 3 normal"/>
    <w:basedOn w:val="Normal"/>
    <w:next w:val="Normal"/>
    <w:link w:val="3"/>
    <w:uiPriority w:val="9"/>
    <w:qFormat/>
    <w:rsid w:val="00b32490"/>
    <w:pPr>
      <w:numPr>
        <w:ilvl w:val="2"/>
        <w:numId w:val="2"/>
      </w:numPr>
      <w:outlineLvl w:val="2"/>
    </w:pPr>
    <w:rPr/>
  </w:style>
  <w:style w:type="paragraph" w:styleId="heading4normal" w:customStyle="1">
    <w:name w:val="heading 4 normal"/>
    <w:basedOn w:val="Normal"/>
    <w:next w:val="Normal"/>
    <w:link w:val="4"/>
    <w:uiPriority w:val="9"/>
    <w:qFormat/>
    <w:rsid w:val="00b32490"/>
    <w:pPr>
      <w:numPr>
        <w:ilvl w:val="3"/>
        <w:numId w:val="2"/>
      </w:numPr>
      <w:outlineLvl w:val="3"/>
    </w:pPr>
    <w:rPr/>
  </w:style>
  <w:style w:type="paragraph" w:styleId="heading5normal" w:customStyle="1">
    <w:name w:val="heading 5 normal"/>
    <w:basedOn w:val="Normal"/>
    <w:next w:val="Normal"/>
    <w:link w:val="5"/>
    <w:uiPriority w:val="9"/>
    <w:qFormat/>
    <w:rsid w:val="00b32490"/>
    <w:pPr>
      <w:numPr>
        <w:ilvl w:val="4"/>
        <w:numId w:val="2"/>
      </w:numPr>
      <w:outlineLvl w:val="4"/>
    </w:pPr>
    <w:rPr/>
  </w:style>
  <w:style w:type="paragraph" w:styleId="heading6normal" w:customStyle="1">
    <w:name w:val="heading 6 normal"/>
    <w:basedOn w:val="Normal"/>
    <w:next w:val="Normal"/>
    <w:link w:val="6"/>
    <w:uiPriority w:val="9"/>
    <w:qFormat/>
    <w:rsid w:val="00b32490"/>
    <w:pPr>
      <w:numPr>
        <w:ilvl w:val="5"/>
        <w:numId w:val="2"/>
      </w:numPr>
      <w:outlineLvl w:val="5"/>
    </w:pPr>
    <w:rPr/>
  </w:style>
  <w:style w:type="paragraph" w:styleId="heading7normal" w:customStyle="1">
    <w:name w:val="heading 7 normal"/>
    <w:basedOn w:val="Normal"/>
    <w:next w:val="Normal"/>
    <w:link w:val="7"/>
    <w:uiPriority w:val="9"/>
    <w:qFormat/>
    <w:rsid w:val="00b32490"/>
    <w:pPr>
      <w:numPr>
        <w:ilvl w:val="6"/>
        <w:numId w:val="2"/>
      </w:numPr>
      <w:outlineLvl w:val="6"/>
    </w:pPr>
    <w:rPr/>
  </w:style>
  <w:style w:type="paragraph" w:styleId="heading8normal" w:customStyle="1">
    <w:name w:val="heading 8 normal"/>
    <w:basedOn w:val="Normal"/>
    <w:next w:val="Normal"/>
    <w:link w:val="8"/>
    <w:uiPriority w:val="9"/>
    <w:qFormat/>
    <w:rsid w:val="00b32490"/>
    <w:pPr>
      <w:numPr>
        <w:ilvl w:val="7"/>
        <w:numId w:val="2"/>
      </w:numPr>
      <w:outlineLvl w:val="7"/>
    </w:pPr>
    <w:rPr/>
  </w:style>
  <w:style w:type="paragraph" w:styleId="heading9normal" w:customStyle="1">
    <w:name w:val="heading 9 normal"/>
    <w:basedOn w:val="Normal"/>
    <w:next w:val="Normal"/>
    <w:link w:val="9"/>
    <w:uiPriority w:val="9"/>
    <w:qFormat/>
    <w:rsid w:val="00b32490"/>
    <w:pPr>
      <w:numPr>
        <w:ilvl w:val="8"/>
        <w:numId w:val="2"/>
      </w:numPr>
      <w:outlineLvl w:val="8"/>
    </w:pPr>
    <w:rPr/>
  </w:style>
  <w:style w:type="paragraph" w:styleId="11" w:customStyle="1">
    <w:name w:val="Название1"/>
    <w:basedOn w:val="Normal"/>
    <w:next w:val="Normal"/>
    <w:link w:val="Style5"/>
    <w:uiPriority w:val="10"/>
    <w:qFormat/>
    <w:rsid w:val="00222923"/>
    <w:pPr>
      <w:keepNext w:val="true"/>
      <w:keepLines/>
      <w:spacing w:lineRule="auto" w:line="240" w:before="120" w:after="300"/>
      <w:ind w:hanging="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98229f"/>
    <w:pPr>
      <w:ind w:firstLine="482"/>
    </w:pPr>
    <w:rPr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98229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12"/>
    <w:uiPriority w:val="34"/>
    <w:qFormat/>
    <w:rsid w:val="0098229f"/>
    <w:pPr>
      <w:spacing w:before="120" w:after="120"/>
      <w:contextualSpacing/>
      <w:jc w:val="start"/>
    </w:pPr>
    <w:rPr/>
  </w:style>
  <w:style w:type="paragraph" w:styleId="Quote">
    <w:name w:val="Quote"/>
    <w:basedOn w:val="Normal"/>
    <w:next w:val="Normal"/>
    <w:uiPriority w:val="29"/>
    <w:qFormat/>
    <w:rsid w:val="0098229f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8064A2"/>
    </w:rPr>
  </w:style>
  <w:style w:type="paragraph" w:styleId="DeletedPlaceholder1" w:customStyle="1">
    <w:name w:val="DeletedPlaceholder"/>
    <w:basedOn w:val="Normal"/>
    <w:next w:val="Normal"/>
    <w:link w:val="DeletedPlaceholder"/>
    <w:uiPriority w:val="29"/>
    <w:qFormat/>
    <w:rsid w:val="00eb0599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FF3F1F"/>
    </w:rPr>
  </w:style>
  <w:style w:type="paragraph" w:styleId="Warning" w:customStyle="1">
    <w:name w:val="Warning"/>
    <w:basedOn w:val="Normal"/>
    <w:next w:val="Normal"/>
    <w:link w:val="21"/>
    <w:uiPriority w:val="29"/>
    <w:qFormat/>
    <w:rsid w:val="0098229f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E36C0A"/>
    </w:rPr>
  </w:style>
  <w:style w:type="paragraph" w:styleId="QuoteMargin" w:customStyle="1">
    <w:name w:val="QuoteMargin"/>
    <w:qFormat/>
    <w:rsid w:val="0013305c"/>
    <w:pPr>
      <w:widowControl/>
      <w:suppressAutoHyphens w:val="true"/>
      <w:bidi w:val="0"/>
      <w:spacing w:lineRule="auto" w:line="276" w:before="120" w:after="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8229f"/>
    <w:pPr>
      <w:pBdr>
        <w:bottom w:val="single" w:sz="4" w:space="4" w:color="4F81BD"/>
      </w:pBdr>
      <w:spacing w:before="200" w:after="0"/>
      <w:ind w:start="936" w:end="936"/>
    </w:pPr>
    <w:rPr>
      <w:b/>
      <w:bCs/>
      <w:i/>
      <w:iCs/>
      <w:color w:val="4F81BD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98229f"/>
    <w:pPr>
      <w:numPr>
        <w:ilvl w:val="0"/>
        <w:numId w:val="1"/>
      </w:numPr>
      <w:outlineLvl w:val="9"/>
    </w:pPr>
    <w:rPr/>
  </w:style>
  <w:style w:type="paragraph" w:styleId="DocumentMap">
    <w:name w:val="Document Map"/>
    <w:basedOn w:val="Normal"/>
    <w:link w:val="Style8"/>
    <w:uiPriority w:val="99"/>
    <w:semiHidden/>
    <w:unhideWhenUsed/>
    <w:qFormat/>
    <w:rsid w:val="00222923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Style18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er">
    <w:name w:val="footer"/>
    <w:basedOn w:val="Normal"/>
    <w:link w:val="Style10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noteText">
    <w:name w:val="footnote text"/>
    <w:basedOn w:val="Normal"/>
    <w:rsid w:val="00f06394"/>
    <w:pPr>
      <w:spacing w:lineRule="auto" w:line="216"/>
    </w:pPr>
    <w:rPr>
      <w:sz w:val="20"/>
      <w:szCs w:val="20"/>
    </w:rPr>
  </w:style>
  <w:style w:type="paragraph" w:styleId="footnotetextunindented" w:customStyle="1">
    <w:name w:val="footnote text unindented"/>
    <w:basedOn w:val="Normalunindented"/>
    <w:qFormat/>
    <w:rsid w:val="00f06394"/>
    <w:pPr>
      <w:spacing w:lineRule="auto" w:line="216"/>
    </w:pPr>
    <w:rPr>
      <w:sz w:val="20"/>
      <w:szCs w:val="20"/>
    </w:rPr>
  </w:style>
  <w:style w:type="paragraph" w:styleId="listfootnotetext" w:customStyle="1">
    <w:name w:val="list footnote text"/>
    <w:basedOn w:val="ListParagraph"/>
    <w:qFormat/>
    <w:rsid w:val="00f06394"/>
    <w:pPr>
      <w:spacing w:lineRule="auto" w:line="216"/>
    </w:pPr>
    <w:rPr>
      <w:sz w:val="20"/>
      <w:szCs w:val="20"/>
    </w:rPr>
  </w:style>
  <w:style w:type="paragraph" w:styleId="NormalWeb">
    <w:name w:val="Normal (Web)"/>
    <w:qFormat/>
    <w:rsid w:val="005d2782"/>
    <w:pPr>
      <w:widowControl w:val="false"/>
      <w:suppressAutoHyphens w:val="true"/>
      <w:bidi w:val="0"/>
      <w:spacing w:lineRule="auto" w:line="276" w:before="0" w:after="200"/>
      <w:jc w:val="start"/>
    </w:pPr>
    <w:rPr>
      <w:rFonts w:ascii="Calibri" w:hAnsi="Calibri" w:eastAsia="DejaVu Sans" w:cs="Times New Roman"/>
      <w:color w:val="auto"/>
      <w:kern w:val="2"/>
      <w:sz w:val="22"/>
      <w:szCs w:val="22"/>
      <w:lang w:val="ru-RU" w:eastAsia="ar-SA" w:bidi="ar-SA"/>
    </w:rPr>
  </w:style>
  <w:style w:type="paragraph" w:styleId="Style19" w:customStyle="1">
    <w:name w:val="Таблицы (моноширинный)"/>
    <w:basedOn w:val="Normal"/>
    <w:next w:val="Normal"/>
    <w:qFormat/>
    <w:rsid w:val="0046354b"/>
    <w:pPr>
      <w:widowControl w:val="false"/>
      <w:suppressAutoHyphens w:val="true"/>
      <w:spacing w:lineRule="auto" w:line="240" w:before="0" w:after="0"/>
      <w:ind w:hanging="0"/>
    </w:pPr>
    <w:rPr>
      <w:rFonts w:ascii="Courier New" w:hAnsi="Courier New" w:eastAsia="MS Mincho" w:cs="Courier New"/>
      <w:sz w:val="20"/>
      <w:szCs w:val="20"/>
      <w:lang w:eastAsia="zh-CN"/>
    </w:rPr>
  </w:style>
  <w:style w:type="paragraph" w:styleId="formattext" w:customStyle="1">
    <w:name w:val="formattext"/>
    <w:basedOn w:val="Normal"/>
    <w:qFormat/>
    <w:rsid w:val="0046354b"/>
    <w:pPr>
      <w:suppressAutoHyphens w:val="true"/>
      <w:spacing w:lineRule="auto" w:line="240" w:before="280" w:after="280"/>
      <w:ind w:hanging="0"/>
      <w:jc w:val="start"/>
    </w:pPr>
    <w:rPr>
      <w:rFonts w:eastAsia="Calibri"/>
      <w:sz w:val="24"/>
      <w:szCs w:val="24"/>
      <w:lang w:eastAsia="zh-CN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609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 w:customStyle="1">
    <w:name w:val="Обычный1"/>
    <w:link w:val="CharChar"/>
    <w:qFormat/>
    <w:rsid w:val="0086650d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Стиль1"/>
    <w:basedOn w:val="Normal"/>
    <w:qFormat/>
    <w:rsid w:val="0055499c"/>
    <w:pPr>
      <w:keepNext w:val="true"/>
      <w:keepLines/>
      <w:widowControl w:val="false"/>
      <w:numPr>
        <w:ilvl w:val="0"/>
        <w:numId w:val="3"/>
      </w:numPr>
      <w:suppressLineNumbers/>
      <w:suppressAutoHyphens w:val="true"/>
      <w:spacing w:lineRule="auto" w:line="240" w:before="0" w:after="60"/>
      <w:jc w:val="start"/>
    </w:pPr>
    <w:rPr>
      <w:rFonts w:eastAsia="MS Mincho"/>
      <w:b/>
      <w:sz w:val="28"/>
      <w:szCs w:val="24"/>
    </w:rPr>
  </w:style>
  <w:style w:type="paragraph" w:styleId="23" w:customStyle="1">
    <w:name w:val="Стиль2"/>
    <w:basedOn w:val="ListNumber2"/>
    <w:qFormat/>
    <w:rsid w:val="0055499c"/>
    <w:pPr>
      <w:keepNext w:val="true"/>
      <w:keepLines/>
      <w:widowControl w:val="false"/>
      <w:suppressLineNumbers/>
      <w:suppressAutoHyphens w:val="true"/>
      <w:spacing w:lineRule="auto" w:line="240" w:before="0" w:after="60"/>
      <w:ind w:hanging="432" w:start="432"/>
      <w:contextualSpacing w:val="false"/>
    </w:pPr>
    <w:rPr>
      <w:rFonts w:eastAsia="MS Mincho"/>
      <w:b/>
      <w:sz w:val="24"/>
      <w:szCs w:val="20"/>
    </w:rPr>
  </w:style>
  <w:style w:type="paragraph" w:styleId="ListNumber2">
    <w:name w:val="List Number 2"/>
    <w:basedOn w:val="Normal"/>
    <w:uiPriority w:val="99"/>
    <w:semiHidden/>
    <w:unhideWhenUsed/>
    <w:rsid w:val="0055499c"/>
    <w:pPr>
      <w:tabs>
        <w:tab w:val="clear" w:pos="720"/>
        <w:tab w:val="left" w:pos="432" w:leader="none"/>
      </w:tabs>
      <w:spacing w:before="120" w:after="120"/>
      <w:ind w:hanging="432" w:start="432"/>
      <w:contextualSpacing/>
    </w:pPr>
    <w:rPr/>
  </w:style>
  <w:style w:type="paragraph" w:styleId="31" w:customStyle="1">
    <w:name w:val="Стиль3"/>
    <w:basedOn w:val="BodyTextIndent2"/>
    <w:qFormat/>
    <w:rsid w:val="0055499c"/>
    <w:pPr>
      <w:widowControl w:val="false"/>
      <w:numPr>
        <w:ilvl w:val="2"/>
        <w:numId w:val="3"/>
      </w:numPr>
      <w:tabs>
        <w:tab w:val="clear" w:pos="720"/>
      </w:tabs>
      <w:spacing w:lineRule="auto" w:line="240" w:before="0" w:after="0"/>
      <w:ind w:firstLine="482" w:start="283"/>
      <w:textAlignment w:val="baseline"/>
    </w:pPr>
    <w:rPr>
      <w:rFonts w:eastAsia="MS Mincho"/>
      <w:sz w:val="24"/>
      <w:szCs w:val="20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55499c"/>
    <w:pPr>
      <w:spacing w:lineRule="auto" w:line="480"/>
      <w:ind w:start="283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b959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b95929"/>
    <w:pPr/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4635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30F6-627B-4340-9215-97346265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Application>LibreOffice/25.8.0.4$Linux_X86_64 LibreOffice_project/48f00303701489684e67c38c28aff00cd5929e67</Application>
  <AppVersion>15.0000</AppVersion>
  <Pages>16</Pages>
  <Words>2386</Words>
  <Characters>17199</Characters>
  <CharactersWithSpaces>20296</CharactersWithSpaces>
  <Paragraphs>493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2025-01-09T04:10:00Z</dcterms:created>
  <dc:creator>Консультант Плюс</dc:creator>
  <dc:description>Консультант Плюс - Конструктор Договоров</dc:description>
  <dc:language>ru-RU</dc:language>
  <cp:lastModifiedBy/>
  <cp:lastPrinted>2023-03-16T23:06:00Z</cp:lastPrinted>
  <dcterms:modified xsi:type="dcterms:W3CDTF">2026-03-19T16:01:25Z</dcterms:modified>
  <cp:revision>54</cp:revision>
  <dc:subject/>
  <dc:title>Муниципальный контракт на оказание услуг № 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