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keepNext w:val="true"/>
        <w:keepLines/>
        <w:tabs>
          <w:tab w:val="clear" w:pos="708"/>
          <w:tab w:val="left" w:pos="360" w:leader="none"/>
        </w:tabs>
        <w:spacing w:before="240" w:after="0"/>
        <w:ind w:hang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Техническое задание </w:t>
      </w:r>
    </w:p>
    <w:p>
      <w:pPr>
        <w:pStyle w:val="ConsPlusNormal1"/>
        <w:tabs>
          <w:tab w:val="clear" w:pos="708"/>
          <w:tab w:val="left" w:pos="360" w:leader="none"/>
        </w:tabs>
        <w:spacing w:before="240" w:after="0"/>
        <w:ind w:hang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оказание услуг по техническому обслуживанию оборудования территориальной автоматизированной системы централизованного оповещения населения в г.Нягань в 2026 году</w:t>
      </w:r>
    </w:p>
    <w:p>
      <w:pPr>
        <w:pStyle w:val="Normal"/>
        <w:spacing w:before="0" w:after="0"/>
        <w:jc w:val="start"/>
        <w:rPr>
          <w:b/>
        </w:rPr>
      </w:pPr>
      <w:r>
        <w:rPr>
          <w:b/>
        </w:rPr>
        <w:t>Обязательные требования:</w:t>
      </w:r>
    </w:p>
    <w:p>
      <w:pPr>
        <w:pStyle w:val="Normal"/>
        <w:spacing w:before="0" w:after="0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Место оказания услуг: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4 мкр. 21;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ул. Чернышова, 42;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ул. Новая, 5;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ул. Майская, 3;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2 мкр. 36;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ул. 30 лет Победы, 13;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мкр. Энергетиков, 55;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ул. Интернациональная, 47;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г. Нягань, 3 мкр. 24.</w:t>
      </w:r>
    </w:p>
    <w:p>
      <w:pPr>
        <w:pStyle w:val="Normal"/>
        <w:spacing w:before="0" w:after="0"/>
        <w:ind w:firstLine="709"/>
        <w:jc w:val="start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</w:r>
    </w:p>
    <w:p>
      <w:pPr>
        <w:pStyle w:val="Normal"/>
        <w:spacing w:before="0" w:after="0"/>
        <w:ind w:firstLine="709"/>
        <w:jc w:val="start"/>
        <w:rPr>
          <w:rFonts w:eastAsia="MS Minngs"/>
          <w:b/>
          <w:color w:val="000000"/>
          <w:shd w:fill="FFFFFF" w:val="clear"/>
          <w:lang w:eastAsia="zh-CN"/>
        </w:rPr>
      </w:pPr>
      <w:r>
        <w:rPr>
          <w:rFonts w:eastAsia="MS Minngs"/>
          <w:b/>
          <w:color w:val="000000"/>
          <w:shd w:fill="FFFFFF" w:val="clear"/>
          <w:lang w:eastAsia="zh-CN"/>
        </w:rPr>
        <w:t>1.1. Общие положения: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1.1.1. Состояние технических средств Территориальной автоматизированной системы централизованного оповещения населения ХМАО-Югры, город Нягань (далее - Технические средства оповещения) определяется их соответствием техническим характеристикам, установленным в технических условиях (эксплуатационной документации).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1.1.2. Технические средства оповещения, в зависимости от технического состояния, оцениваются как исправные (работоспособные) и неисправные (неработоспособные).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1.1.3. Технические средства оповещения являются работоспособными, если они в состоянии выполнять заданные функции, сохраняя значения заданных параметров в пределах, установленных эксплуатационной документацией.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1.1.4. Технические средства оповещения являются неработоспособными, если значение хотя бы одного из параметров не соответствует нормам, установленным эксплуатационной документацией.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</w:r>
    </w:p>
    <w:p>
      <w:pPr>
        <w:pStyle w:val="Normal"/>
        <w:spacing w:before="0" w:after="0"/>
        <w:ind w:firstLine="709"/>
        <w:rPr>
          <w:rFonts w:eastAsia="MS Minngs"/>
          <w:b/>
          <w:color w:val="000000"/>
          <w:shd w:fill="FFFFFF" w:val="clear"/>
          <w:lang w:eastAsia="zh-CN"/>
        </w:rPr>
      </w:pPr>
      <w:r>
        <w:rPr>
          <w:rFonts w:eastAsia="MS Minngs"/>
          <w:b/>
          <w:color w:val="000000"/>
          <w:shd w:fill="FFFFFF" w:val="clear"/>
          <w:lang w:eastAsia="zh-CN"/>
        </w:rPr>
        <w:t>1.2. Организация технического обслуживания технических средств оповещения: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1.2.1. Организация технического обслуживания, контроль технического состояния и поддержание технических средств оповещения в постоянной готовности к применению по назначению осуществляются специалистами представителями заказчика, с привлечением организации Исполнителя (рабочей группой определенной внутренним нормативным актом заказчика).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1.2.2. К работам по проведению технического обслуживания технических средств оповещения допускаются работники, имеющие соответствующую профессиональную подготовку, что должно быть подтверждено дипломом, свидетельством или сертификатами о соответствующей квалификации от завода-изготовителя основного комплекса технических средств системы оповещения.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auto" w:val="clear"/>
          <w:lang w:eastAsia="zh-CN"/>
        </w:rPr>
        <w:t xml:space="preserve">1.2.3. </w:t>
      </w:r>
      <w:r>
        <w:rPr>
          <w:rFonts w:eastAsia="MS Minngs"/>
          <w:color w:val="000000"/>
          <w:shd w:fill="auto" w:val="clear"/>
          <w:lang w:eastAsia="zh-CN"/>
        </w:rPr>
        <w:t>Э</w:t>
      </w:r>
      <w:r>
        <w:rPr>
          <w:rFonts w:eastAsia="MS Minngs"/>
          <w:color w:val="000000"/>
          <w:shd w:fill="auto" w:val="clear"/>
          <w:lang w:eastAsia="zh-CN"/>
        </w:rPr>
        <w:t xml:space="preserve">ксплуатационно-техническое обслуживание технических средств оповещения осуществляется </w:t>
      </w:r>
      <w:r>
        <w:rPr>
          <w:rFonts w:eastAsia="MS Minngs"/>
          <w:color w:val="000000"/>
          <w:shd w:fill="auto" w:val="clear"/>
          <w:lang w:eastAsia="zh-CN"/>
        </w:rPr>
        <w:t>в</w:t>
      </w:r>
      <w:r>
        <w:rPr>
          <w:rFonts w:eastAsia="MS Minngs"/>
          <w:color w:val="000000"/>
          <w:shd w:fill="FFFFFF" w:val="clear"/>
          <w:lang w:eastAsia="zh-CN"/>
        </w:rPr>
        <w:t xml:space="preserve"> соответствии с Приказом МЧС России №579, Минкомсвязи России №366 от 31.07.2020 «Об утверждении Положения по организации эксплуатационно-технического обслуживания систем оповещения населения».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1.2.4. Основными задачами технического обслуживания технических средств оповещения является комплекс мероприятий, обеспечивающий: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 </w:t>
      </w:r>
      <w:r>
        <w:rPr>
          <w:rFonts w:eastAsia="MS Minngs"/>
          <w:color w:val="000000"/>
          <w:shd w:fill="FFFFFF" w:val="clear"/>
          <w:lang w:eastAsia="zh-CN"/>
        </w:rPr>
        <w:t>- контроль технического состояния (ТС);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 </w:t>
      </w:r>
      <w:r>
        <w:rPr>
          <w:rFonts w:eastAsia="MS Minngs"/>
          <w:color w:val="000000"/>
          <w:shd w:fill="FFFFFF" w:val="clear"/>
          <w:lang w:eastAsia="zh-CN"/>
        </w:rPr>
        <w:t>- поддержание комплекса технических средств в исправном состоянии;</w:t>
      </w:r>
      <w:bookmarkStart w:id="0" w:name="_GoBack"/>
      <w:bookmarkEnd w:id="0"/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 </w:t>
      </w:r>
      <w:r>
        <w:rPr>
          <w:rFonts w:eastAsia="MS Minngs"/>
          <w:color w:val="000000"/>
          <w:shd w:fill="FFFFFF" w:val="clear"/>
          <w:lang w:eastAsia="zh-CN"/>
        </w:rPr>
        <w:t>-выявление и устранение неисправностей, предупреждение отказов при работе комплекса технических средств;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 </w:t>
      </w:r>
      <w:r>
        <w:rPr>
          <w:rFonts w:eastAsia="MS Minngs"/>
          <w:color w:val="000000"/>
          <w:shd w:fill="FFFFFF" w:val="clear"/>
          <w:lang w:eastAsia="zh-CN"/>
        </w:rPr>
        <w:t>- обеспечение заданных параметров и характеристик в соответствии с требованиями, установленными эксплуатационно-технической документацией, поддержание заданных ресурсов комплекса технических средств.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анализ причин возникновения неисправностей;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продление сроков службы технических средств оповещения.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1.2.5. Для комплекса технических средств оповещения установлены следующие виды технического обслуживания: </w:t>
      </w:r>
    </w:p>
    <w:p>
      <w:pPr>
        <w:pStyle w:val="Normal"/>
        <w:spacing w:before="0" w:after="0"/>
        <w:ind w:firstLine="709"/>
        <w:rPr/>
      </w:pPr>
      <w:r>
        <w:rPr>
          <w:rFonts w:eastAsia="MS Minngs"/>
          <w:color w:val="000000"/>
          <w:shd w:fill="FFFFFF" w:val="clear"/>
          <w:lang w:eastAsia="zh-CN"/>
        </w:rPr>
        <w:t xml:space="preserve">1.2.5.1 Техническое обслуживание № 2 (ТО-2) проводится один раз в год с выключением и последующим запуском оборудования и предусматривает выполнение следующих основных работ, </w:t>
      </w:r>
      <w:r>
        <w:rPr>
          <w:rFonts w:eastAsia="MS Minngs"/>
          <w:color w:val="000000"/>
          <w:shd w:fill="auto" w:val="clear"/>
          <w:lang w:eastAsia="zh-CN"/>
        </w:rPr>
        <w:t>в соответствии с приказами Министерства по делам гражданской обороны, чрезвычайным ситуациям и ликвидации последствий стихийных бедствий Российской Федерации, Министерства цифрового развития связи и массовых коммуникаций  Российской Федерации от 31.07.2020 № 578/365 «Об утверждении Положения о системах оповещения населения», от 31.07.2020 № 579/366                  «Об утверждении Положения по организации эксплуатационно-технического обслуживания систем оповещения населения»: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наличия и состояния основных комплектующих блоков, средств измерений и запасного имущества;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проверка исправности источников электроснабжения и готовности их к применению;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проверка надежности крепления блоков и соединения электрических разъемов;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проверка наличия и правильности ведения эксплуатационно-технической документации;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детальный осмотр и очистка технических средств оповещения без вскрытия блоков;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работоспособности и проведения необходимых регулировок комплекса технических средств оповещения с использованием встроенных систем контроля и автономных средств измерений;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проведение, при необходимости, электрических и механических регулировок, а также чистка и смазка трущихся частей.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обновление программного обеспечения в случае необходимости;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отсутствия вредоносного ПО, полное сканирование системы;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удаленный мониторинг состояния оборудования и неисправностей;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измерение параметров и характеристик технических средств оповещения, установленных в эксплуатационной документации, и доведение их до заданных норм;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напряжений цепей вторичного электропитания;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питающих напряжений;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выходного напряжения источника;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чистка шкафов при помощи пылесоса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обучение специалистов ГО и ЧС работе с оборудованием РПУ;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контактов клеммных соединений;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температурных режимов, вентиляции;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чистка АРМ, рабочих мест оперативных дежурных;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контроль заполнения дискового пространства на предмет достижения предельного размера. Очистка дисков, перенос архивных данных на внешние носители (при необходимости);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резервное копирование баз данных;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металлосвязи с заземляющими устройствами;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проверка и ремонт соединительных кабелей и монтажа блока;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проверка и замену некачественных (неработоспособных) элементов технических средств оповещения при наличии ЗИП у Заказчика;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проверка правильности ведения формуляров (паспортов) и другой эксплуатационной документации и порядка их хранения.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Результаты ТО-2 и значения измеренных параметров заносятся в формуляры (паспорта).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1.2.5.2 Удаленный мониторинг работы оборудования системы оповещения осуществляется ежедневно и предусматривает выполнение следующих основных работ: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контроль технического состояния;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выявление неисправностей;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удаленное обновление программного обеспечения, в случае необходимости;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удаленная техническая поддержка.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1.2.6. Работоспособная система оповещения населения должна обеспечивать: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запуск блока ТКС оператором для оповещения должностных лиц по телефонам;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запуск GSM модуля оператором для оповещения должностных лиц по средствам SMS оповещения;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- запуск оповещения посредством теле - радио перехвата оператором для оповещения населения округа;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- передача речевого сообщения для диспетчерских служб округа с МРО.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1.2.7. Содержание работ (услуг) по каждому виду технического обслуживания технических средств оповещения определяется технологическими картами, составленными в соответствии с эксплуатационно-технической документацией для каждого типа технических средств оповещения, в которых приводятся перечни операций, последовательность и технология их выполнения, необходимые средства измерения, инструмент и расходные материалы. Технологические карты должны находятся на каждом объекте.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>1.2.8. Срок выполнения работ:</w:t>
      </w:r>
      <w:r>
        <w:rPr>
          <w:rFonts w:eastAsia="MS Minngs"/>
          <w:color w:val="000000"/>
          <w:shd w:fill="auto" w:val="clear"/>
          <w:lang w:eastAsia="zh-CN"/>
        </w:rPr>
        <w:t xml:space="preserve"> с даты заключения Договора по 30.09.2026 года.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highlight w:val="none"/>
          <w:shd w:fill="auto" w:val="clear"/>
          <w:lang w:eastAsia="zh-CN"/>
        </w:rPr>
      </w:pPr>
      <w:r>
        <w:rPr>
          <w:rFonts w:eastAsia="MS Minngs"/>
          <w:color w:val="000000"/>
          <w:shd w:fill="auto" w:val="clear"/>
          <w:lang w:eastAsia="zh-CN"/>
        </w:rPr>
      </w:r>
    </w:p>
    <w:p>
      <w:pPr>
        <w:pStyle w:val="Normal"/>
        <w:spacing w:before="0" w:after="0"/>
        <w:ind w:firstLine="709"/>
        <w:rPr>
          <w:rFonts w:eastAsia="MS Minngs"/>
          <w:b/>
          <w:color w:val="000000"/>
          <w:shd w:fill="FFFFFF" w:val="clear"/>
          <w:lang w:eastAsia="zh-CN"/>
        </w:rPr>
      </w:pPr>
      <w:r>
        <w:rPr>
          <w:rFonts w:eastAsia="MS Minngs"/>
          <w:b/>
          <w:color w:val="000000"/>
          <w:shd w:fill="FFFFFF" w:val="clear"/>
          <w:lang w:eastAsia="zh-CN"/>
        </w:rPr>
        <w:t>1.3. Организация аварийно-восстановительных работ технических средств оповещения: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1.3.1. Аварийно-восстановительные работы технических средств оповещения являются неплановыми и включают в себя работы (услуги) по восстановлению их работоспособности после отказов и повреждений путем замены неисправных блоков из комплекта ЗИП, имеющегося у Заказчика, и (или) восстановления отдельных составных блоков (элементов).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1.3.2. Аварийно-восстановительные работы проводятся специалистами эксплуатирующей организации, с привлечением, при необходимости, специалистов организации, производящей техническое обслуживание комплекса технических средств оповещения. </w:t>
      </w:r>
    </w:p>
    <w:p>
      <w:pPr>
        <w:pStyle w:val="Normal"/>
        <w:spacing w:before="0" w:after="0"/>
        <w:ind w:firstLine="709"/>
        <w:rPr>
          <w:rFonts w:eastAsia="MS Minngs"/>
          <w:color w:val="000000"/>
          <w:shd w:fill="FFFFFF" w:val="clear"/>
          <w:lang w:eastAsia="zh-CN"/>
        </w:rPr>
      </w:pPr>
      <w:r>
        <w:rPr>
          <w:rFonts w:eastAsia="MS Minngs"/>
          <w:color w:val="000000"/>
          <w:shd w:fill="FFFFFF" w:val="clear"/>
          <w:lang w:eastAsia="zh-CN"/>
        </w:rPr>
        <w:t xml:space="preserve">1.3.3. В процессе выполнения технического обслуживания должна проводиться работа по оценке эффективности профилактических мероприятий. </w:t>
      </w:r>
    </w:p>
    <w:p>
      <w:pPr>
        <w:pStyle w:val="Normal"/>
        <w:spacing w:before="0" w:after="0"/>
        <w:ind w:firstLine="709"/>
        <w:rPr/>
      </w:pPr>
      <w:r>
        <w:rPr>
          <w:rFonts w:eastAsia="MS Minngs"/>
          <w:color w:val="000000"/>
          <w:shd w:fill="FFFFFF" w:val="clear"/>
          <w:lang w:eastAsia="zh-CN"/>
        </w:rPr>
        <w:t>На основе этой работы содержание технического обслуживания уточняется и корректируется</w:t>
      </w:r>
      <w:r>
        <w:rPr/>
        <w:t>.</w:t>
      </w:r>
    </w:p>
    <w:p>
      <w:pPr>
        <w:pStyle w:val="Normal"/>
        <w:spacing w:before="120" w:after="0"/>
        <w:ind w:firstLine="709"/>
        <w:rPr/>
      </w:pPr>
      <w:r>
        <w:rPr>
          <w:b/>
        </w:rPr>
        <w:t>Требования к гарантийному сроку услуги:</w:t>
      </w:r>
      <w:r>
        <w:rPr/>
        <w:t xml:space="preserve"> на весь период действия Договора.</w:t>
      </w:r>
    </w:p>
    <w:p>
      <w:pPr>
        <w:pStyle w:val="Normal"/>
        <w:spacing w:before="120" w:after="0"/>
        <w:ind w:firstLine="709"/>
        <w:rPr/>
      </w:pPr>
      <w:r>
        <w:rPr>
          <w:b/>
        </w:rPr>
        <w:t>Требования к объему предоставления гарантий качества работы, услуги:</w:t>
      </w:r>
      <w:r>
        <w:rPr/>
        <w:t xml:space="preserve"> согласно условиям Договора, Технического задания.</w:t>
      </w:r>
    </w:p>
    <w:p>
      <w:pPr>
        <w:pStyle w:val="Normal"/>
        <w:keepNext w:val="true"/>
        <w:keepLines/>
        <w:widowControl w:val="false"/>
        <w:spacing w:before="12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40" w:before="0" w:after="60"/>
        <w:jc w:val="both"/>
        <w:rPr/>
      </w:pPr>
      <w:r>
        <w:rPr/>
      </w:r>
    </w:p>
    <w:sectPr>
      <w:type w:val="nextPage"/>
      <w:pgSz w:orient="landscape" w:w="16838" w:h="11906"/>
      <w:pgMar w:left="567" w:right="539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08bf"/>
    <w:pPr>
      <w:widowControl/>
      <w:suppressAutoHyphens w:val="true"/>
      <w:bidi w:val="0"/>
      <w:spacing w:lineRule="auto" w:line="240"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b308bf"/>
    <w:rPr>
      <w:rFonts w:ascii="Arial" w:hAnsi="Arial" w:eastAsia="Times New Roman" w:cs="Arial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37440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d3744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3744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37440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1" w:customStyle="1">
    <w:name w:val="ConsPlusNormal"/>
    <w:link w:val="ConsPlusNormal"/>
    <w:qFormat/>
    <w:rsid w:val="00b308bf"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308bf"/>
    <w:pPr>
      <w:spacing w:before="0" w:after="60"/>
      <w:ind w:start="720"/>
      <w:contextualSpacing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d3744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d37440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37440"/>
    <w:pPr>
      <w:spacing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LibreOffice/25.8.0.4$Linux_X86_64 LibreOffice_project/48f00303701489684e67c38c28aff00cd5929e67</Application>
  <AppVersion>15.0000</AppVersion>
  <Pages>3</Pages>
  <Words>944</Words>
  <Characters>7309</Characters>
  <CharactersWithSpaces>8223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2026-03-06T06:29:00Z</dcterms:created>
  <dc:creator>Брагарь Г.В.</dc:creator>
  <dc:description/>
  <dc:language>ru-RU</dc:language>
  <cp:lastModifiedBy/>
  <dcterms:modified xsi:type="dcterms:W3CDTF">2026-03-20T10:23:29Z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