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_rels/item1.xml.rels" ContentType="application/vnd.openxmlformats-package.relationship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sdt>
      <w:sdtPr>
        <w:docPartObj>
          <w:docPartGallery w:val="Cover Pages"/>
          <w:docPartUnique w:val="true"/>
        </w:docPartObj>
        <w:id w:val="1593358495"/>
      </w:sdtPr>
      <w:sdtContent>
        <w:p>
          <w:pPr>
            <w:pStyle w:val="Normal"/>
            <w:widowControl w:val="false"/>
            <w:tabs>
              <w:tab w:val="clear" w:pos="708"/>
              <w:tab w:val="left" w:pos="1134" w:leader="none"/>
            </w:tabs>
            <w:ind w:firstLine="567"/>
            <w:jc w:val="center"/>
            <w:rPr>
              <w:b/>
              <w:caps/>
              <w:sz w:val="23"/>
              <w:szCs w:val="23"/>
            </w:rPr>
          </w:pPr>
          <w:r>
            <w:rPr>
              <w:b/>
              <w:caps/>
              <w:sz w:val="23"/>
              <w:szCs w:val="23"/>
            </w:rPr>
          </w:r>
          <w:bookmarkStart w:id="0" w:name="_GoBack"/>
          <w:bookmarkStart w:id="1" w:name="_GoBack"/>
          <w:bookmarkEnd w:id="1"/>
        </w:p>
        <w:p>
          <w:pPr>
            <w:pStyle w:val="Normal"/>
            <w:widowControl w:val="false"/>
            <w:tabs>
              <w:tab w:val="clear" w:pos="708"/>
              <w:tab w:val="left" w:pos="1134" w:leader="none"/>
            </w:tabs>
            <w:ind w:firstLine="567"/>
            <w:jc w:val="center"/>
            <w:rPr>
              <w:b/>
              <w:caps/>
              <w:sz w:val="23"/>
              <w:szCs w:val="23"/>
            </w:rPr>
          </w:pPr>
          <w:r>
            <w:rPr>
              <w:b/>
              <w:caps/>
              <w:sz w:val="23"/>
              <w:szCs w:val="23"/>
            </w:rPr>
          </w:r>
        </w:p>
        <w:p>
          <w:pPr>
            <w:pStyle w:val="Normal"/>
            <w:widowControl w:val="false"/>
            <w:tabs>
              <w:tab w:val="clear" w:pos="708"/>
              <w:tab w:val="left" w:pos="1134" w:leader="none"/>
            </w:tabs>
            <w:ind w:firstLine="567"/>
            <w:jc w:val="center"/>
            <w:rPr>
              <w:b/>
              <w:caps/>
              <w:sz w:val="23"/>
              <w:szCs w:val="23"/>
            </w:rPr>
          </w:pPr>
          <w:r>
            <w:rPr>
              <w:b/>
              <w:caps/>
              <w:sz w:val="23"/>
              <w:szCs w:val="23"/>
            </w:rPr>
            <w:t>ТЕХНИЧЕСКОЕ ЗАДАНИЕ</w:t>
          </w:r>
        </w:p>
        <w:p>
          <w:pPr>
            <w:pStyle w:val="Normal"/>
            <w:widowControl w:val="false"/>
            <w:tabs>
              <w:tab w:val="clear" w:pos="708"/>
              <w:tab w:val="left" w:pos="1134" w:leader="none"/>
            </w:tabs>
            <w:ind w:firstLine="567"/>
            <w:jc w:val="center"/>
            <w:rPr>
              <w:b/>
              <w:caps/>
              <w:sz w:val="23"/>
              <w:szCs w:val="23"/>
            </w:rPr>
          </w:pPr>
          <w:r>
            <w:rPr>
              <w:b/>
              <w:caps/>
              <w:sz w:val="23"/>
              <w:szCs w:val="23"/>
            </w:rPr>
          </w:r>
        </w:p>
        <w:p>
          <w:pPr>
            <w:pStyle w:val="Style23"/>
            <w:keepNext w:val="false"/>
            <w:widowControl w:val="false"/>
            <w:tabs>
              <w:tab w:val="clear" w:pos="708"/>
              <w:tab w:val="left" w:pos="1134" w:leader="none"/>
            </w:tabs>
            <w:spacing w:lineRule="auto" w:line="240" w:before="0" w:after="0"/>
            <w:ind w:firstLine="567"/>
            <w:rPr>
              <w:rFonts w:cs="Times New Roman"/>
              <w:b/>
              <w:sz w:val="23"/>
              <w:szCs w:val="23"/>
            </w:rPr>
          </w:pPr>
          <w:r>
            <w:rPr>
              <w:rFonts w:cs="Times New Roman"/>
              <w:sz w:val="23"/>
              <w:szCs w:val="23"/>
            </w:rPr>
            <w:t>на оказание услуг по техническому сопровождению специального программного обеспечения центра обработки вызовов (ЦОВ) и резервного центра обработки вызовов (РЦОВ) Автоматизированная информационная система «Система взаимодействия экстренных оперативных служб при вызовах по единому номеру «112» в Республике Тыва»</w:t>
          </w:r>
        </w:p>
        <w:p>
          <w:pPr>
            <w:pStyle w:val="Style23"/>
            <w:keepNext w:val="false"/>
            <w:widowControl w:val="false"/>
            <w:tabs>
              <w:tab w:val="clear" w:pos="708"/>
              <w:tab w:val="left" w:pos="1134" w:leader="none"/>
            </w:tabs>
            <w:spacing w:lineRule="auto" w:line="240" w:before="0" w:after="0"/>
            <w:ind w:firstLine="567"/>
            <w:jc w:val="center"/>
            <w:rPr>
              <w:rFonts w:cs="Times New Roman"/>
              <w:b/>
              <w:sz w:val="23"/>
              <w:szCs w:val="23"/>
            </w:rPr>
          </w:pPr>
          <w:r>
            <w:rPr>
              <w:rFonts w:cs="Times New Roman"/>
              <w:b/>
              <w:sz w:val="23"/>
              <w:szCs w:val="23"/>
            </w:rPr>
          </w:r>
        </w:p>
        <w:p>
          <w:pPr>
            <w:pStyle w:val="Style23"/>
            <w:keepNext w:val="false"/>
            <w:widowControl w:val="false"/>
            <w:tabs>
              <w:tab w:val="clear" w:pos="708"/>
              <w:tab w:val="left" w:pos="1134" w:leader="none"/>
            </w:tabs>
            <w:spacing w:lineRule="auto" w:line="240" w:before="0" w:after="0"/>
            <w:ind w:firstLine="567"/>
            <w:jc w:val="center"/>
            <w:rPr>
              <w:rFonts w:cs="Times New Roman"/>
              <w:b/>
              <w:sz w:val="23"/>
              <w:szCs w:val="23"/>
            </w:rPr>
          </w:pPr>
          <w:r>
            <w:rPr>
              <w:rFonts w:cs="Times New Roman"/>
              <w:b/>
              <w:sz w:val="23"/>
              <w:szCs w:val="23"/>
            </w:rPr>
          </w:r>
        </w:p>
        <w:p>
          <w:pPr>
            <w:pStyle w:val="Style23"/>
            <w:keepNext w:val="false"/>
            <w:widowControl w:val="false"/>
            <w:tabs>
              <w:tab w:val="clear" w:pos="708"/>
              <w:tab w:val="left" w:pos="1134" w:leader="none"/>
            </w:tabs>
            <w:spacing w:lineRule="auto" w:line="240" w:before="0" w:after="0"/>
            <w:ind w:firstLine="567"/>
            <w:jc w:val="center"/>
            <w:rPr>
              <w:rFonts w:cs="Times New Roman"/>
              <w:b/>
              <w:sz w:val="23"/>
              <w:szCs w:val="23"/>
            </w:rPr>
          </w:pPr>
          <w:r>
            <w:rPr>
              <w:rFonts w:cs="Times New Roman"/>
              <w:b/>
              <w:sz w:val="23"/>
              <w:szCs w:val="23"/>
            </w:rPr>
          </w:r>
        </w:p>
        <w:p>
          <w:pPr>
            <w:pStyle w:val="Normal"/>
            <w:rPr>
              <w:sz w:val="23"/>
              <w:szCs w:val="23"/>
            </w:rPr>
          </w:pPr>
          <w:r>
            <w:rPr>
              <w:sz w:val="23"/>
              <w:szCs w:val="23"/>
            </w:rPr>
          </w:r>
          <w:r>
            <w:br w:type="page"/>
          </w:r>
        </w:p>
        <w:p>
          <w:pPr>
            <w:pStyle w:val="Heading1"/>
            <w:numPr>
              <w:ilvl w:val="0"/>
              <w:numId w:val="0"/>
            </w:numPr>
            <w:spacing w:lineRule="auto" w:line="240" w:before="0" w:after="0"/>
            <w:ind w:hanging="0" w:start="709"/>
            <w:jc w:val="center"/>
            <w:rPr>
              <w:sz w:val="23"/>
              <w:szCs w:val="23"/>
            </w:rPr>
          </w:pPr>
          <w:r>
            <w:rPr>
              <w:sz w:val="23"/>
              <w:szCs w:val="23"/>
            </w:rPr>
            <w:t>Определения, обозначения и сокращения</w:t>
          </w:r>
        </w:p>
        <w:p>
          <w:pPr>
            <w:pStyle w:val="Normal"/>
            <w:widowControl w:val="false"/>
            <w:tabs>
              <w:tab w:val="clear" w:pos="708"/>
              <w:tab w:val="left" w:pos="1134" w:leader="none"/>
            </w:tabs>
            <w:ind w:firstLine="567"/>
            <w:jc w:val="both"/>
            <w:rPr>
              <w:sz w:val="23"/>
              <w:szCs w:val="23"/>
            </w:rPr>
          </w:pPr>
          <w:r>
            <w:rPr>
              <w:sz w:val="23"/>
              <w:szCs w:val="23"/>
            </w:rPr>
            <w:t>Перечень принятых сокращений приведён в таблице:</w:t>
          </w:r>
        </w:p>
        <w:p>
          <w:pPr>
            <w:pStyle w:val="Caption"/>
            <w:keepNext w:val="false"/>
            <w:widowControl w:val="false"/>
            <w:tabs>
              <w:tab w:val="clear" w:pos="708"/>
              <w:tab w:val="left" w:pos="1134" w:leader="none"/>
            </w:tabs>
            <w:spacing w:lineRule="auto" w:line="240" w:before="0" w:after="0"/>
            <w:ind w:firstLine="567"/>
            <w:jc w:val="end"/>
            <w:outlineLvl w:val="9"/>
            <w:rPr>
              <w:rFonts w:cs="Times New Roman"/>
              <w:sz w:val="23"/>
              <w:szCs w:val="23"/>
            </w:rPr>
          </w:pPr>
          <w:r>
            <w:rPr>
              <w:rFonts w:cs="Times New Roman"/>
              <w:sz w:val="23"/>
              <w:szCs w:val="23"/>
            </w:rPr>
            <w:t xml:space="preserve">Таблица </w:t>
          </w:r>
          <w:r>
            <w:rPr>
              <w:rFonts w:cs="Times New Roman"/>
              <w:sz w:val="23"/>
              <w:szCs w:val="23"/>
            </w:rPr>
            <w:fldChar w:fldCharType="begin"/>
          </w:r>
          <w:r>
            <w:rPr>
              <w:sz w:val="23"/>
              <w:szCs w:val="23"/>
              <w:rFonts w:cs="Times New Roman"/>
            </w:rPr>
            <w:instrText xml:space="preserve"> SEQ Таблица \* ARABIC </w:instrText>
          </w:r>
          <w:r>
            <w:rPr>
              <w:sz w:val="23"/>
              <w:szCs w:val="23"/>
              <w:rFonts w:cs="Times New Roman"/>
            </w:rPr>
            <w:fldChar w:fldCharType="separate"/>
          </w:r>
          <w:r>
            <w:rPr>
              <w:sz w:val="23"/>
              <w:szCs w:val="23"/>
              <w:rFonts w:cs="Times New Roman"/>
            </w:rPr>
            <w:t>1</w:t>
          </w:r>
          <w:r>
            <w:rPr>
              <w:sz w:val="23"/>
              <w:szCs w:val="23"/>
              <w:rFonts w:cs="Times New Roman"/>
            </w:rPr>
            <w:fldChar w:fldCharType="end"/>
          </w:r>
          <w:r>
            <w:rPr>
              <w:rFonts w:cs="Times New Roman"/>
              <w:sz w:val="23"/>
              <w:szCs w:val="23"/>
            </w:rPr>
            <w:t xml:space="preserve"> – Перечень принятых сокращений</w:t>
          </w:r>
        </w:p>
      </w:sdtContent>
    </w:sdt>
    <w:tbl>
      <w:tblPr>
        <w:tblStyle w:val="afd"/>
        <w:tblW w:w="5000" w:type="pct"/>
        <w:jc w:val="start"/>
        <w:tblInd w:w="0" w:type="dxa"/>
        <w:tblLayout w:type="fixed"/>
        <w:tblCellMar>
          <w:top w:w="0" w:type="dxa"/>
          <w:start w:w="57" w:type="dxa"/>
          <w:bottom w:w="0" w:type="dxa"/>
          <w:end w:w="57" w:type="dxa"/>
        </w:tblCellMar>
        <w:tblLook w:val="04a0" w:noHBand="0" w:noVBand="1" w:firstColumn="1" w:lastRow="0" w:lastColumn="0" w:firstRow="1"/>
      </w:tblPr>
      <w:tblGrid>
        <w:gridCol w:w="2146"/>
        <w:gridCol w:w="7918"/>
      </w:tblGrid>
      <w:tr>
        <w:trPr>
          <w:tblHeader w:val="true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46" w:type="dxa"/>
            <w:tcBorders/>
            <w:vAlign w:val="center"/>
          </w:tcPr>
          <w:p>
            <w:pPr>
              <w:pStyle w:val="Style26"/>
              <w:keepNext w:val="true"/>
              <w:widowControl w:val="false"/>
              <w:spacing w:before="0" w:after="0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b/>
                <w:kern w:val="0"/>
                <w:sz w:val="23"/>
                <w:szCs w:val="23"/>
                <w:lang w:val="ru-RU" w:bidi="ar-SA"/>
              </w:rPr>
              <w:t>Сокращение</w:t>
            </w:r>
          </w:p>
        </w:tc>
        <w:tc>
          <w:tcPr>
            <w:tcW w:w="7918" w:type="dxa"/>
            <w:tcBorders/>
            <w:vAlign w:val="center"/>
          </w:tcPr>
          <w:p>
            <w:pPr>
              <w:pStyle w:val="Style26"/>
              <w:keepNext w:val="true"/>
              <w:widowControl w:val="false"/>
              <w:spacing w:before="0" w:after="0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b/>
                <w:kern w:val="0"/>
                <w:sz w:val="23"/>
                <w:szCs w:val="23"/>
                <w:lang w:val="ru-RU" w:bidi="ar-SA"/>
              </w:rPr>
              <w:t>Расшифровка</w:t>
            </w:r>
          </w:p>
        </w:tc>
      </w:tr>
      <w:tr>
        <w:trPr/>
        <w:tc>
          <w:tcPr>
            <w:tcW w:w="2146" w:type="dxa"/>
            <w:tcBorders/>
            <w:vAlign w:val="center"/>
          </w:tcPr>
          <w:p>
            <w:pPr>
              <w:pStyle w:val="Style26"/>
              <w:widowControl w:val="false"/>
              <w:spacing w:before="0" w:after="0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kern w:val="0"/>
                <w:sz w:val="23"/>
                <w:szCs w:val="23"/>
                <w:lang w:val="ru-RU" w:bidi="ar-SA"/>
              </w:rPr>
              <w:t>АРМ</w:t>
            </w:r>
          </w:p>
        </w:tc>
        <w:tc>
          <w:tcPr>
            <w:tcW w:w="7918" w:type="dxa"/>
            <w:tcBorders/>
            <w:vAlign w:val="center"/>
          </w:tcPr>
          <w:p>
            <w:pPr>
              <w:pStyle w:val="Style26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ind w:start="64"/>
              <w:jc w:val="both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kern w:val="0"/>
                <w:sz w:val="23"/>
                <w:szCs w:val="23"/>
                <w:lang w:val="ru-RU" w:bidi="ar-SA"/>
              </w:rPr>
              <w:t>Автоматизированное рабочее место системы 112</w:t>
            </w:r>
          </w:p>
        </w:tc>
      </w:tr>
      <w:tr>
        <w:trPr/>
        <w:tc>
          <w:tcPr>
            <w:tcW w:w="2146" w:type="dxa"/>
            <w:tcBorders/>
            <w:vAlign w:val="center"/>
          </w:tcPr>
          <w:p>
            <w:pPr>
              <w:pStyle w:val="Style26"/>
              <w:widowControl w:val="false"/>
              <w:spacing w:before="0" w:after="0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kern w:val="0"/>
                <w:sz w:val="23"/>
                <w:szCs w:val="23"/>
                <w:lang w:val="ru-RU" w:bidi="ar-SA"/>
              </w:rPr>
              <w:t>АИС Система-112,</w:t>
            </w:r>
          </w:p>
          <w:p>
            <w:pPr>
              <w:pStyle w:val="Style26"/>
              <w:widowControl w:val="false"/>
              <w:spacing w:before="0" w:after="0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kern w:val="0"/>
                <w:sz w:val="23"/>
                <w:szCs w:val="23"/>
                <w:lang w:val="ru-RU" w:bidi="ar-SA"/>
              </w:rPr>
              <w:t>Система-112</w:t>
            </w:r>
          </w:p>
        </w:tc>
        <w:tc>
          <w:tcPr>
            <w:tcW w:w="7918" w:type="dxa"/>
            <w:tcBorders/>
            <w:vAlign w:val="center"/>
          </w:tcPr>
          <w:p>
            <w:pPr>
              <w:pStyle w:val="Style26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ind w:start="64"/>
              <w:jc w:val="both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kern w:val="0"/>
                <w:sz w:val="23"/>
                <w:szCs w:val="23"/>
                <w:lang w:val="ru-RU" w:bidi="ar-SA"/>
              </w:rPr>
              <w:t xml:space="preserve">Автоматизированная информационная система «Система взаимодействия экстренных оперативных служб при вызовах по единому номеру «112» </w:t>
            </w:r>
          </w:p>
          <w:p>
            <w:pPr>
              <w:pStyle w:val="Style26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ind w:start="64"/>
              <w:jc w:val="both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kern w:val="0"/>
                <w:sz w:val="23"/>
                <w:szCs w:val="23"/>
                <w:lang w:val="ru-RU" w:bidi="ar-SA"/>
              </w:rPr>
              <w:t>в Республике Тыва»</w:t>
            </w:r>
          </w:p>
        </w:tc>
      </w:tr>
      <w:tr>
        <w:trPr/>
        <w:tc>
          <w:tcPr>
            <w:tcW w:w="2146" w:type="dxa"/>
            <w:tcBorders/>
            <w:vAlign w:val="center"/>
          </w:tcPr>
          <w:p>
            <w:pPr>
              <w:pStyle w:val="Style26"/>
              <w:widowControl w:val="false"/>
              <w:spacing w:before="0" w:after="0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kern w:val="0"/>
                <w:sz w:val="23"/>
                <w:szCs w:val="23"/>
                <w:lang w:val="ru-RU" w:bidi="ar-SA"/>
              </w:rPr>
              <w:t>АТС</w:t>
            </w:r>
          </w:p>
        </w:tc>
        <w:tc>
          <w:tcPr>
            <w:tcW w:w="7918" w:type="dxa"/>
            <w:tcBorders/>
            <w:vAlign w:val="center"/>
          </w:tcPr>
          <w:p>
            <w:pPr>
              <w:pStyle w:val="Style26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ind w:start="64"/>
              <w:jc w:val="both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kern w:val="0"/>
                <w:sz w:val="23"/>
                <w:szCs w:val="23"/>
                <w:lang w:val="ru-RU" w:bidi="ar-SA"/>
              </w:rPr>
              <w:t>Автоматическая телефонная станция</w:t>
            </w:r>
          </w:p>
        </w:tc>
      </w:tr>
      <w:tr>
        <w:trPr/>
        <w:tc>
          <w:tcPr>
            <w:tcW w:w="2146" w:type="dxa"/>
            <w:tcBorders/>
            <w:vAlign w:val="center"/>
          </w:tcPr>
          <w:p>
            <w:pPr>
              <w:pStyle w:val="Style26"/>
              <w:widowControl w:val="false"/>
              <w:spacing w:before="0" w:after="0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kern w:val="0"/>
                <w:sz w:val="23"/>
                <w:szCs w:val="23"/>
                <w:lang w:val="ru-RU" w:bidi="ar-SA"/>
              </w:rPr>
              <w:t>ГИС</w:t>
            </w:r>
          </w:p>
        </w:tc>
        <w:tc>
          <w:tcPr>
            <w:tcW w:w="7918" w:type="dxa"/>
            <w:tcBorders/>
            <w:vAlign w:val="center"/>
          </w:tcPr>
          <w:p>
            <w:pPr>
              <w:pStyle w:val="Style26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ind w:start="64"/>
              <w:jc w:val="both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kern w:val="0"/>
                <w:sz w:val="23"/>
                <w:szCs w:val="23"/>
                <w:lang w:val="ru-RU" w:bidi="ar-SA"/>
              </w:rPr>
              <w:t>Геоинформационная система</w:t>
            </w:r>
          </w:p>
        </w:tc>
      </w:tr>
      <w:tr>
        <w:trPr/>
        <w:tc>
          <w:tcPr>
            <w:tcW w:w="2146" w:type="dxa"/>
            <w:tcBorders/>
            <w:vAlign w:val="center"/>
          </w:tcPr>
          <w:p>
            <w:pPr>
              <w:pStyle w:val="Style26"/>
              <w:widowControl w:val="false"/>
              <w:spacing w:before="0" w:after="0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kern w:val="0"/>
                <w:sz w:val="23"/>
                <w:szCs w:val="23"/>
                <w:lang w:val="ru-RU" w:bidi="ar-SA"/>
              </w:rPr>
              <w:t>ДДС</w:t>
            </w:r>
          </w:p>
        </w:tc>
        <w:tc>
          <w:tcPr>
            <w:tcW w:w="7918" w:type="dxa"/>
            <w:tcBorders/>
            <w:vAlign w:val="center"/>
          </w:tcPr>
          <w:p>
            <w:pPr>
              <w:pStyle w:val="Style26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ind w:start="64"/>
              <w:jc w:val="both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kern w:val="0"/>
                <w:sz w:val="23"/>
                <w:szCs w:val="23"/>
                <w:lang w:val="ru-RU" w:bidi="ar-SA"/>
              </w:rPr>
              <w:t>Дежурно-диспетчерская служба экстренных оперативных служб</w:t>
            </w:r>
          </w:p>
        </w:tc>
      </w:tr>
      <w:tr>
        <w:trPr/>
        <w:tc>
          <w:tcPr>
            <w:tcW w:w="2146" w:type="dxa"/>
            <w:tcBorders/>
            <w:vAlign w:val="center"/>
          </w:tcPr>
          <w:p>
            <w:pPr>
              <w:pStyle w:val="Style26"/>
              <w:widowControl w:val="false"/>
              <w:spacing w:before="0" w:after="0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kern w:val="0"/>
                <w:sz w:val="23"/>
                <w:szCs w:val="23"/>
                <w:lang w:val="ru-RU" w:bidi="ar-SA"/>
              </w:rPr>
              <w:t>ЕДДС</w:t>
            </w:r>
          </w:p>
        </w:tc>
        <w:tc>
          <w:tcPr>
            <w:tcW w:w="7918" w:type="dxa"/>
            <w:tcBorders/>
            <w:vAlign w:val="center"/>
          </w:tcPr>
          <w:p>
            <w:pPr>
              <w:pStyle w:val="Style26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ind w:start="64"/>
              <w:jc w:val="both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kern w:val="0"/>
                <w:sz w:val="23"/>
                <w:szCs w:val="23"/>
                <w:lang w:val="ru-RU" w:bidi="ar-SA"/>
              </w:rPr>
              <w:t>Единая дежурно-диспетчерская служба</w:t>
            </w:r>
          </w:p>
        </w:tc>
      </w:tr>
      <w:tr>
        <w:trPr/>
        <w:tc>
          <w:tcPr>
            <w:tcW w:w="2146" w:type="dxa"/>
            <w:tcBorders/>
            <w:vAlign w:val="center"/>
          </w:tcPr>
          <w:p>
            <w:pPr>
              <w:pStyle w:val="Style26"/>
              <w:widowControl w:val="false"/>
              <w:spacing w:before="0" w:after="0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kern w:val="0"/>
                <w:sz w:val="23"/>
                <w:szCs w:val="23"/>
                <w:lang w:val="ru-RU" w:bidi="ar-SA"/>
              </w:rPr>
              <w:t>МО</w:t>
            </w:r>
          </w:p>
        </w:tc>
        <w:tc>
          <w:tcPr>
            <w:tcW w:w="7918" w:type="dxa"/>
            <w:tcBorders/>
            <w:vAlign w:val="center"/>
          </w:tcPr>
          <w:p>
            <w:pPr>
              <w:pStyle w:val="Style26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ind w:start="64"/>
              <w:jc w:val="both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kern w:val="0"/>
                <w:sz w:val="23"/>
                <w:szCs w:val="23"/>
                <w:lang w:val="ru-RU" w:bidi="ar-SA"/>
              </w:rPr>
              <w:t>Муниципальные образования Республики Тыва</w:t>
            </w:r>
          </w:p>
        </w:tc>
      </w:tr>
      <w:tr>
        <w:trPr/>
        <w:tc>
          <w:tcPr>
            <w:tcW w:w="2146" w:type="dxa"/>
            <w:tcBorders/>
            <w:vAlign w:val="center"/>
          </w:tcPr>
          <w:p>
            <w:pPr>
              <w:pStyle w:val="Style26"/>
              <w:widowControl w:val="false"/>
              <w:spacing w:before="0" w:after="0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kern w:val="0"/>
                <w:sz w:val="23"/>
                <w:szCs w:val="23"/>
                <w:lang w:val="ru-RU" w:bidi="ar-SA"/>
              </w:rPr>
              <w:t>МНИС ГЛОНАСС</w:t>
            </w:r>
          </w:p>
        </w:tc>
        <w:tc>
          <w:tcPr>
            <w:tcW w:w="7918" w:type="dxa"/>
            <w:tcBorders/>
            <w:vAlign w:val="center"/>
          </w:tcPr>
          <w:p>
            <w:pPr>
              <w:pStyle w:val="Style26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ind w:start="64"/>
              <w:jc w:val="both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kern w:val="0"/>
                <w:sz w:val="23"/>
                <w:szCs w:val="23"/>
                <w:lang w:val="ru-RU" w:bidi="ar-SA"/>
              </w:rPr>
              <w:t>Многоуровневая навигационно-информационная система мониторинга транспортных средств МЧС России</w:t>
            </w:r>
          </w:p>
        </w:tc>
      </w:tr>
      <w:tr>
        <w:trPr/>
        <w:tc>
          <w:tcPr>
            <w:tcW w:w="2146" w:type="dxa"/>
            <w:tcBorders/>
          </w:tcPr>
          <w:p>
            <w:pPr>
              <w:pStyle w:val="Style26"/>
              <w:widowControl w:val="false"/>
              <w:spacing w:before="0" w:after="0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kern w:val="0"/>
                <w:sz w:val="23"/>
                <w:szCs w:val="23"/>
                <w:lang w:val="ru-RU" w:bidi="ar-SA"/>
              </w:rPr>
              <w:t>Региональный ЦУКС МЧС России</w:t>
            </w:r>
          </w:p>
        </w:tc>
        <w:tc>
          <w:tcPr>
            <w:tcW w:w="7918" w:type="dxa"/>
            <w:tcBorders/>
          </w:tcPr>
          <w:p>
            <w:pPr>
              <w:pStyle w:val="Style26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ind w:start="64"/>
              <w:jc w:val="both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kern w:val="0"/>
                <w:sz w:val="23"/>
                <w:szCs w:val="23"/>
                <w:lang w:val="ru-RU" w:bidi="ar-SA"/>
              </w:rPr>
              <w:t>Центр управления в кризисных ситуациях главного управления Министерства Российской Федерации по делам гражданской обороны, чрезвычайным ситуациям и ликвидации последствий стихийных бедствий по Республике Тыва</w:t>
            </w:r>
          </w:p>
        </w:tc>
      </w:tr>
      <w:tr>
        <w:trPr/>
        <w:tc>
          <w:tcPr>
            <w:tcW w:w="2146" w:type="dxa"/>
            <w:tcBorders/>
          </w:tcPr>
          <w:p>
            <w:pPr>
              <w:pStyle w:val="Style26"/>
              <w:widowControl w:val="false"/>
              <w:spacing w:before="0" w:after="0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kern w:val="0"/>
                <w:sz w:val="23"/>
                <w:szCs w:val="23"/>
                <w:lang w:val="ru-RU" w:bidi="ar-SA"/>
              </w:rPr>
              <w:t>Отчетный период</w:t>
            </w:r>
          </w:p>
        </w:tc>
        <w:tc>
          <w:tcPr>
            <w:tcW w:w="7918" w:type="dxa"/>
            <w:tcBorders/>
          </w:tcPr>
          <w:p>
            <w:pPr>
              <w:pStyle w:val="Style26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ind w:start="64"/>
              <w:jc w:val="both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kern w:val="0"/>
                <w:sz w:val="23"/>
                <w:szCs w:val="23"/>
                <w:lang w:val="ru-RU" w:bidi="ar-SA"/>
              </w:rPr>
              <w:t>Отчетным периодом оказания услуг является – 1 (один) календарный месяц</w:t>
            </w:r>
          </w:p>
        </w:tc>
      </w:tr>
      <w:tr>
        <w:trPr/>
        <w:tc>
          <w:tcPr>
            <w:tcW w:w="2146" w:type="dxa"/>
            <w:tcBorders/>
            <w:vAlign w:val="center"/>
          </w:tcPr>
          <w:p>
            <w:pPr>
              <w:pStyle w:val="Style26"/>
              <w:widowControl w:val="false"/>
              <w:spacing w:before="0" w:after="0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kern w:val="0"/>
                <w:sz w:val="23"/>
                <w:szCs w:val="23"/>
                <w:lang w:val="ru-RU" w:bidi="ar-SA"/>
              </w:rPr>
              <w:t>ПО</w:t>
            </w:r>
          </w:p>
        </w:tc>
        <w:tc>
          <w:tcPr>
            <w:tcW w:w="7918" w:type="dxa"/>
            <w:tcBorders/>
            <w:vAlign w:val="center"/>
          </w:tcPr>
          <w:p>
            <w:pPr>
              <w:pStyle w:val="Style26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ind w:start="64"/>
              <w:jc w:val="both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kern w:val="0"/>
                <w:sz w:val="23"/>
                <w:szCs w:val="23"/>
                <w:lang w:val="ru-RU" w:bidi="ar-SA"/>
              </w:rPr>
              <w:t>Программное обеспечение</w:t>
            </w:r>
          </w:p>
        </w:tc>
      </w:tr>
      <w:tr>
        <w:trPr/>
        <w:tc>
          <w:tcPr>
            <w:tcW w:w="2146" w:type="dxa"/>
            <w:tcBorders/>
            <w:vAlign w:val="center"/>
          </w:tcPr>
          <w:p>
            <w:pPr>
              <w:pStyle w:val="Style26"/>
              <w:widowControl w:val="false"/>
              <w:spacing w:before="0" w:after="0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kern w:val="0"/>
                <w:sz w:val="23"/>
                <w:szCs w:val="23"/>
                <w:lang w:val="ru-RU" w:bidi="ar-SA"/>
              </w:rPr>
              <w:t>ПТК УД</w:t>
            </w:r>
          </w:p>
        </w:tc>
        <w:tc>
          <w:tcPr>
            <w:tcW w:w="7918" w:type="dxa"/>
            <w:tcBorders/>
            <w:vAlign w:val="center"/>
          </w:tcPr>
          <w:p>
            <w:pPr>
              <w:pStyle w:val="Style26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ind w:start="64"/>
              <w:jc w:val="both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kern w:val="0"/>
                <w:sz w:val="23"/>
                <w:szCs w:val="23"/>
                <w:lang w:val="ru-RU" w:bidi="ar-SA"/>
              </w:rPr>
              <w:t>Программно-технический комплекс удаленного доступа</w:t>
            </w:r>
          </w:p>
        </w:tc>
      </w:tr>
      <w:tr>
        <w:trPr/>
        <w:tc>
          <w:tcPr>
            <w:tcW w:w="2146" w:type="dxa"/>
            <w:tcBorders/>
            <w:vAlign w:val="center"/>
          </w:tcPr>
          <w:p>
            <w:pPr>
              <w:pStyle w:val="Style26"/>
              <w:widowControl w:val="false"/>
              <w:spacing w:before="0" w:after="0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kern w:val="0"/>
                <w:sz w:val="23"/>
                <w:szCs w:val="23"/>
                <w:lang w:val="ru-RU" w:bidi="ar-SA"/>
              </w:rPr>
              <w:t>ПК АДИС</w:t>
            </w:r>
          </w:p>
        </w:tc>
        <w:tc>
          <w:tcPr>
            <w:tcW w:w="7918" w:type="dxa"/>
            <w:tcBorders/>
            <w:vAlign w:val="center"/>
          </w:tcPr>
          <w:p>
            <w:pPr>
              <w:pStyle w:val="Style26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ind w:start="64"/>
              <w:jc w:val="both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kern w:val="0"/>
                <w:sz w:val="23"/>
                <w:szCs w:val="23"/>
                <w:lang w:val="ru-RU" w:bidi="ar-SA"/>
              </w:rPr>
              <w:t>Программный комплекс автоматизации диспетчерской службы скорой медицинской помощи</w:t>
            </w:r>
          </w:p>
        </w:tc>
      </w:tr>
      <w:tr>
        <w:trPr/>
        <w:tc>
          <w:tcPr>
            <w:tcW w:w="2146" w:type="dxa"/>
            <w:tcBorders/>
            <w:vAlign w:val="center"/>
          </w:tcPr>
          <w:p>
            <w:pPr>
              <w:pStyle w:val="Style26"/>
              <w:widowControl w:val="false"/>
              <w:spacing w:before="0" w:after="0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kern w:val="0"/>
                <w:sz w:val="23"/>
                <w:szCs w:val="23"/>
                <w:lang w:val="ru-RU" w:bidi="ar-SA"/>
              </w:rPr>
              <w:t>РЦОВ</w:t>
            </w:r>
          </w:p>
        </w:tc>
        <w:tc>
          <w:tcPr>
            <w:tcW w:w="7918" w:type="dxa"/>
            <w:tcBorders/>
            <w:vAlign w:val="center"/>
          </w:tcPr>
          <w:p>
            <w:pPr>
              <w:pStyle w:val="Style26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ind w:start="64"/>
              <w:jc w:val="both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kern w:val="0"/>
                <w:sz w:val="23"/>
                <w:szCs w:val="23"/>
                <w:lang w:val="ru-RU" w:bidi="ar-SA"/>
              </w:rPr>
              <w:t>Резервный центр обработки вызовов административного центра Республики Тыва, г. Кызыл</w:t>
            </w:r>
          </w:p>
        </w:tc>
      </w:tr>
      <w:tr>
        <w:trPr/>
        <w:tc>
          <w:tcPr>
            <w:tcW w:w="2146" w:type="dxa"/>
            <w:tcBorders/>
            <w:vAlign w:val="center"/>
          </w:tcPr>
          <w:p>
            <w:pPr>
              <w:pStyle w:val="Style26"/>
              <w:widowControl w:val="false"/>
              <w:spacing w:before="0" w:after="0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kern w:val="0"/>
                <w:sz w:val="23"/>
                <w:szCs w:val="23"/>
                <w:lang w:val="ru-RU" w:bidi="ar-SA"/>
              </w:rPr>
              <w:t>СПО-112</w:t>
            </w:r>
          </w:p>
        </w:tc>
        <w:tc>
          <w:tcPr>
            <w:tcW w:w="7918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ind w:start="64"/>
              <w:jc w:val="both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Специальное программное обеспечение, подлежащее техническому сопровождению в рамках оказания услуг по настоящему Техническому заданию в составе: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pacing w:before="0" w:after="0"/>
              <w:ind w:hanging="0" w:start="64"/>
              <w:contextualSpacing/>
              <w:jc w:val="both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Программное обеспечение «Интеграционно-аналитическая сервисная платформа ПРОТЕЙ», IASP PROTEI. Правообладатель ООО «НТЦ ПРОТЕЙ» (ИНН 7825483961) в составе программных компонентов (модулей), указанных в пункте 1.1. настоящего Технического задания;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pacing w:before="0" w:after="0"/>
              <w:ind w:hanging="142" w:start="209"/>
              <w:contextualSpacing/>
              <w:jc w:val="both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 xml:space="preserve">ПО </w:t>
            </w:r>
            <w:r>
              <w:rPr>
                <w:kern w:val="0"/>
                <w:sz w:val="23"/>
                <w:szCs w:val="23"/>
                <w:lang w:val="en-US" w:bidi="ar-SA"/>
              </w:rPr>
              <w:t xml:space="preserve">Call </w:t>
            </w:r>
            <w:r>
              <w:rPr>
                <w:kern w:val="0"/>
                <w:sz w:val="23"/>
                <w:szCs w:val="23"/>
                <w:lang w:val="ru-RU" w:bidi="ar-SA"/>
              </w:rPr>
              <w:t>центра</w:t>
            </w:r>
          </w:p>
        </w:tc>
      </w:tr>
      <w:tr>
        <w:trPr/>
        <w:tc>
          <w:tcPr>
            <w:tcW w:w="2146" w:type="dxa"/>
            <w:tcBorders/>
            <w:vAlign w:val="center"/>
          </w:tcPr>
          <w:p>
            <w:pPr>
              <w:pStyle w:val="Style26"/>
              <w:widowControl w:val="false"/>
              <w:spacing w:before="0" w:after="0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kern w:val="0"/>
                <w:sz w:val="23"/>
                <w:szCs w:val="23"/>
                <w:lang w:val="ru-RU" w:bidi="ar-SA"/>
              </w:rPr>
              <w:t>СУИ</w:t>
            </w:r>
          </w:p>
        </w:tc>
        <w:tc>
          <w:tcPr>
            <w:tcW w:w="7918" w:type="dxa"/>
            <w:tcBorders/>
            <w:vAlign w:val="center"/>
          </w:tcPr>
          <w:p>
            <w:pPr>
              <w:pStyle w:val="Style26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ind w:start="64"/>
              <w:jc w:val="both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kern w:val="0"/>
                <w:sz w:val="23"/>
                <w:szCs w:val="23"/>
                <w:lang w:val="ru-RU" w:bidi="ar-SA"/>
              </w:rPr>
              <w:t>Система управления инцидентами</w:t>
            </w:r>
          </w:p>
        </w:tc>
      </w:tr>
      <w:tr>
        <w:trPr/>
        <w:tc>
          <w:tcPr>
            <w:tcW w:w="2146" w:type="dxa"/>
            <w:tcBorders/>
            <w:vAlign w:val="center"/>
          </w:tcPr>
          <w:p>
            <w:pPr>
              <w:pStyle w:val="Style26"/>
              <w:widowControl w:val="false"/>
              <w:spacing w:before="0" w:after="0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kern w:val="0"/>
                <w:sz w:val="23"/>
                <w:szCs w:val="23"/>
                <w:lang w:val="ru-RU" w:bidi="ar-SA"/>
              </w:rPr>
              <w:t>СОДЧ ИСОД МВД России</w:t>
            </w:r>
          </w:p>
        </w:tc>
        <w:tc>
          <w:tcPr>
            <w:tcW w:w="7918" w:type="dxa"/>
            <w:tcBorders/>
            <w:vAlign w:val="center"/>
          </w:tcPr>
          <w:p>
            <w:pPr>
              <w:pStyle w:val="Style26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ind w:start="64"/>
              <w:jc w:val="both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kern w:val="0"/>
                <w:sz w:val="23"/>
                <w:szCs w:val="23"/>
                <w:lang w:val="ru-RU" w:bidi="ar-SA"/>
              </w:rPr>
              <w:t>Сервис обеспечения деятельности дежурных частей информационно-аналитического обеспечения деятельности МВД России</w:t>
            </w:r>
          </w:p>
        </w:tc>
      </w:tr>
      <w:tr>
        <w:trPr/>
        <w:tc>
          <w:tcPr>
            <w:tcW w:w="2146" w:type="dxa"/>
            <w:tcBorders/>
            <w:vAlign w:val="center"/>
          </w:tcPr>
          <w:p>
            <w:pPr>
              <w:pStyle w:val="Style26"/>
              <w:widowControl w:val="false"/>
              <w:spacing w:before="0" w:after="0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kern w:val="0"/>
                <w:sz w:val="23"/>
                <w:szCs w:val="23"/>
                <w:lang w:val="ru-RU" w:bidi="ar-SA"/>
              </w:rPr>
              <w:t>ТЗ</w:t>
            </w:r>
          </w:p>
        </w:tc>
        <w:tc>
          <w:tcPr>
            <w:tcW w:w="7918" w:type="dxa"/>
            <w:tcBorders/>
            <w:vAlign w:val="center"/>
          </w:tcPr>
          <w:p>
            <w:pPr>
              <w:pStyle w:val="Style26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ind w:start="64"/>
              <w:jc w:val="both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kern w:val="0"/>
                <w:sz w:val="23"/>
                <w:szCs w:val="23"/>
                <w:lang w:val="ru-RU" w:bidi="ar-SA"/>
              </w:rPr>
              <w:t>Техническое задание</w:t>
            </w:r>
          </w:p>
        </w:tc>
      </w:tr>
      <w:tr>
        <w:trPr/>
        <w:tc>
          <w:tcPr>
            <w:tcW w:w="2146" w:type="dxa"/>
            <w:tcBorders/>
            <w:vAlign w:val="center"/>
          </w:tcPr>
          <w:p>
            <w:pPr>
              <w:pStyle w:val="Style26"/>
              <w:widowControl w:val="false"/>
              <w:spacing w:before="0" w:after="0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kern w:val="0"/>
                <w:sz w:val="23"/>
                <w:szCs w:val="23"/>
                <w:lang w:val="ru-RU" w:bidi="ar-SA"/>
              </w:rPr>
              <w:t>ТСМН</w:t>
            </w:r>
          </w:p>
        </w:tc>
        <w:tc>
          <w:tcPr>
            <w:tcW w:w="7918" w:type="dxa"/>
            <w:tcBorders/>
            <w:vAlign w:val="center"/>
          </w:tcPr>
          <w:p>
            <w:pPr>
              <w:pStyle w:val="Style26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ind w:start="64"/>
              <w:jc w:val="both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kern w:val="0"/>
                <w:sz w:val="23"/>
                <w:szCs w:val="23"/>
                <w:lang w:val="ru-RU" w:bidi="ar-SA"/>
              </w:rPr>
              <w:t>Технические средства обработки информации о месте нахождения пользовательского оборудования, с которого были осуществлен вызов или передача сообщения о происшествии по единому номеру вызова экстренных оперативных служб «112»</w:t>
            </w:r>
          </w:p>
        </w:tc>
      </w:tr>
      <w:tr>
        <w:trPr/>
        <w:tc>
          <w:tcPr>
            <w:tcW w:w="2146" w:type="dxa"/>
            <w:tcBorders/>
            <w:vAlign w:val="center"/>
          </w:tcPr>
          <w:p>
            <w:pPr>
              <w:pStyle w:val="Style26"/>
              <w:widowControl w:val="false"/>
              <w:spacing w:before="0" w:after="0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kern w:val="0"/>
                <w:sz w:val="23"/>
                <w:szCs w:val="23"/>
                <w:lang w:val="ru-RU" w:bidi="ar-SA"/>
              </w:rPr>
              <w:t>ТСКС</w:t>
            </w:r>
          </w:p>
        </w:tc>
        <w:tc>
          <w:tcPr>
            <w:tcW w:w="7918" w:type="dxa"/>
            <w:tcBorders/>
            <w:vAlign w:val="center"/>
          </w:tcPr>
          <w:p>
            <w:pPr>
              <w:pStyle w:val="Style26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ind w:start="64"/>
              <w:jc w:val="both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kern w:val="0"/>
                <w:sz w:val="23"/>
                <w:szCs w:val="23"/>
                <w:lang w:val="ru-RU" w:bidi="ar-SA"/>
              </w:rPr>
              <w:t>Технические средства обработки информации о месте нахождения пользовательского оборудования, с которого была осуществлена передача короткого текстового сообщения о происшествии по единому номеру вызова экстренных оперативных служб «112»</w:t>
            </w:r>
          </w:p>
        </w:tc>
      </w:tr>
      <w:tr>
        <w:trPr/>
        <w:tc>
          <w:tcPr>
            <w:tcW w:w="2146" w:type="dxa"/>
            <w:tcBorders/>
            <w:vAlign w:val="center"/>
          </w:tcPr>
          <w:p>
            <w:pPr>
              <w:pStyle w:val="Style26"/>
              <w:widowControl w:val="false"/>
              <w:spacing w:before="0" w:after="0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kern w:val="0"/>
                <w:sz w:val="23"/>
                <w:szCs w:val="23"/>
                <w:lang w:val="ru-RU" w:bidi="ar-SA"/>
              </w:rPr>
              <w:t>ТФОП</w:t>
            </w:r>
          </w:p>
        </w:tc>
        <w:tc>
          <w:tcPr>
            <w:tcW w:w="7918" w:type="dxa"/>
            <w:tcBorders/>
            <w:vAlign w:val="center"/>
          </w:tcPr>
          <w:p>
            <w:pPr>
              <w:pStyle w:val="Style26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ind w:start="64"/>
              <w:jc w:val="both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kern w:val="0"/>
                <w:sz w:val="23"/>
                <w:szCs w:val="23"/>
                <w:lang w:val="ru-RU" w:bidi="ar-SA"/>
              </w:rPr>
              <w:t>Телефонная сеть общего пользования</w:t>
            </w:r>
          </w:p>
        </w:tc>
      </w:tr>
      <w:tr>
        <w:trPr/>
        <w:tc>
          <w:tcPr>
            <w:tcW w:w="2146" w:type="dxa"/>
            <w:tcBorders/>
            <w:vAlign w:val="center"/>
          </w:tcPr>
          <w:p>
            <w:pPr>
              <w:pStyle w:val="Style26"/>
              <w:widowControl w:val="false"/>
              <w:spacing w:before="0" w:after="0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kern w:val="0"/>
                <w:sz w:val="23"/>
                <w:szCs w:val="23"/>
                <w:lang w:val="ru-RU" w:bidi="ar-SA"/>
              </w:rPr>
              <w:t>УКИО</w:t>
            </w:r>
          </w:p>
        </w:tc>
        <w:tc>
          <w:tcPr>
            <w:tcW w:w="7918" w:type="dxa"/>
            <w:tcBorders/>
            <w:vAlign w:val="center"/>
          </w:tcPr>
          <w:p>
            <w:pPr>
              <w:pStyle w:val="Style26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ind w:start="64"/>
              <w:jc w:val="both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kern w:val="0"/>
                <w:sz w:val="23"/>
                <w:szCs w:val="23"/>
                <w:lang w:val="ru-RU" w:bidi="ar-SA"/>
              </w:rPr>
              <w:t xml:space="preserve">Унифицированная карточка информационного обмена системы обеспечения вызова экстренных оперативных служб по единому номеру «112» </w:t>
            </w:r>
          </w:p>
        </w:tc>
      </w:tr>
      <w:tr>
        <w:trPr/>
        <w:tc>
          <w:tcPr>
            <w:tcW w:w="2146" w:type="dxa"/>
            <w:tcBorders/>
            <w:vAlign w:val="center"/>
          </w:tcPr>
          <w:p>
            <w:pPr>
              <w:pStyle w:val="Style26"/>
              <w:widowControl w:val="false"/>
              <w:spacing w:before="0" w:after="0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kern w:val="0"/>
                <w:sz w:val="23"/>
                <w:szCs w:val="23"/>
                <w:lang w:val="ru-RU" w:bidi="ar-SA"/>
              </w:rPr>
              <w:t>УСПО-112</w:t>
            </w:r>
          </w:p>
        </w:tc>
        <w:tc>
          <w:tcPr>
            <w:tcW w:w="7918" w:type="dxa"/>
            <w:tcBorders/>
            <w:vAlign w:val="center"/>
          </w:tcPr>
          <w:p>
            <w:pPr>
              <w:pStyle w:val="Style26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ind w:start="64"/>
              <w:jc w:val="both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kern w:val="0"/>
                <w:sz w:val="23"/>
                <w:szCs w:val="23"/>
                <w:lang w:val="ru-RU" w:bidi="ar-SA"/>
              </w:rPr>
              <w:t xml:space="preserve">Унифицированное (универсальное) специальное программное обеспечение системы-112, ограниченно используемое в соответствии с условиями, указанными в пункте 1.2 настоящего Технического задания. </w:t>
            </w:r>
          </w:p>
        </w:tc>
      </w:tr>
      <w:tr>
        <w:trPr/>
        <w:tc>
          <w:tcPr>
            <w:tcW w:w="2146" w:type="dxa"/>
            <w:tcBorders/>
            <w:vAlign w:val="center"/>
          </w:tcPr>
          <w:p>
            <w:pPr>
              <w:pStyle w:val="Style26"/>
              <w:widowControl w:val="false"/>
              <w:spacing w:before="0" w:after="0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kern w:val="0"/>
                <w:sz w:val="23"/>
                <w:szCs w:val="23"/>
                <w:lang w:val="ru-RU" w:bidi="ar-SA"/>
              </w:rPr>
              <w:t>УОВЭОС</w:t>
            </w:r>
          </w:p>
        </w:tc>
        <w:tc>
          <w:tcPr>
            <w:tcW w:w="7918" w:type="dxa"/>
            <w:tcBorders/>
            <w:vAlign w:val="center"/>
          </w:tcPr>
          <w:p>
            <w:pPr>
              <w:pStyle w:val="Style26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ind w:start="64"/>
              <w:jc w:val="both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kern w:val="0"/>
                <w:sz w:val="23"/>
                <w:szCs w:val="23"/>
                <w:lang w:val="ru-RU" w:bidi="ar-SA"/>
              </w:rPr>
              <w:t>Узел обслуживания вызовов экстренных оперативных служб</w:t>
            </w:r>
          </w:p>
        </w:tc>
      </w:tr>
      <w:tr>
        <w:trPr/>
        <w:tc>
          <w:tcPr>
            <w:tcW w:w="2146" w:type="dxa"/>
            <w:tcBorders/>
            <w:vAlign w:val="center"/>
          </w:tcPr>
          <w:p>
            <w:pPr>
              <w:pStyle w:val="Style26"/>
              <w:widowControl w:val="false"/>
              <w:spacing w:before="0" w:after="0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kern w:val="0"/>
                <w:sz w:val="23"/>
                <w:szCs w:val="23"/>
                <w:lang w:val="ru-RU" w:bidi="ar-SA"/>
              </w:rPr>
              <w:t>ЦОВ</w:t>
            </w:r>
          </w:p>
        </w:tc>
        <w:tc>
          <w:tcPr>
            <w:tcW w:w="7918" w:type="dxa"/>
            <w:tcBorders/>
            <w:vAlign w:val="center"/>
          </w:tcPr>
          <w:p>
            <w:pPr>
              <w:pStyle w:val="Style26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ind w:start="64"/>
              <w:jc w:val="both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kern w:val="0"/>
                <w:sz w:val="23"/>
                <w:szCs w:val="23"/>
                <w:lang w:val="ru-RU" w:bidi="ar-SA"/>
              </w:rPr>
              <w:t xml:space="preserve">Центр обработки вызовов </w:t>
            </w:r>
          </w:p>
        </w:tc>
      </w:tr>
      <w:tr>
        <w:trPr/>
        <w:tc>
          <w:tcPr>
            <w:tcW w:w="2146" w:type="dxa"/>
            <w:tcBorders/>
            <w:vAlign w:val="center"/>
          </w:tcPr>
          <w:p>
            <w:pPr>
              <w:pStyle w:val="Style26"/>
              <w:widowControl w:val="false"/>
              <w:spacing w:before="0" w:after="0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kern w:val="0"/>
                <w:sz w:val="23"/>
                <w:szCs w:val="23"/>
                <w:lang w:val="ru-RU" w:bidi="ar-SA"/>
              </w:rPr>
              <w:t>ЭРА-ГЛОНАСС</w:t>
            </w:r>
          </w:p>
        </w:tc>
        <w:tc>
          <w:tcPr>
            <w:tcW w:w="7918" w:type="dxa"/>
            <w:tcBorders/>
            <w:vAlign w:val="center"/>
          </w:tcPr>
          <w:p>
            <w:pPr>
              <w:pStyle w:val="Style26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ind w:start="64"/>
              <w:jc w:val="both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kern w:val="0"/>
                <w:sz w:val="23"/>
                <w:szCs w:val="23"/>
                <w:lang w:val="ru-RU" w:bidi="ar-SA"/>
              </w:rPr>
              <w:t xml:space="preserve">Система экстренного реагирования при авариях, основанная на применении российских средств глобальной спутниковой навигации, ГЛОНАСС, и систем спутникового мониторинга транспорта </w:t>
            </w:r>
          </w:p>
        </w:tc>
      </w:tr>
      <w:tr>
        <w:trPr/>
        <w:tc>
          <w:tcPr>
            <w:tcW w:w="2146" w:type="dxa"/>
            <w:tcBorders/>
            <w:vAlign w:val="center"/>
          </w:tcPr>
          <w:p>
            <w:pPr>
              <w:pStyle w:val="Style26"/>
              <w:widowControl w:val="false"/>
              <w:spacing w:before="0" w:after="0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eastAsia="MS Mincho" w:cs="Times New Roman"/>
                <w:kern w:val="0"/>
                <w:sz w:val="23"/>
                <w:szCs w:val="23"/>
                <w:lang w:val="ru-RU" w:bidi="ar-SA"/>
              </w:rPr>
              <w:t>Call центр</w:t>
            </w:r>
          </w:p>
        </w:tc>
        <w:tc>
          <w:tcPr>
            <w:tcW w:w="7918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ind w:start="64"/>
              <w:jc w:val="both"/>
              <w:rPr>
                <w:rFonts w:eastAsia="MS Mincho"/>
                <w:sz w:val="23"/>
                <w:szCs w:val="23"/>
              </w:rPr>
            </w:pPr>
            <w:r>
              <w:rPr>
                <w:rFonts w:eastAsia="MS Mincho"/>
                <w:kern w:val="0"/>
                <w:sz w:val="23"/>
                <w:szCs w:val="23"/>
                <w:lang w:val="ru-RU" w:bidi="ar-SA"/>
              </w:rPr>
              <w:t>Неотъемлемая часть компонентов телекоммуникационной подсистемы Системы-112, состоящей из функциональности программно-аппаратных средств, оснащенных программным обеспечением «Программный комплекс «Протей-imSwitch» в составе:</w:t>
            </w:r>
          </w:p>
          <w:p>
            <w:pPr>
              <w:pStyle w:val="Normal"/>
              <w:widowControl/>
              <w:spacing w:before="0" w:after="0"/>
              <w:ind w:start="64"/>
              <w:jc w:val="both"/>
              <w:rPr>
                <w:rFonts w:eastAsia="MS Mincho"/>
                <w:sz w:val="23"/>
                <w:szCs w:val="23"/>
              </w:rPr>
            </w:pPr>
            <w:r>
              <w:rPr>
                <w:rFonts w:eastAsia="MS Mincho"/>
                <w:kern w:val="0"/>
                <w:sz w:val="23"/>
                <w:szCs w:val="23"/>
                <w:lang w:val="ru-RU" w:bidi="ar-SA"/>
              </w:rPr>
              <w:t>- Многофункциональный интеллектуальный шлюз Tiger.MSC.60/2000;</w:t>
            </w:r>
          </w:p>
          <w:p>
            <w:pPr>
              <w:pStyle w:val="Normal"/>
              <w:widowControl/>
              <w:spacing w:before="0" w:after="0"/>
              <w:ind w:start="64"/>
              <w:jc w:val="both"/>
              <w:rPr>
                <w:rFonts w:eastAsia="MS Mincho"/>
                <w:sz w:val="23"/>
                <w:szCs w:val="23"/>
              </w:rPr>
            </w:pPr>
            <w:r>
              <w:rPr>
                <w:rFonts w:eastAsia="MS Mincho"/>
                <w:kern w:val="0"/>
                <w:sz w:val="23"/>
                <w:szCs w:val="23"/>
                <w:lang w:val="ru-RU" w:bidi="ar-SA"/>
              </w:rPr>
              <w:t>- Протей-imSwitch5 Автоматическая телефонная станция.</w:t>
            </w:r>
          </w:p>
          <w:p>
            <w:pPr>
              <w:pStyle w:val="Normal"/>
              <w:widowControl/>
              <w:spacing w:before="0" w:after="0"/>
              <w:ind w:start="64"/>
              <w:jc w:val="both"/>
              <w:rPr>
                <w:sz w:val="23"/>
                <w:szCs w:val="23"/>
              </w:rPr>
            </w:pPr>
            <w:bookmarkStart w:id="2" w:name="_Hlk178011381"/>
            <w:r>
              <w:rPr>
                <w:kern w:val="0"/>
                <w:sz w:val="23"/>
                <w:szCs w:val="23"/>
                <w:lang w:val="ru-RU" w:bidi="ru-RU"/>
              </w:rPr>
              <w:t xml:space="preserve">Количественные характеристики </w:t>
            </w:r>
            <w:bookmarkEnd w:id="2"/>
            <w:r>
              <w:rPr>
                <w:kern w:val="0"/>
                <w:sz w:val="23"/>
                <w:szCs w:val="23"/>
                <w:lang w:val="ru-RU" w:bidi="ru-RU"/>
              </w:rPr>
              <w:t>указанного оборудования, определены в Приложении № 2 к настоящему Техническому заданию.</w:t>
            </w:r>
          </w:p>
        </w:tc>
      </w:tr>
      <w:tr>
        <w:trPr/>
        <w:tc>
          <w:tcPr>
            <w:tcW w:w="2146" w:type="dxa"/>
            <w:tcBorders/>
            <w:vAlign w:val="center"/>
          </w:tcPr>
          <w:p>
            <w:pPr>
              <w:pStyle w:val="Style26"/>
              <w:widowControl w:val="false"/>
              <w:spacing w:before="0" w:after="0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kern w:val="0"/>
                <w:sz w:val="23"/>
                <w:szCs w:val="23"/>
                <w:lang w:val="ru-RU" w:bidi="ar-SA"/>
              </w:rPr>
              <w:t>SLA</w:t>
            </w:r>
          </w:p>
        </w:tc>
        <w:tc>
          <w:tcPr>
            <w:tcW w:w="7918" w:type="dxa"/>
            <w:tcBorders/>
            <w:vAlign w:val="center"/>
          </w:tcPr>
          <w:p>
            <w:pPr>
              <w:pStyle w:val="Style26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ind w:start="64"/>
              <w:jc w:val="both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kern w:val="0"/>
                <w:sz w:val="23"/>
                <w:szCs w:val="23"/>
                <w:lang w:val="ru-RU" w:bidi="ar-SA"/>
              </w:rPr>
              <w:t>Соглашение об уровне предоставления услуги (англ. ServiceLevelAgreement, SLA) — термин методологии ITIL, обозначающий формальный договор между заказчиком услуги и её исполнителем, содержащий описание услуги, права и обязанности сторон и, самое главное, согласованный уровень качества предоставления данной услуги</w:t>
            </w:r>
          </w:p>
        </w:tc>
      </w:tr>
      <w:tr>
        <w:trPr/>
        <w:tc>
          <w:tcPr>
            <w:tcW w:w="2146" w:type="dxa"/>
            <w:tcBorders/>
            <w:vAlign w:val="center"/>
          </w:tcPr>
          <w:p>
            <w:pPr>
              <w:pStyle w:val="Style26"/>
              <w:widowControl w:val="false"/>
              <w:spacing w:before="0" w:after="0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kern w:val="0"/>
                <w:sz w:val="23"/>
                <w:szCs w:val="23"/>
                <w:lang w:val="ru-RU" w:bidi="ar-SA"/>
              </w:rPr>
              <w:t>НСД</w:t>
            </w:r>
          </w:p>
        </w:tc>
        <w:tc>
          <w:tcPr>
            <w:tcW w:w="7918" w:type="dxa"/>
            <w:tcBorders/>
            <w:vAlign w:val="center"/>
          </w:tcPr>
          <w:p>
            <w:pPr>
              <w:pStyle w:val="Style26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ind w:start="64"/>
              <w:jc w:val="both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kern w:val="0"/>
                <w:sz w:val="23"/>
                <w:szCs w:val="23"/>
                <w:lang w:val="ru-RU" w:bidi="ar-SA"/>
              </w:rPr>
              <w:t>Несанкционированный доступ</w:t>
            </w:r>
          </w:p>
        </w:tc>
      </w:tr>
    </w:tbl>
    <w:p>
      <w:pPr>
        <w:pStyle w:val="Normal"/>
        <w:rPr>
          <w:rFonts w:eastAsia="Arial" w:eastAsiaTheme="minorEastAsia"/>
          <w:sz w:val="23"/>
          <w:szCs w:val="23"/>
          <w:lang w:eastAsia="en-US"/>
        </w:rPr>
      </w:pPr>
      <w:r>
        <w:rPr>
          <w:rFonts w:eastAsia="Arial" w:eastAsiaTheme="minorEastAsia"/>
          <w:sz w:val="23"/>
          <w:szCs w:val="23"/>
          <w:lang w:eastAsia="en-US"/>
        </w:rPr>
      </w:r>
    </w:p>
    <w:p>
      <w:pPr>
        <w:pStyle w:val="Normal"/>
        <w:rPr>
          <w:b/>
          <w:caps/>
          <w:sz w:val="23"/>
          <w:szCs w:val="23"/>
        </w:rPr>
      </w:pPr>
      <w:r>
        <w:rPr>
          <w:b/>
          <w:caps/>
          <w:sz w:val="23"/>
          <w:szCs w:val="23"/>
        </w:rPr>
      </w:r>
      <w:r>
        <w:br w:type="page"/>
      </w:r>
    </w:p>
    <w:p>
      <w:pPr>
        <w:pStyle w:val="Normal"/>
        <w:widowControl w:val="false"/>
        <w:tabs>
          <w:tab w:val="clear" w:pos="708"/>
          <w:tab w:val="left" w:pos="1134" w:leader="none"/>
        </w:tabs>
        <w:spacing w:before="0" w:after="0"/>
        <w:jc w:val="both"/>
        <w:rPr>
          <w:b/>
          <w:caps/>
          <w:sz w:val="23"/>
          <w:szCs w:val="23"/>
        </w:rPr>
      </w:pPr>
      <w:r>
        <w:rPr>
          <w:b/>
          <w:caps/>
          <w:sz w:val="23"/>
          <w:szCs w:val="23"/>
        </w:rPr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Normal"/>
            <w:widowControl w:val="false"/>
            <w:tabs>
              <w:tab w:val="clear" w:pos="708"/>
              <w:tab w:val="left" w:pos="1134" w:leader="none"/>
            </w:tabs>
            <w:jc w:val="both"/>
            <w:rPr>
              <w:b/>
              <w:caps/>
              <w:sz w:val="23"/>
              <w:szCs w:val="23"/>
            </w:rPr>
          </w:pPr>
          <w:r>
            <w:fldChar w:fldCharType="begin"/>
          </w:r>
          <w:r>
            <w:rPr/>
            <w:instrText xml:space="preserve"> TOC \z \o "1-3" \u \h</w:instrText>
          </w:r>
          <w:r>
            <w:rPr/>
            <w:fldChar w:fldCharType="separate"/>
          </w:r>
          <w:r>
            <w:rPr/>
          </w:r>
          <w:r>
            <w:rPr/>
            <w:fldChar w:fldCharType="end"/>
          </w:r>
          <w:bookmarkStart w:id="3" w:name="_Toc473899633"/>
          <w:bookmarkStart w:id="4" w:name="_Toc473899633"/>
        </w:p>
      </w:sdtContent>
    </w:sdt>
    <w:p>
      <w:pPr>
        <w:pStyle w:val="Heading1"/>
        <w:keepNext w:val="false"/>
        <w:keepLines w:val="false"/>
        <w:widowControl w:val="false"/>
        <w:numPr>
          <w:ilvl w:val="0"/>
          <w:numId w:val="7"/>
        </w:numPr>
        <w:tabs>
          <w:tab w:val="clear" w:pos="708"/>
          <w:tab w:val="left" w:pos="1134" w:leader="none"/>
        </w:tabs>
        <w:spacing w:lineRule="auto" w:line="240" w:before="0" w:after="0"/>
        <w:ind w:firstLine="567" w:start="0"/>
        <w:rPr>
          <w:sz w:val="23"/>
          <w:szCs w:val="23"/>
        </w:rPr>
      </w:pPr>
      <w:bookmarkStart w:id="5" w:name="_Toc473899633"/>
      <w:bookmarkStart w:id="6" w:name="_Toc795043"/>
      <w:r>
        <w:rPr>
          <w:sz w:val="23"/>
          <w:szCs w:val="23"/>
        </w:rPr>
        <w:t xml:space="preserve">Общие </w:t>
      </w:r>
      <w:bookmarkEnd w:id="5"/>
      <w:r>
        <w:rPr>
          <w:sz w:val="23"/>
          <w:szCs w:val="23"/>
        </w:rPr>
        <w:t>сведения</w:t>
      </w:r>
      <w:bookmarkEnd w:id="6"/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Настоящий документ является техническим заданием на оказание услуг по техническому сопровождению специального программного обеспечения центра обработки вызовов (ЦОВ) и резервного центра обработки вызовов (РЦОВ) Системы-112 в Республике Тыва. Состав программных продуктов перечислен в пункте 1.1 настоящего Технического задания.</w:t>
      </w:r>
    </w:p>
    <w:p>
      <w:pPr>
        <w:pStyle w:val="Normal"/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Услуги оказываются для СПО-112 Системы-112 как единого объекта информатизации. Одновременное оказание услуг вышеуказанных услуг обусловлено сложностью процессов, автоматизируемых в системе и условий ее функционирования при сохранении непрерывного режима работы и достижения целевых показателей функционирования Системы, установленных в соответствии с Постановлением Правительства РФ от 12.11.2021 № 1931 «Об утверждении обязательных требований к организации и функционированию системы обеспечения вызова экстренных оперативных служб по единому номеру «112», в том числе порядка и сроков осуществления приема, обработки и передачи вызовов по единому номеру «112» диспетчерскими службам» (далее – Постановление № 1931).</w:t>
      </w:r>
    </w:p>
    <w:p>
      <w:pPr>
        <w:pStyle w:val="docdata"/>
        <w:spacing w:beforeAutospacing="0" w:before="0" w:afterAutospacing="0" w:after="0"/>
        <w:ind w:firstLine="567"/>
        <w:jc w:val="both"/>
        <w:rPr/>
      </w:pPr>
      <w:r>
        <w:rPr>
          <w:color w:val="000000"/>
          <w:sz w:val="23"/>
          <w:szCs w:val="23"/>
          <w:shd w:fill="FFFFFF" w:val="clear"/>
        </w:rPr>
        <w:t>Услуги относятся к типу услуг по полному техническому сопровождению СПО-112 и должны оказываться с надлежащим качеством, обеспечивающим работоспособность СПО-112, в том числе с соблюдением требований в отношении охраняемых результатов интеллектуальной деятельности, установленных Правообладателями СПО-112, которые указаны в пункте 1.1 к настоящему ООЗ.</w:t>
      </w:r>
    </w:p>
    <w:p>
      <w:pPr>
        <w:pStyle w:val="NormalWeb"/>
        <w:spacing w:beforeAutospacing="0" w:before="0" w:afterAutospacing="0" w:after="0"/>
        <w:ind w:firstLine="567"/>
        <w:jc w:val="both"/>
        <w:rPr>
          <w:sz w:val="23"/>
          <w:szCs w:val="23"/>
        </w:rPr>
      </w:pPr>
      <w:r>
        <w:rPr>
          <w:color w:val="000000"/>
          <w:sz w:val="23"/>
          <w:szCs w:val="23"/>
          <w:shd w:fill="FFFFFF" w:val="clear"/>
        </w:rPr>
        <w:t>Объем оказываемых услуг соответствует требованиям, предъявляемым к циклу полного сопровождения согласно ГОСТ Р ИСО/МЭК 14764-2002 «Информационная технология. Сопровождение программных средств» (далее – ГОСТ Р ИСО/МЭК 14764-2002), ГОСТ Р ИСО/МЭК 12207-2010. «Национальный стандарт Российской Федерации. Информационная технология. Системная и программная инженерия. Процессы жизненного цикла программных средств».</w:t>
      </w:r>
    </w:p>
    <w:p>
      <w:pPr>
        <w:pStyle w:val="Normal"/>
        <w:ind w:firstLine="567"/>
        <w:rPr>
          <w:b/>
          <w:sz w:val="23"/>
          <w:szCs w:val="23"/>
        </w:rPr>
      </w:pPr>
      <w:r>
        <w:rPr>
          <w:b/>
          <w:sz w:val="23"/>
          <w:szCs w:val="23"/>
        </w:rPr>
      </w:r>
    </w:p>
    <w:p>
      <w:pPr>
        <w:pStyle w:val="ListParagraph"/>
        <w:widowControl w:val="false"/>
        <w:numPr>
          <w:ilvl w:val="1"/>
          <w:numId w:val="7"/>
        </w:numPr>
        <w:tabs>
          <w:tab w:val="clear" w:pos="708"/>
          <w:tab w:val="left" w:pos="284" w:leader="none"/>
          <w:tab w:val="left" w:pos="1134" w:leader="none"/>
        </w:tabs>
        <w:ind w:firstLine="567" w:start="0"/>
        <w:jc w:val="both"/>
        <w:outlineLvl w:val="1"/>
        <w:rPr>
          <w:b/>
          <w:sz w:val="23"/>
          <w:szCs w:val="23"/>
        </w:rPr>
      </w:pPr>
      <w:r>
        <w:rPr>
          <w:b/>
          <w:sz w:val="23"/>
          <w:szCs w:val="23"/>
        </w:rPr>
        <w:t>Сведения о программных продуктах, составляющих ядро Системы-112</w:t>
      </w:r>
    </w:p>
    <w:p>
      <w:pPr>
        <w:pStyle w:val="Style29"/>
        <w:numPr>
          <w:ilvl w:val="2"/>
          <w:numId w:val="7"/>
        </w:numPr>
        <w:tabs>
          <w:tab w:val="clear" w:pos="708"/>
        </w:tabs>
        <w:spacing w:lineRule="auto" w:line="240" w:before="0" w:after="0"/>
        <w:ind w:firstLine="567" w:start="0"/>
        <w:outlineLvl w:val="2"/>
        <w:rPr>
          <w:sz w:val="23"/>
          <w:szCs w:val="23"/>
        </w:rPr>
      </w:pPr>
      <w:r>
        <w:rPr>
          <w:b/>
          <w:sz w:val="23"/>
          <w:szCs w:val="23"/>
        </w:rPr>
        <w:t>Специальное программное обеспечение «Интеграционно-аналитическая сервисная платформа ПРОТЕЙ»</w:t>
      </w:r>
      <w:r>
        <w:rPr>
          <w:sz w:val="23"/>
          <w:szCs w:val="23"/>
        </w:rPr>
        <w:t xml:space="preserve">, </w:t>
      </w:r>
      <w:r>
        <w:rPr>
          <w:b/>
          <w:sz w:val="23"/>
          <w:szCs w:val="23"/>
        </w:rPr>
        <w:t>IASP PROTEI</w:t>
      </w:r>
      <w:r>
        <w:rPr>
          <w:sz w:val="23"/>
          <w:szCs w:val="23"/>
        </w:rPr>
        <w:t xml:space="preserve"> (Запись в Реестре российского программного обеспечения от 20.09.2019 № 5820).</w:t>
      </w:r>
    </w:p>
    <w:p>
      <w:pPr>
        <w:pStyle w:val="BodyText"/>
        <w:widowControl w:val="false"/>
        <w:spacing w:before="0" w:after="0"/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Специальное программное обеспечение «Интеграционно-аналитическая сервисная платформа ПРОТЕЙ», IASP PROTEI используется в Системе-112 в качестве специального программного обеспечения, предназначенного для обеспечения основных функций подсистем Системы-112, указанных в пункте 3.1 настоящего Технического задания. Правообладателем проприетарного программного обеспечения</w:t>
      </w:r>
      <w:r>
        <w:rPr/>
        <w:t xml:space="preserve"> </w:t>
      </w:r>
      <w:r>
        <w:rPr>
          <w:sz w:val="23"/>
          <w:szCs w:val="23"/>
        </w:rPr>
        <w:t xml:space="preserve">IASP PROTEI является </w:t>
      </w:r>
      <w:r>
        <w:rPr>
          <w:sz w:val="23"/>
          <w:szCs w:val="23"/>
        </w:rPr>
        <w:br w:type="textWrapping" w:clear="all"/>
      </w:r>
      <w:r>
        <w:rPr>
          <w:sz w:val="23"/>
          <w:szCs w:val="23"/>
        </w:rPr>
        <w:t xml:space="preserve">ООО «НТЦ ПРОТЕЙ» (ИНН 7825483961). Использование проприетарного программного обеспечения допускается только в строгом соответствии с законодательством Российской Федерации. </w:t>
      </w:r>
    </w:p>
    <w:p>
      <w:pPr>
        <w:pStyle w:val="BodyText"/>
        <w:widowControl w:val="false"/>
        <w:spacing w:before="0" w:after="0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Заказчику запрещается модифицировать, декомпилировать, деассемблировать, подвергать изменению, изменять порядок, корректировать или вносить другие изменения в отношении вышеуказанного проприетарного программного обеспечения производства ООО «НТЦ ПРОТЕЙ», в том числе Заказчик не имеет права сублицензировать, сдавать программное обеспечение и документацию к нему в аренду или передавать на безвозмездной основе третьим сторонам.</w:t>
      </w:r>
    </w:p>
    <w:p>
      <w:pPr>
        <w:pStyle w:val="Style29"/>
        <w:numPr>
          <w:ilvl w:val="0"/>
          <w:numId w:val="0"/>
        </w:numPr>
        <w:tabs>
          <w:tab w:val="clear" w:pos="708"/>
          <w:tab w:val="left" w:pos="1134" w:leader="none"/>
        </w:tabs>
        <w:spacing w:lineRule="auto" w:line="240" w:before="0" w:after="0"/>
        <w:ind w:firstLine="567" w:start="0"/>
        <w:rPr>
          <w:sz w:val="23"/>
          <w:szCs w:val="23"/>
        </w:rPr>
      </w:pPr>
      <w:r>
        <w:rPr>
          <w:sz w:val="23"/>
          <w:szCs w:val="23"/>
        </w:rPr>
        <w:t xml:space="preserve">Для достижения целей оказания услуг в рамках настоящего Технического задания Исполнитель или привлекаемый им соисполнитель, в отношении данного программного обеспечения должен иметь полномочия его модифицировать, подвергать изменению, изменять порядок, корректировать или вносить другие изменения в объеме, определенном настоящим документом. В соответствии с положениями ст. 1229, 1233 Гражданского кодекса Российской Федерации Исполнитель в течение 5 (пяти) рабочих дней с момента подписания Сторонами </w:t>
      </w:r>
      <w:r>
        <w:rPr>
          <w:sz w:val="23"/>
          <w:szCs w:val="23"/>
        </w:rPr>
        <w:t>Договора</w:t>
      </w:r>
      <w:r>
        <w:rPr>
          <w:sz w:val="23"/>
          <w:szCs w:val="23"/>
        </w:rPr>
        <w:t xml:space="preserve"> должен документально подтвердить наличие вышеуказанных прав одним из перечисленных документов:</w:t>
      </w:r>
    </w:p>
    <w:p>
      <w:pPr>
        <w:pStyle w:val="Normal"/>
        <w:tabs>
          <w:tab w:val="clear" w:pos="708"/>
          <w:tab w:val="left" w:pos="1134" w:leader="none"/>
        </w:tabs>
        <w:spacing w:before="0" w:after="0"/>
        <w:ind w:firstLine="567"/>
        <w:contextualSpacing/>
        <w:jc w:val="both"/>
        <w:rPr>
          <w:sz w:val="23"/>
          <w:szCs w:val="23"/>
        </w:rPr>
      </w:pPr>
      <w:r>
        <w:rPr>
          <w:sz w:val="23"/>
          <w:szCs w:val="23"/>
        </w:rPr>
        <w:t>-</w:t>
        <w:tab/>
        <w:t>документом, подтверждающим наличие у Исполнителя или привлекаемого им соисполнителя исключительных прав на программное обеспечение;</w:t>
      </w:r>
    </w:p>
    <w:p>
      <w:pPr>
        <w:pStyle w:val="Normal"/>
        <w:tabs>
          <w:tab w:val="clear" w:pos="708"/>
          <w:tab w:val="left" w:pos="1134" w:leader="none"/>
        </w:tabs>
        <w:spacing w:before="0" w:after="0"/>
        <w:ind w:firstLine="567"/>
        <w:contextualSpacing/>
        <w:jc w:val="both"/>
        <w:rPr>
          <w:sz w:val="23"/>
          <w:szCs w:val="23"/>
        </w:rPr>
      </w:pPr>
      <w:r>
        <w:rPr>
          <w:sz w:val="23"/>
          <w:szCs w:val="23"/>
        </w:rPr>
        <w:t>-</w:t>
        <w:tab/>
        <w:t>лицензионный договор (лицензионное соглашение) с правообладателем, предоставляющий Исполнителю или привлекаемому им соисполнителю полномочия, необходимые и достаточные для оказания услуг;</w:t>
      </w:r>
    </w:p>
    <w:p>
      <w:pPr>
        <w:pStyle w:val="Normal"/>
        <w:tabs>
          <w:tab w:val="clear" w:pos="708"/>
          <w:tab w:val="left" w:pos="1134" w:leader="none"/>
        </w:tabs>
        <w:spacing w:before="0" w:after="0"/>
        <w:ind w:firstLine="567"/>
        <w:contextualSpacing/>
        <w:jc w:val="both"/>
        <w:rPr>
          <w:sz w:val="23"/>
          <w:szCs w:val="23"/>
        </w:rPr>
      </w:pPr>
      <w:r>
        <w:rPr>
          <w:sz w:val="23"/>
          <w:szCs w:val="23"/>
        </w:rPr>
        <w:t>-</w:t>
        <w:tab/>
        <w:t>сублицензионный договор с лицом, с которым правообладатель программного обеспечения, заключил лицензионный договор и предоставил этому лицу права на использование и которое, в свою очередь, предоставило соответствующие права Исполнителю или привлекаемому им соисполнителю в объеме, необходимом и достаточном для оказания услуг.</w:t>
      </w:r>
    </w:p>
    <w:p>
      <w:pPr>
        <w:pStyle w:val="Style29"/>
        <w:numPr>
          <w:ilvl w:val="0"/>
          <w:numId w:val="0"/>
        </w:numPr>
        <w:tabs>
          <w:tab w:val="clear" w:pos="708"/>
          <w:tab w:val="left" w:pos="1134" w:leader="none"/>
        </w:tabs>
        <w:spacing w:lineRule="auto" w:line="240" w:before="0" w:after="0"/>
        <w:ind w:firstLine="567" w:start="0"/>
        <w:rPr>
          <w:sz w:val="23"/>
          <w:szCs w:val="23"/>
        </w:rPr>
      </w:pPr>
      <w:r>
        <w:rPr>
          <w:sz w:val="23"/>
          <w:szCs w:val="23"/>
        </w:rPr>
        <w:t>Соответствие требованию подтверждается предоставлением документа(ов) или его (их) копии(й).</w:t>
      </w:r>
    </w:p>
    <w:p>
      <w:pPr>
        <w:pStyle w:val="BodyText"/>
        <w:widowControl w:val="false"/>
        <w:tabs>
          <w:tab w:val="clear" w:pos="708"/>
          <w:tab w:val="left" w:pos="1134" w:leader="none"/>
        </w:tabs>
        <w:spacing w:before="0" w:after="0"/>
        <w:ind w:firstLine="567"/>
        <w:jc w:val="both"/>
        <w:rPr>
          <w:color w:themeColor="text1" w:val="000000"/>
          <w:sz w:val="23"/>
          <w:szCs w:val="23"/>
        </w:rPr>
      </w:pPr>
      <w:r>
        <w:rPr>
          <w:color w:themeColor="text1" w:val="000000"/>
          <w:sz w:val="23"/>
          <w:szCs w:val="23"/>
        </w:rPr>
        <w:t xml:space="preserve">Неисключительное (пользовательское) право в отношении специального программного обеспечения «Интеграционно-аналитическая сервисная платформа ПРОТЕЙ», IASP PROTEI передано Заказчику </w:t>
      </w:r>
      <w:r>
        <w:rPr>
          <w:sz w:val="23"/>
          <w:szCs w:val="23"/>
        </w:rPr>
        <w:t xml:space="preserve">по государственному контракту от 25.07.2022 № 2022.08 </w:t>
      </w:r>
      <w:r>
        <w:rPr>
          <w:color w:themeColor="text1" w:val="000000"/>
          <w:sz w:val="23"/>
          <w:szCs w:val="23"/>
        </w:rPr>
        <w:t>в составе следующих программных компонентов (модулей):</w:t>
      </w:r>
    </w:p>
    <w:p>
      <w:pPr>
        <w:pStyle w:val="BodyText"/>
        <w:widowControl w:val="false"/>
        <w:tabs>
          <w:tab w:val="clear" w:pos="708"/>
          <w:tab w:val="left" w:pos="1134" w:leader="none"/>
        </w:tabs>
        <w:spacing w:before="0" w:after="0"/>
        <w:ind w:firstLine="567"/>
        <w:jc w:val="both"/>
        <w:rPr>
          <w:color w:themeColor="text1" w:val="000000"/>
          <w:sz w:val="23"/>
          <w:szCs w:val="23"/>
        </w:rPr>
      </w:pPr>
      <w:r>
        <w:rPr>
          <w:color w:themeColor="text1" w:val="000000"/>
          <w:sz w:val="23"/>
          <w:szCs w:val="23"/>
        </w:rPr>
      </w:r>
    </w:p>
    <w:p>
      <w:pPr>
        <w:pStyle w:val="BodyText"/>
        <w:widowControl w:val="false"/>
        <w:numPr>
          <w:ilvl w:val="3"/>
          <w:numId w:val="7"/>
        </w:numPr>
        <w:spacing w:before="0" w:after="0"/>
        <w:ind w:firstLine="567" w:start="0"/>
        <w:jc w:val="both"/>
        <w:rPr>
          <w:sz w:val="23"/>
          <w:szCs w:val="23"/>
        </w:rPr>
      </w:pPr>
      <w:r>
        <w:rPr>
          <w:b/>
          <w:sz w:val="23"/>
          <w:szCs w:val="23"/>
        </w:rPr>
        <w:t>Программный модуль WEB-клиент</w:t>
      </w:r>
      <w:r>
        <w:rPr>
          <w:sz w:val="23"/>
          <w:szCs w:val="23"/>
        </w:rPr>
        <w:t xml:space="preserve"> 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rFonts w:eastAsia="DejaVu Sans"/>
          <w:sz w:val="23"/>
          <w:szCs w:val="23"/>
          <w:lang w:eastAsia="zh-CN" w:bidi="hi-IN"/>
        </w:rPr>
      </w:pPr>
      <w:r>
        <w:rPr>
          <w:rFonts w:eastAsia="DejaVu Sans"/>
          <w:sz w:val="23"/>
          <w:szCs w:val="23"/>
          <w:lang w:eastAsia="zh-CN" w:bidi="hi-IN"/>
        </w:rPr>
        <w:t>WEB-клиент обеспечивает следующий функционал: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rFonts w:eastAsia="DejaVu Sans"/>
          <w:sz w:val="23"/>
          <w:szCs w:val="23"/>
          <w:lang w:eastAsia="zh-CN" w:bidi="hi-IN"/>
        </w:rPr>
      </w:pPr>
      <w:r>
        <w:rPr>
          <w:rFonts w:eastAsia="DejaVu Sans"/>
          <w:sz w:val="23"/>
          <w:szCs w:val="23"/>
          <w:lang w:eastAsia="zh-CN" w:bidi="hi-IN"/>
        </w:rPr>
        <w:t>-</w:t>
        <w:tab/>
        <w:t>прием и обработку вызовов в Системе-112 с возможностью их передачи в диспетчерские службы (ЕДДС, ДДС ЭОС);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rFonts w:eastAsia="DejaVu Sans"/>
          <w:sz w:val="23"/>
          <w:szCs w:val="23"/>
          <w:lang w:eastAsia="zh-CN" w:bidi="hi-IN"/>
        </w:rPr>
      </w:pPr>
      <w:r>
        <w:rPr>
          <w:rFonts w:eastAsia="DejaVu Sans"/>
          <w:sz w:val="23"/>
          <w:szCs w:val="23"/>
          <w:lang w:eastAsia="zh-CN" w:bidi="hi-IN"/>
        </w:rPr>
        <w:t>-</w:t>
        <w:tab/>
        <w:t>формирование УКИО с возможностью заполнения основных характеристик происшествия или чрезвычайной ситуации (о начале, завершении и об основных результатах реагирования) в соответствующих информационных полях.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rFonts w:eastAsia="DejaVu Sans"/>
          <w:sz w:val="23"/>
          <w:szCs w:val="23"/>
          <w:lang w:eastAsia="zh-CN" w:bidi="hi-IN"/>
        </w:rPr>
      </w:pPr>
      <w:r>
        <w:rPr>
          <w:rFonts w:eastAsia="DejaVu Sans"/>
          <w:sz w:val="23"/>
          <w:szCs w:val="23"/>
          <w:lang w:eastAsia="zh-CN" w:bidi="hi-IN"/>
        </w:rPr>
        <w:t>WEB-интерфейс состоит из приложения «Рабочее место центра обслуживания вызовов», предназначенного для автоматизации деятельности операторов (далее по тексту — РМ Оператора, РМО) при обслуживании вызовов.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rFonts w:eastAsia="DejaVu Sans"/>
          <w:sz w:val="23"/>
          <w:szCs w:val="23"/>
          <w:lang w:eastAsia="zh-CN" w:bidi="hi-IN"/>
        </w:rPr>
      </w:pPr>
      <w:r>
        <w:rPr>
          <w:rFonts w:eastAsia="DejaVu Sans"/>
          <w:sz w:val="23"/>
          <w:szCs w:val="23"/>
          <w:lang w:eastAsia="zh-CN" w:bidi="hi-IN"/>
        </w:rPr>
        <w:t>РМО обладает следующими функциональными возможностями: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rFonts w:eastAsia="DejaVu Sans"/>
          <w:sz w:val="23"/>
          <w:szCs w:val="23"/>
          <w:lang w:eastAsia="zh-CN" w:bidi="hi-IN"/>
        </w:rPr>
      </w:pPr>
      <w:r>
        <w:rPr>
          <w:rFonts w:eastAsia="DejaVu Sans"/>
          <w:sz w:val="23"/>
          <w:szCs w:val="23"/>
          <w:lang w:eastAsia="zh-CN" w:bidi="hi-IN"/>
        </w:rPr>
        <w:t>-</w:t>
        <w:tab/>
        <w:t xml:space="preserve">осуществлять обслуживание поступающих на систему вызовов, в том числе </w:t>
        <w:br/>
        <w:t xml:space="preserve">и от старшего оператора; 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rFonts w:eastAsia="DejaVu Sans"/>
          <w:sz w:val="23"/>
          <w:szCs w:val="23"/>
          <w:lang w:eastAsia="zh-CN" w:bidi="hi-IN"/>
        </w:rPr>
      </w:pPr>
      <w:r>
        <w:rPr>
          <w:rFonts w:eastAsia="DejaVu Sans"/>
          <w:sz w:val="23"/>
          <w:szCs w:val="23"/>
          <w:lang w:eastAsia="zh-CN" w:bidi="hi-IN"/>
        </w:rPr>
        <w:t>-</w:t>
        <w:tab/>
        <w:t xml:space="preserve">совершать исходящие вызовы на службу, группу, другого оператора или ТФОП; 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rFonts w:eastAsia="DejaVu Sans"/>
          <w:sz w:val="23"/>
          <w:szCs w:val="23"/>
          <w:lang w:eastAsia="zh-CN" w:bidi="hi-IN"/>
        </w:rPr>
      </w:pPr>
      <w:r>
        <w:rPr>
          <w:rFonts w:eastAsia="DejaVu Sans"/>
          <w:sz w:val="23"/>
          <w:szCs w:val="23"/>
          <w:lang w:eastAsia="zh-CN" w:bidi="hi-IN"/>
        </w:rPr>
        <w:t>-</w:t>
        <w:tab/>
        <w:t xml:space="preserve">создавать конференции; 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rFonts w:eastAsia="DejaVu Sans"/>
          <w:sz w:val="23"/>
          <w:szCs w:val="23"/>
          <w:lang w:eastAsia="zh-CN" w:bidi="hi-IN"/>
        </w:rPr>
      </w:pPr>
      <w:r>
        <w:rPr>
          <w:rFonts w:eastAsia="DejaVu Sans"/>
          <w:sz w:val="23"/>
          <w:szCs w:val="23"/>
          <w:lang w:eastAsia="zh-CN" w:bidi="hi-IN"/>
        </w:rPr>
        <w:t>-</w:t>
        <w:tab/>
        <w:t xml:space="preserve">получать консультации во время обслуживания вызова; 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rFonts w:eastAsia="DejaVu Sans"/>
          <w:sz w:val="23"/>
          <w:szCs w:val="23"/>
          <w:lang w:eastAsia="zh-CN" w:bidi="hi-IN"/>
        </w:rPr>
      </w:pPr>
      <w:r>
        <w:rPr>
          <w:rFonts w:eastAsia="DejaVu Sans"/>
          <w:sz w:val="23"/>
          <w:szCs w:val="23"/>
          <w:lang w:eastAsia="zh-CN" w:bidi="hi-IN"/>
        </w:rPr>
        <w:t>-</w:t>
        <w:tab/>
        <w:t xml:space="preserve">выполнять постановку абонента на удержание; 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rFonts w:eastAsia="DejaVu Sans"/>
          <w:sz w:val="23"/>
          <w:szCs w:val="23"/>
          <w:lang w:eastAsia="zh-CN" w:bidi="hi-IN"/>
        </w:rPr>
      </w:pPr>
      <w:r>
        <w:rPr>
          <w:rFonts w:eastAsia="DejaVu Sans"/>
          <w:sz w:val="23"/>
          <w:szCs w:val="23"/>
          <w:lang w:eastAsia="zh-CN" w:bidi="hi-IN"/>
        </w:rPr>
        <w:t>-</w:t>
        <w:tab/>
        <w:t>осуществлять блокирование/разблокирование рабочего места.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rFonts w:eastAsia="DejaVu Sans"/>
          <w:sz w:val="23"/>
          <w:szCs w:val="23"/>
          <w:lang w:eastAsia="zh-CN" w:bidi="hi-IN"/>
        </w:rPr>
      </w:pPr>
      <w:r>
        <w:rPr>
          <w:rFonts w:eastAsia="DejaVu Sans"/>
          <w:sz w:val="23"/>
          <w:szCs w:val="23"/>
          <w:lang w:eastAsia="zh-CN" w:bidi="hi-IN"/>
        </w:rPr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rFonts w:eastAsia="DejaVu Sans"/>
          <w:sz w:val="23"/>
          <w:szCs w:val="23"/>
          <w:lang w:eastAsia="zh-CN" w:bidi="hi-IN"/>
        </w:rPr>
      </w:pPr>
      <w:r>
        <w:rPr>
          <w:rFonts w:eastAsia="DejaVu Sans"/>
          <w:sz w:val="23"/>
          <w:szCs w:val="23"/>
          <w:lang w:eastAsia="zh-CN" w:bidi="hi-IN"/>
        </w:rPr>
        <w:t xml:space="preserve">Рабочее окно WEB-интерфейса разделено на две логические части: 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rFonts w:eastAsia="DejaVu Sans"/>
          <w:sz w:val="23"/>
          <w:szCs w:val="23"/>
          <w:lang w:eastAsia="zh-CN" w:bidi="hi-IN"/>
        </w:rPr>
      </w:pPr>
      <w:r>
        <w:rPr>
          <w:rFonts w:eastAsia="DejaVu Sans"/>
          <w:sz w:val="23"/>
          <w:szCs w:val="23"/>
          <w:lang w:eastAsia="zh-CN" w:bidi="hi-IN"/>
        </w:rPr>
        <w:t>-</w:t>
        <w:tab/>
        <w:t>панель управления (расположена в верхней строке интерфейса);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rFonts w:eastAsia="DejaVu Sans"/>
          <w:sz w:val="23"/>
          <w:szCs w:val="23"/>
          <w:lang w:eastAsia="zh-CN" w:bidi="hi-IN"/>
        </w:rPr>
      </w:pPr>
      <w:r>
        <w:rPr>
          <w:rFonts w:eastAsia="DejaVu Sans"/>
          <w:sz w:val="23"/>
          <w:szCs w:val="23"/>
          <w:lang w:eastAsia="zh-CN" w:bidi="hi-IN"/>
        </w:rPr>
        <w:t>-</w:t>
        <w:tab/>
        <w:t>область работы с виджетами (расположена в нижней части интерфейса).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rFonts w:eastAsia="DejaVu Sans"/>
          <w:sz w:val="23"/>
          <w:szCs w:val="23"/>
          <w:lang w:eastAsia="zh-CN" w:bidi="hi-IN"/>
        </w:rPr>
      </w:pPr>
      <w:r>
        <w:rPr>
          <w:rFonts w:eastAsia="DejaVu Sans"/>
          <w:sz w:val="23"/>
          <w:szCs w:val="23"/>
          <w:lang w:eastAsia="zh-CN" w:bidi="hi-IN"/>
        </w:rPr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rFonts w:eastAsia="DejaVu Sans"/>
          <w:sz w:val="23"/>
          <w:szCs w:val="23"/>
          <w:lang w:eastAsia="zh-CN" w:bidi="hi-IN"/>
        </w:rPr>
      </w:pPr>
      <w:r>
        <w:rPr>
          <w:rFonts w:eastAsia="DejaVu Sans"/>
          <w:sz w:val="23"/>
          <w:szCs w:val="23"/>
          <w:lang w:eastAsia="zh-CN" w:bidi="hi-IN"/>
        </w:rPr>
        <w:t>На панели управления WEB-интерфейсом располагаются следующие функциональные элементы: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rFonts w:eastAsia="DejaVu Sans"/>
          <w:sz w:val="23"/>
          <w:szCs w:val="23"/>
          <w:lang w:eastAsia="zh-CN" w:bidi="hi-IN"/>
        </w:rPr>
      </w:pPr>
      <w:r>
        <w:rPr>
          <w:rFonts w:eastAsia="DejaVu Sans"/>
          <w:sz w:val="23"/>
          <w:szCs w:val="23"/>
          <w:lang w:eastAsia="zh-CN" w:bidi="hi-IN"/>
        </w:rPr>
        <w:t>-</w:t>
        <w:tab/>
        <w:t>кнопка, отображающая состояние оператора;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rFonts w:eastAsia="DejaVu Sans"/>
          <w:sz w:val="23"/>
          <w:szCs w:val="23"/>
          <w:lang w:eastAsia="zh-CN" w:bidi="hi-IN"/>
        </w:rPr>
      </w:pPr>
      <w:r>
        <w:rPr>
          <w:rFonts w:eastAsia="DejaVu Sans"/>
          <w:sz w:val="23"/>
          <w:szCs w:val="23"/>
          <w:lang w:eastAsia="zh-CN" w:bidi="hi-IN"/>
        </w:rPr>
        <w:t>-</w:t>
        <w:tab/>
        <w:t>вкладки рабочих столов — позволяют осуществлять быструю навигацию между рабочими столами оператора;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rFonts w:eastAsia="DejaVu Sans"/>
          <w:sz w:val="23"/>
          <w:szCs w:val="23"/>
          <w:lang w:eastAsia="zh-CN" w:bidi="hi-IN"/>
        </w:rPr>
      </w:pPr>
      <w:r>
        <w:rPr>
          <w:rFonts w:eastAsia="DejaVu Sans"/>
          <w:sz w:val="23"/>
          <w:szCs w:val="23"/>
          <w:lang w:eastAsia="zh-CN" w:bidi="hi-IN"/>
        </w:rPr>
        <w:t>-</w:t>
        <w:tab/>
        <w:t xml:space="preserve">экранная кнопка, которая позволяет открыть окно с внутренними чатами оператора; 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rFonts w:eastAsia="DejaVu Sans"/>
          <w:sz w:val="23"/>
          <w:szCs w:val="23"/>
          <w:lang w:eastAsia="zh-CN" w:bidi="hi-IN"/>
        </w:rPr>
      </w:pPr>
      <w:r>
        <w:rPr>
          <w:rFonts w:eastAsia="DejaVu Sans"/>
          <w:sz w:val="23"/>
          <w:szCs w:val="23"/>
          <w:lang w:eastAsia="zh-CN" w:bidi="hi-IN"/>
        </w:rPr>
        <w:t>-</w:t>
        <w:tab/>
        <w:t>экранная кнопка, которая позволяет включить/выключить микрофон во время разговора;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rFonts w:eastAsia="DejaVu Sans"/>
          <w:sz w:val="23"/>
          <w:szCs w:val="23"/>
          <w:lang w:eastAsia="zh-CN" w:bidi="hi-IN"/>
        </w:rPr>
      </w:pPr>
      <w:r>
        <w:rPr>
          <w:rFonts w:eastAsia="DejaVu Sans"/>
          <w:sz w:val="23"/>
          <w:szCs w:val="23"/>
          <w:lang w:eastAsia="zh-CN" w:bidi="hi-IN"/>
        </w:rPr>
        <w:t>- строка-логин с иконкой и номером учетной записи пользователя в системе, предоставляющая возможность оператору открыть меню.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rFonts w:eastAsia="DejaVu Sans"/>
          <w:sz w:val="23"/>
          <w:szCs w:val="23"/>
          <w:lang w:eastAsia="zh-CN" w:bidi="hi-IN"/>
        </w:rPr>
      </w:pPr>
      <w:r>
        <w:rPr>
          <w:rFonts w:eastAsia="DejaVu Sans"/>
          <w:sz w:val="23"/>
          <w:szCs w:val="23"/>
          <w:lang w:eastAsia="zh-CN" w:bidi="hi-IN"/>
        </w:rPr>
        <w:t>Меню содержит активные ссылки для перехода к следующим разделам: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rFonts w:eastAsia="DejaVu Sans"/>
          <w:sz w:val="23"/>
          <w:szCs w:val="23"/>
          <w:lang w:eastAsia="zh-CN" w:bidi="hi-IN"/>
        </w:rPr>
      </w:pPr>
      <w:r>
        <w:rPr>
          <w:rFonts w:eastAsia="DejaVu Sans"/>
          <w:sz w:val="23"/>
          <w:szCs w:val="23"/>
          <w:lang w:eastAsia="zh-CN" w:bidi="hi-IN"/>
        </w:rPr>
        <w:t>-</w:t>
        <w:tab/>
        <w:t xml:space="preserve">Включить/Отключить редактор — переход в раздел настройки рабочих столов; 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rFonts w:eastAsia="DejaVu Sans"/>
          <w:sz w:val="23"/>
          <w:szCs w:val="23"/>
          <w:lang w:eastAsia="zh-CN" w:bidi="hi-IN"/>
        </w:rPr>
      </w:pPr>
      <w:r>
        <w:rPr>
          <w:rFonts w:eastAsia="DejaVu Sans"/>
          <w:sz w:val="23"/>
          <w:szCs w:val="23"/>
          <w:lang w:eastAsia="zh-CN" w:bidi="hi-IN"/>
        </w:rPr>
        <w:t>-</w:t>
        <w:tab/>
        <w:t xml:space="preserve">Горячие клавиши — открывает окно, в котором можно произвести настройку </w:t>
        <w:br/>
        <w:t xml:space="preserve">и посмотреть информацию о сочетании клавиш клавиатуры, позволяющих осуществлять быстрый доступ к основным функциям системы; 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rFonts w:eastAsia="DejaVu Sans"/>
          <w:sz w:val="23"/>
          <w:szCs w:val="23"/>
          <w:lang w:eastAsia="zh-CN" w:bidi="hi-IN"/>
        </w:rPr>
      </w:pPr>
      <w:r>
        <w:rPr>
          <w:rFonts w:eastAsia="DejaVu Sans"/>
          <w:sz w:val="23"/>
          <w:szCs w:val="23"/>
          <w:lang w:eastAsia="zh-CN" w:bidi="hi-IN"/>
        </w:rPr>
        <w:t>-</w:t>
        <w:tab/>
        <w:t xml:space="preserve">Информация о РМО — открывает окно, в котором можно посмотреть полную справочную информацию о рабочем месте оператора; 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rFonts w:eastAsia="DejaVu Sans"/>
          <w:sz w:val="23"/>
          <w:szCs w:val="23"/>
          <w:lang w:eastAsia="zh-CN" w:bidi="hi-IN"/>
        </w:rPr>
      </w:pPr>
      <w:r>
        <w:rPr>
          <w:rFonts w:eastAsia="DejaVu Sans"/>
          <w:sz w:val="23"/>
          <w:szCs w:val="23"/>
          <w:lang w:eastAsia="zh-CN" w:bidi="hi-IN"/>
        </w:rPr>
        <w:t>-</w:t>
        <w:tab/>
        <w:t xml:space="preserve">Выйти из системы — выход из учётной записи пользователя, завершение сеанса </w:t>
        <w:br/>
        <w:t>и переход на страницу авторизации.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rFonts w:eastAsia="DejaVu Sans"/>
          <w:sz w:val="23"/>
          <w:szCs w:val="23"/>
          <w:lang w:eastAsia="zh-CN" w:bidi="hi-IN"/>
        </w:rPr>
      </w:pPr>
      <w:r>
        <w:rPr>
          <w:rFonts w:eastAsia="DejaVu Sans"/>
          <w:sz w:val="23"/>
          <w:szCs w:val="23"/>
          <w:lang w:eastAsia="zh-CN" w:bidi="hi-IN"/>
        </w:rPr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rFonts w:eastAsia="DejaVu Sans"/>
          <w:sz w:val="23"/>
          <w:szCs w:val="23"/>
          <w:lang w:eastAsia="zh-CN" w:bidi="hi-IN"/>
        </w:rPr>
      </w:pPr>
      <w:r>
        <w:rPr>
          <w:rFonts w:eastAsia="DejaVu Sans"/>
          <w:sz w:val="23"/>
          <w:szCs w:val="23"/>
          <w:lang w:eastAsia="zh-CN" w:bidi="hi-IN"/>
        </w:rPr>
        <w:t>WEB-интерфейсом содержит следующие виджеты: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rFonts w:eastAsia="DejaVu Sans"/>
          <w:sz w:val="23"/>
          <w:szCs w:val="23"/>
          <w:lang w:eastAsia="zh-CN" w:bidi="hi-IN"/>
        </w:rPr>
      </w:pPr>
      <w:r>
        <w:rPr>
          <w:rFonts w:eastAsia="DejaVu Sans"/>
          <w:sz w:val="23"/>
          <w:szCs w:val="23"/>
          <w:lang w:eastAsia="zh-CN" w:bidi="hi-IN"/>
        </w:rPr>
        <w:t>-</w:t>
        <w:tab/>
        <w:t>Виджет «Управление активностями»;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rFonts w:eastAsia="DejaVu Sans"/>
          <w:sz w:val="23"/>
          <w:szCs w:val="23"/>
          <w:lang w:eastAsia="zh-CN" w:bidi="hi-IN"/>
        </w:rPr>
      </w:pPr>
      <w:r>
        <w:rPr>
          <w:rFonts w:eastAsia="DejaVu Sans"/>
          <w:sz w:val="23"/>
          <w:szCs w:val="23"/>
          <w:lang w:eastAsia="zh-CN" w:bidi="hi-IN"/>
        </w:rPr>
        <w:t>-</w:t>
        <w:tab/>
        <w:t>Виджет «Работы с УКИО».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rFonts w:eastAsia="DejaVu Sans"/>
          <w:sz w:val="23"/>
          <w:szCs w:val="23"/>
          <w:lang w:eastAsia="zh-CN" w:bidi="hi-IN"/>
        </w:rPr>
      </w:pPr>
      <w:r>
        <w:rPr>
          <w:rFonts w:eastAsia="DejaVu Sans"/>
          <w:sz w:val="23"/>
          <w:szCs w:val="23"/>
          <w:lang w:eastAsia="zh-CN" w:bidi="hi-IN"/>
        </w:rPr>
        <w:t>Виджет «Управление активностями» обеспечивает возможность обработки вызовов: прием входящего вызова, отклонение вызова, перенаправление вызова, приостановка вызова, получение консультации и организация конференции.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rFonts w:eastAsia="DejaVu Sans"/>
          <w:sz w:val="23"/>
          <w:szCs w:val="23"/>
          <w:lang w:eastAsia="zh-CN" w:bidi="hi-IN"/>
        </w:rPr>
      </w:pPr>
      <w:r>
        <w:rPr>
          <w:rFonts w:eastAsia="DejaVu Sans"/>
          <w:sz w:val="23"/>
          <w:szCs w:val="23"/>
          <w:lang w:eastAsia="zh-CN" w:bidi="hi-IN"/>
        </w:rPr>
        <w:t xml:space="preserve">Виджет «Управление активностями» содержит следующие области: 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rFonts w:eastAsia="DejaVu Sans"/>
          <w:sz w:val="23"/>
          <w:szCs w:val="23"/>
          <w:lang w:eastAsia="zh-CN" w:bidi="hi-IN"/>
        </w:rPr>
      </w:pPr>
      <w:r>
        <w:rPr>
          <w:rFonts w:eastAsia="DejaVu Sans"/>
          <w:sz w:val="23"/>
          <w:szCs w:val="23"/>
          <w:lang w:eastAsia="zh-CN" w:bidi="hi-IN"/>
        </w:rPr>
        <w:t>-</w:t>
        <w:tab/>
        <w:t>Статус оператора;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rFonts w:eastAsia="DejaVu Sans"/>
          <w:sz w:val="23"/>
          <w:szCs w:val="23"/>
          <w:lang w:eastAsia="zh-CN" w:bidi="hi-IN"/>
        </w:rPr>
      </w:pPr>
      <w:r>
        <w:rPr>
          <w:rFonts w:eastAsia="DejaVu Sans"/>
          <w:sz w:val="23"/>
          <w:szCs w:val="23"/>
          <w:lang w:eastAsia="zh-CN" w:bidi="hi-IN"/>
        </w:rPr>
        <w:t>-</w:t>
        <w:tab/>
        <w:t xml:space="preserve">Абонент — информация о номере вызываемой/вызывающей стороны, группе операторов и услуге; 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rFonts w:eastAsia="DejaVu Sans"/>
          <w:sz w:val="23"/>
          <w:szCs w:val="23"/>
          <w:lang w:eastAsia="zh-CN" w:bidi="hi-IN"/>
        </w:rPr>
      </w:pPr>
      <w:r>
        <w:rPr>
          <w:rFonts w:eastAsia="DejaVu Sans"/>
          <w:sz w:val="23"/>
          <w:szCs w:val="23"/>
          <w:lang w:eastAsia="zh-CN" w:bidi="hi-IN"/>
        </w:rPr>
        <w:t>-</w:t>
        <w:tab/>
        <w:t>Управление вызовами — управление входящими и исходящими вызовами.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rFonts w:eastAsia="DejaVu Sans"/>
          <w:sz w:val="23"/>
          <w:szCs w:val="23"/>
          <w:lang w:eastAsia="zh-CN" w:bidi="hi-IN"/>
        </w:rPr>
      </w:pPr>
      <w:r>
        <w:rPr>
          <w:rFonts w:eastAsia="DejaVu Sans"/>
          <w:sz w:val="23"/>
          <w:szCs w:val="23"/>
          <w:lang w:eastAsia="zh-CN" w:bidi="hi-IN"/>
        </w:rPr>
        <w:t>Виджет «Работы с УКИО» отображает информацию для просмотра и работы с УКИО, содержит список всех обращений, элементы для сортировки и экранные кнопки для настройки.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425" w:start="142"/>
        <w:jc w:val="both"/>
        <w:rPr>
          <w:sz w:val="23"/>
          <w:szCs w:val="23"/>
        </w:rPr>
      </w:pPr>
      <w:r>
        <w:rPr>
          <w:rFonts w:eastAsia="DejaVu Sans"/>
          <w:sz w:val="23"/>
          <w:szCs w:val="23"/>
          <w:lang w:eastAsia="zh-CN" w:bidi="hi-IN"/>
        </w:rPr>
        <w:t xml:space="preserve">УКИО имеет единую для всех диспетчерских служб общую информационную часть, включающую в том числе данные от ЭРА-ГЛОНАСС и специальную часть для организации межведомственного информационного обмена с каждой экстренной оперативной службой </w:t>
        <w:br/>
        <w:t>с учетом специфики привлекаемых сил и обрабатываемых запросов. Информационные поля УКИО соответствуют требованиям Постановления № 1931.</w:t>
      </w:r>
    </w:p>
    <w:p>
      <w:pPr>
        <w:pStyle w:val="ListParagraph"/>
        <w:widowControl w:val="false"/>
        <w:tabs>
          <w:tab w:val="clear" w:pos="708"/>
          <w:tab w:val="left" w:pos="284" w:leader="none"/>
          <w:tab w:val="left" w:pos="1134" w:leader="none"/>
        </w:tabs>
        <w:ind w:firstLine="425" w:start="142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</w:r>
    </w:p>
    <w:p>
      <w:pPr>
        <w:pStyle w:val="11"/>
        <w:numPr>
          <w:ilvl w:val="3"/>
          <w:numId w:val="7"/>
        </w:numPr>
        <w:tabs>
          <w:tab w:val="clear" w:pos="708"/>
          <w:tab w:val="left" w:pos="1134" w:leader="none"/>
        </w:tabs>
        <w:ind w:firstLine="567" w:start="0"/>
        <w:jc w:val="both"/>
        <w:rPr>
          <w:rFonts w:cs="Times New Roman"/>
          <w:b/>
          <w:sz w:val="23"/>
          <w:szCs w:val="23"/>
        </w:rPr>
      </w:pPr>
      <w:r>
        <w:rPr>
          <w:rFonts w:cs="Times New Roman"/>
          <w:b/>
          <w:sz w:val="23"/>
          <w:szCs w:val="23"/>
        </w:rPr>
        <w:t xml:space="preserve">Модуль обеспечения двухстороннего обмена </w:t>
      </w:r>
      <w:r>
        <w:rPr>
          <w:rFonts w:cs="Times New Roman"/>
          <w:b/>
          <w:sz w:val="23"/>
          <w:szCs w:val="23"/>
          <w:lang w:val="en-US"/>
        </w:rPr>
        <w:t>SMS</w:t>
      </w:r>
      <w:r>
        <w:rPr>
          <w:rFonts w:cs="Times New Roman"/>
          <w:b/>
          <w:sz w:val="23"/>
          <w:szCs w:val="23"/>
        </w:rPr>
        <w:t xml:space="preserve"> из УКИО содержит в себе следующие механизмы:</w:t>
      </w:r>
    </w:p>
    <w:p>
      <w:pPr>
        <w:pStyle w:val="11"/>
        <w:ind w:firstLine="567"/>
        <w:jc w:val="both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 xml:space="preserve"> − </w:t>
      </w:r>
      <w:r>
        <w:rPr>
          <w:rFonts w:cs="Times New Roman"/>
          <w:sz w:val="23"/>
          <w:szCs w:val="23"/>
        </w:rPr>
        <w:t xml:space="preserve">отправки исходящих СМС из УКИО, добавив кнопку «Отправить СМС» и область для отображения обмена СМС в карточке 112. Для исходящих СМС вводится статус «Отправлено». Данный статус обозначает было ли отправлено СМС в Колл-центр. Если СМС не отправилось, у оператора 112 есть возможность осуществить повторную отправку из карточки, оператору отобразится сообщение с предложением повторной отправки СМС. Уведомление о факте доставки (если оно поддерживается СМС-Center оператора сотовой связи), отправляется серверной частью Колл-центр на ES (уведомление по callId СМС) и может приходить со значительными задержками (этот параметр зависит от работы СМС-Center оператора связи, а также от возможностей доставки СМС конечному абоненту). Если СМС не было доставлено, то оператору будет отображена эта информация напротив текста СМС и оператор сможет отправить СМС повторно. </w:t>
      </w:r>
    </w:p>
    <w:p>
      <w:pPr>
        <w:pStyle w:val="11"/>
        <w:tabs>
          <w:tab w:val="clear" w:pos="708"/>
          <w:tab w:val="left" w:pos="1134" w:leader="none"/>
        </w:tabs>
        <w:ind w:firstLine="567"/>
        <w:jc w:val="both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 xml:space="preserve">− </w:t>
      </w:r>
      <w:r>
        <w:rPr>
          <w:rFonts w:cs="Times New Roman"/>
          <w:sz w:val="23"/>
          <w:szCs w:val="23"/>
        </w:rPr>
        <w:t>привязки входящих и исходящих СМС к существующей УКИО. Реализовать механизм поиска карточек по номеру абонента для УКИО с входящими СМС за последние 24 часа. Если поступает входящая СМС с номером абонента, по которому ранее уже поступала СМС или был входящий вызов в течение 24 часов, то оператору система предлагает привязать новое СМС сообщение к существующей карточке. Данный механизм проверки не должен запускаться для карточек, по которым была завершена работа, т.е. карточки в состоянии «Отработана». Если СМС от абонента поступает во время разговора с этим же абонентом, то СМС автоматически добавляется в раздел СМС. Если СМС от абонента поступает во время обработки СМС с этим же абонентом, то СМС автоматически добавляется в раздел СМС с выдачей оператору соответствующего уведомления. Если Вызов от абонента поступает во время обработки СМС с этим же абонентом, то по приему этого вызова, создается новая УКИО.</w:t>
      </w:r>
    </w:p>
    <w:p>
      <w:pPr>
        <w:pStyle w:val="11"/>
        <w:tabs>
          <w:tab w:val="clear" w:pos="708"/>
          <w:tab w:val="left" w:pos="1134" w:leader="none"/>
        </w:tabs>
        <w:ind w:firstLine="567"/>
        <w:jc w:val="both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 xml:space="preserve">− </w:t>
      </w:r>
      <w:r>
        <w:rPr>
          <w:rFonts w:cs="Times New Roman"/>
          <w:sz w:val="23"/>
          <w:szCs w:val="23"/>
        </w:rPr>
        <w:t>репликации, хранения истории обмена СМС. История СМС обмена должна демонстрироваться в хронологическом порядке, содержать тексты входящих и исходящих СМС, дата и время входящих и исходящих СМС.</w:t>
      </w:r>
    </w:p>
    <w:p>
      <w:pPr>
        <w:pStyle w:val="Style29"/>
        <w:numPr>
          <w:ilvl w:val="0"/>
          <w:numId w:val="0"/>
        </w:numPr>
        <w:tabs>
          <w:tab w:val="clear" w:pos="708"/>
          <w:tab w:val="left" w:pos="1134" w:leader="none"/>
        </w:tabs>
        <w:spacing w:lineRule="auto" w:line="240" w:before="0" w:after="0"/>
        <w:ind w:firstLine="567" w:start="0"/>
        <w:rPr>
          <w:sz w:val="23"/>
          <w:szCs w:val="23"/>
        </w:rPr>
      </w:pPr>
      <w:r>
        <w:rPr>
          <w:sz w:val="23"/>
          <w:szCs w:val="23"/>
        </w:rPr>
      </w:r>
      <w:bookmarkStart w:id="7" w:name="_Hlk209093573"/>
      <w:bookmarkStart w:id="8" w:name="_Hlk209093573"/>
      <w:bookmarkEnd w:id="8"/>
    </w:p>
    <w:p>
      <w:pPr>
        <w:pStyle w:val="ListParagraph"/>
        <w:widowControl w:val="false"/>
        <w:numPr>
          <w:ilvl w:val="2"/>
          <w:numId w:val="7"/>
        </w:numPr>
        <w:ind w:firstLine="567" w:start="0"/>
        <w:jc w:val="both"/>
        <w:outlineLvl w:val="2"/>
        <w:rPr>
          <w:b/>
          <w:sz w:val="23"/>
          <w:szCs w:val="23"/>
        </w:rPr>
      </w:pPr>
      <w:r>
        <w:rPr>
          <w:b/>
          <w:sz w:val="23"/>
          <w:szCs w:val="23"/>
          <w:lang w:bidi="ru-RU"/>
        </w:rPr>
        <w:t>Программно-аппаратные комплексы телекоммуникационной подсистемы Системы-112, оснащенны</w:t>
      </w:r>
      <w:bookmarkStart w:id="9" w:name="_Hlk175240015"/>
      <w:r>
        <w:rPr>
          <w:b/>
          <w:sz w:val="23"/>
          <w:szCs w:val="23"/>
          <w:lang w:bidi="ru-RU"/>
        </w:rPr>
        <w:t>е программным обеспечением «Программный комплекс "Протей-imSwitch"»</w:t>
      </w:r>
      <w:bookmarkEnd w:id="9"/>
      <w:r>
        <w:rPr>
          <w:b/>
          <w:sz w:val="23"/>
          <w:szCs w:val="23"/>
          <w:lang w:bidi="ru-RU"/>
        </w:rPr>
        <w:t xml:space="preserve"> (</w:t>
      </w:r>
      <w:r>
        <w:rPr>
          <w:sz w:val="23"/>
          <w:szCs w:val="23"/>
        </w:rPr>
        <w:t>Запись в Реестре российского программного обеспечения от 03.05.2017 № 3361).</w:t>
      </w:r>
    </w:p>
    <w:p>
      <w:pPr>
        <w:pStyle w:val="BodyText"/>
        <w:widowControl w:val="false"/>
        <w:tabs>
          <w:tab w:val="clear" w:pos="708"/>
          <w:tab w:val="left" w:pos="1134" w:leader="none"/>
        </w:tabs>
        <w:spacing w:before="0" w:after="0"/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Указанное в подпунктах 1.1.2.1, 1.1.2.2 оборудование в соответствии с Сертификатами соответствия в области связи № ОС-2-Г-0119, ОС-2-Г-0130, ОС-1-Г-0132 оснащено программным обеспечением «Программный комплекс «Протей-imSwitch» Правообладателем программного обеспечения является ООО «НТЦ ПРОТЕЙ» </w:t>
      </w:r>
      <w:bookmarkStart w:id="10" w:name="_Hlk180160483"/>
      <w:r>
        <w:rPr>
          <w:sz w:val="23"/>
          <w:szCs w:val="23"/>
        </w:rPr>
        <w:t>(ИНН 7825483961)</w:t>
      </w:r>
      <w:bookmarkEnd w:id="10"/>
      <w:r>
        <w:rPr>
          <w:sz w:val="23"/>
          <w:szCs w:val="23"/>
        </w:rPr>
        <w:t>.</w:t>
      </w:r>
    </w:p>
    <w:p>
      <w:pPr>
        <w:pStyle w:val="BodyText"/>
        <w:widowControl w:val="false"/>
        <w:tabs>
          <w:tab w:val="clear" w:pos="708"/>
          <w:tab w:val="left" w:pos="1134" w:leader="none"/>
        </w:tabs>
        <w:spacing w:before="0" w:after="0"/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Заказчику запрещается модифицировать, декомпилировать, деассемблировать, подвергать изменению, изменять порядок, корректировать или вносить другие изменения в отношении вышеуказанного проприетарного программного обеспечения производства ООО «НТЦ ПРОТЕЙ», в том числе Заказчик не имеет права сублицензировать, сдавать программное обеспечение и документацию к нему в аренду или передавать на безвозмездной основе третьим сторонам.</w:t>
      </w:r>
    </w:p>
    <w:p>
      <w:pPr>
        <w:pStyle w:val="Style29"/>
        <w:numPr>
          <w:ilvl w:val="0"/>
          <w:numId w:val="0"/>
        </w:numPr>
        <w:tabs>
          <w:tab w:val="clear" w:pos="708"/>
          <w:tab w:val="left" w:pos="1134" w:leader="none"/>
        </w:tabs>
        <w:spacing w:lineRule="auto" w:line="240" w:before="0" w:after="0"/>
        <w:ind w:firstLine="567" w:start="0"/>
        <w:rPr>
          <w:sz w:val="23"/>
          <w:szCs w:val="23"/>
        </w:rPr>
      </w:pPr>
      <w:r>
        <w:rPr>
          <w:sz w:val="23"/>
          <w:szCs w:val="23"/>
        </w:rPr>
        <w:t xml:space="preserve">Для достижения целей оказания услуг в рамках настоящего Технического задания Исполнитель или привлекаемый им соисполнитель, в отношении данного программного обеспечения должен иметь полномочия его модифицировать, подвергать изменению, изменять порядок, корректировать или вносить другие изменения в объеме, определенном настоящим документом. В соответствии с положениями ст. 1229, 1233 Гражданского кодекса Российской Федерации Исполнитель в течение 5 (пяти) рабочих дней с момента подписания Сторонами </w:t>
      </w:r>
      <w:r>
        <w:rPr>
          <w:sz w:val="23"/>
          <w:szCs w:val="23"/>
        </w:rPr>
        <w:t>Договора</w:t>
      </w:r>
      <w:r>
        <w:rPr>
          <w:sz w:val="23"/>
          <w:szCs w:val="23"/>
        </w:rPr>
        <w:t xml:space="preserve"> должен документально подтвердить наличие вышеуказанных прав одним из перечисленных документов:</w:t>
      </w:r>
    </w:p>
    <w:p>
      <w:pPr>
        <w:pStyle w:val="Normal"/>
        <w:tabs>
          <w:tab w:val="clear" w:pos="708"/>
          <w:tab w:val="left" w:pos="1134" w:leader="none"/>
        </w:tabs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- документом, подтверждающим наличие у Исполнителя или привлекаемого им соисполнителя исключительных прав на программное обеспечение;</w:t>
      </w:r>
    </w:p>
    <w:p>
      <w:pPr>
        <w:pStyle w:val="Normal"/>
        <w:tabs>
          <w:tab w:val="clear" w:pos="708"/>
          <w:tab w:val="left" w:pos="1134" w:leader="none"/>
        </w:tabs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-</w:t>
        <w:tab/>
        <w:t>лицензионный договор (лицензионное соглашение) с правообладателем, предоставляющий Исполнителю или привлекаемому им соисполнителю полномочия, необходимые и достаточные для оказания услуг;</w:t>
      </w:r>
    </w:p>
    <w:p>
      <w:pPr>
        <w:pStyle w:val="Normal"/>
        <w:tabs>
          <w:tab w:val="clear" w:pos="708"/>
          <w:tab w:val="left" w:pos="1134" w:leader="none"/>
        </w:tabs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-</w:t>
        <w:tab/>
        <w:t>сублицензионный договор с лицом, с которым правообладатель программного обеспечения, заключил лицензионный договор и предоставил этому лицу права на использование и которое, в свою очередь, предоставило соответствующие права Исполнителю или привлекаемому им соисполнителю в объеме, необходимом и достаточном для оказания услуг.</w:t>
      </w:r>
    </w:p>
    <w:p>
      <w:pPr>
        <w:pStyle w:val="Style29"/>
        <w:numPr>
          <w:ilvl w:val="0"/>
          <w:numId w:val="0"/>
        </w:numPr>
        <w:tabs>
          <w:tab w:val="clear" w:pos="708"/>
          <w:tab w:val="left" w:pos="1134" w:leader="none"/>
        </w:tabs>
        <w:spacing w:lineRule="auto" w:line="240" w:before="0" w:after="0"/>
        <w:ind w:firstLine="567" w:start="0"/>
        <w:rPr>
          <w:sz w:val="23"/>
          <w:szCs w:val="23"/>
        </w:rPr>
      </w:pPr>
      <w:r>
        <w:rPr>
          <w:sz w:val="23"/>
          <w:szCs w:val="23"/>
        </w:rPr>
        <w:t>Соответствие требованию подтверждается предоставлением документа(ов) или его (их) копии(й).</w:t>
      </w:r>
    </w:p>
    <w:p>
      <w:pPr>
        <w:pStyle w:val="ListParagraph"/>
        <w:widowControl w:val="false"/>
        <w:tabs>
          <w:tab w:val="clear" w:pos="708"/>
          <w:tab w:val="left" w:pos="284" w:leader="none"/>
          <w:tab w:val="left" w:pos="1134" w:leader="none"/>
        </w:tabs>
        <w:ind w:start="1647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</w:r>
    </w:p>
    <w:p>
      <w:pPr>
        <w:pStyle w:val="ListParagraph"/>
        <w:widowControl w:val="false"/>
        <w:numPr>
          <w:ilvl w:val="3"/>
          <w:numId w:val="7"/>
        </w:numPr>
        <w:ind w:firstLine="567" w:start="0"/>
        <w:jc w:val="both"/>
        <w:outlineLvl w:val="2"/>
        <w:rPr>
          <w:b/>
          <w:sz w:val="23"/>
          <w:szCs w:val="23"/>
        </w:rPr>
      </w:pPr>
      <w:r>
        <w:rPr>
          <w:b/>
          <w:sz w:val="23"/>
          <w:szCs w:val="23"/>
        </w:rPr>
        <w:t>Телекоммуникационный шлюз семейства Tiger</w:t>
      </w:r>
    </w:p>
    <w:p>
      <w:pPr>
        <w:pStyle w:val="Normal"/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Телекоммуникационный шлюз семейства Tiger производства ООО «НТЦ ПРОТЕЙ» – это телекоммуникационный шлюз операторского класса, предназначенный для сопряжения сети связи, использующей для передачи информации IP-сети, с традиционными сетями связи, работа которых основана на принципе коммутации каналов. Телекоммуникационный шлюз Tiger конструктивно выполнен в виде моноблока высотой 1U (приблизительно 45 мм) и шириной 19 ". Рабочим компонентом Tiger является плата Consul. Плата Consul представляет собой телекоммуникационный шлюз и имеет конкретный IP-адрес, присвоенный ей администратором сети в процессе настройки. </w:t>
      </w:r>
    </w:p>
    <w:p>
      <w:pPr>
        <w:pStyle w:val="Normal"/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В Tiger как в программно-аппаратном комплексе, подавляющую долю функциональности реализует программное обеспечение, что позволяет значительно повысить эффективность эксплуатации и развития оборудования. Программное обеспечение Tiger имеет развитую систему самодиагностики, предупреждения и автоматического исправления нештатных ситуаций. Для мониторинга текущего состояния в Tiger реализована поддержка стандартного протокола SNMP, что позволяет без лишних затрат использовать готовые программные продукты сторонних производителей для визуализации данных, передаваемых от Tiger с помощью SNMP-протокола.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BodyText"/>
        <w:widowControl w:val="false"/>
        <w:numPr>
          <w:ilvl w:val="3"/>
          <w:numId w:val="7"/>
        </w:numPr>
        <w:spacing w:before="0" w:after="0"/>
        <w:ind w:firstLine="709" w:start="0"/>
        <w:jc w:val="both"/>
        <w:outlineLvl w:val="2"/>
        <w:rPr>
          <w:b/>
          <w:sz w:val="23"/>
          <w:szCs w:val="23"/>
        </w:rPr>
      </w:pPr>
      <w:r>
        <w:rPr>
          <w:b/>
          <w:sz w:val="23"/>
          <w:szCs w:val="23"/>
        </w:rPr>
        <w:t>АТС Протей-imSwitch5 112Т5</w:t>
      </w:r>
    </w:p>
    <w:p>
      <w:pPr>
        <w:pStyle w:val="Normal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Для управления вызовами, поступающими на операторов Системы 112 и выполнения маршрутизации вызовов между операторами, а также основных функций по автоматизации процесса приема и обработки вызовов по единому номеру «112» в составе ЦОВ, РЦОВ предусмотрено использование автоматической телефонной станции (АТС). АТС Протей-imSwitch5 представляет собой оборудование цифровой автоматической телефонной станции разработки ООО «НТЦ ПРОТЕЙ», предназначенное для применения в качестве оконечного, оконечного-транзитного, транзитного местного узла связи. </w:t>
      </w:r>
    </w:p>
    <w:p>
      <w:pPr>
        <w:pStyle w:val="Style29"/>
        <w:numPr>
          <w:ilvl w:val="0"/>
          <w:numId w:val="0"/>
        </w:numPr>
        <w:tabs>
          <w:tab w:val="clear" w:pos="708"/>
        </w:tabs>
        <w:spacing w:lineRule="auto" w:line="240" w:before="0" w:after="0"/>
        <w:ind w:firstLine="567" w:start="0"/>
        <w:rPr>
          <w:b/>
          <w:sz w:val="23"/>
          <w:szCs w:val="23"/>
        </w:rPr>
      </w:pPr>
      <w:r>
        <w:rPr>
          <w:b/>
          <w:sz w:val="23"/>
          <w:szCs w:val="23"/>
        </w:rPr>
      </w:r>
    </w:p>
    <w:p>
      <w:pPr>
        <w:pStyle w:val="Style29"/>
        <w:numPr>
          <w:ilvl w:val="1"/>
          <w:numId w:val="7"/>
        </w:numPr>
        <w:tabs>
          <w:tab w:val="clear" w:pos="708"/>
        </w:tabs>
        <w:spacing w:lineRule="auto" w:line="240" w:before="0" w:after="0"/>
        <w:ind w:firstLine="567" w:start="0"/>
        <w:outlineLvl w:val="1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Сведения о вспомогательных программных средствах </w:t>
      </w:r>
    </w:p>
    <w:p>
      <w:pPr>
        <w:pStyle w:val="Style29"/>
        <w:numPr>
          <w:ilvl w:val="0"/>
          <w:numId w:val="0"/>
        </w:numPr>
        <w:tabs>
          <w:tab w:val="clear" w:pos="708"/>
        </w:tabs>
        <w:spacing w:lineRule="auto" w:line="240" w:before="0" w:after="0"/>
        <w:ind w:firstLine="567" w:start="0"/>
        <w:rPr>
          <w:b/>
          <w:sz w:val="23"/>
          <w:szCs w:val="23"/>
        </w:rPr>
      </w:pPr>
      <w:r>
        <w:rPr>
          <w:b/>
          <w:sz w:val="23"/>
          <w:szCs w:val="23"/>
        </w:rPr>
        <w:t>Компоненты унифицированного (универсального) специального программного обеспечения «112» (УСПО-112).</w:t>
      </w:r>
    </w:p>
    <w:p>
      <w:pPr>
        <w:pStyle w:val="Style29"/>
        <w:numPr>
          <w:ilvl w:val="0"/>
          <w:numId w:val="0"/>
        </w:numPr>
        <w:tabs>
          <w:tab w:val="clear" w:pos="708"/>
        </w:tabs>
        <w:spacing w:lineRule="auto" w:line="240" w:before="0" w:after="0"/>
        <w:ind w:firstLine="567" w:start="0"/>
        <w:rPr>
          <w:sz w:val="23"/>
          <w:szCs w:val="23"/>
        </w:rPr>
      </w:pPr>
      <w:r>
        <w:rPr>
          <w:sz w:val="23"/>
          <w:szCs w:val="23"/>
        </w:rPr>
        <w:t xml:space="preserve">В работе Системы-112 частично используются компоненты УСПО-112. Компоненты УСПО-112 используются Заказчиком в качестве вспомогательных компонентов в части клиентского ПО, обеспечивающих дополнительную резервную возможность приема и обработки вызовов по единому номеру «112» на автоматизированных рабочих местах ДДС ЭОС и ЕДДС путем их подключения к ядру Системы-112 на базе </w:t>
      </w:r>
      <w:r>
        <w:rPr>
          <w:sz w:val="23"/>
          <w:szCs w:val="23"/>
          <w:lang w:val="en-US"/>
        </w:rPr>
        <w:t>IASP</w:t>
      </w:r>
      <w:r>
        <w:rPr>
          <w:sz w:val="23"/>
          <w:szCs w:val="23"/>
        </w:rPr>
        <w:t xml:space="preserve"> </w:t>
      </w:r>
      <w:r>
        <w:rPr>
          <w:sz w:val="23"/>
          <w:szCs w:val="23"/>
          <w:lang w:val="en-US"/>
        </w:rPr>
        <w:t>PROTEI</w:t>
      </w:r>
      <w:r>
        <w:rPr>
          <w:sz w:val="23"/>
          <w:szCs w:val="23"/>
        </w:rPr>
        <w:t xml:space="preserve">. </w:t>
      </w:r>
    </w:p>
    <w:p>
      <w:pPr>
        <w:pStyle w:val="Style29"/>
        <w:numPr>
          <w:ilvl w:val="0"/>
          <w:numId w:val="0"/>
        </w:numPr>
        <w:tabs>
          <w:tab w:val="clear" w:pos="708"/>
        </w:tabs>
        <w:spacing w:lineRule="auto" w:line="240" w:before="0" w:after="0"/>
        <w:ind w:firstLine="567" w:start="0"/>
        <w:rPr>
          <w:sz w:val="23"/>
          <w:szCs w:val="23"/>
        </w:rPr>
      </w:pPr>
      <w:r>
        <w:rPr>
          <w:sz w:val="23"/>
          <w:szCs w:val="23"/>
        </w:rPr>
        <w:t>Состав и объем компонентов УСПО-112 может быть изменен в течение срока оказания услуг в рамках реализации Заказчиком Плана мероприятий по импортозамещению в порядке, предусмотренном статьей 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в связи с чем компоненты УСПО-112 не планируются Заказчиком к развитию, в том числе плановому или внеплановому обновлению (модификации).</w:t>
      </w:r>
    </w:p>
    <w:p>
      <w:pPr>
        <w:pStyle w:val="Style29"/>
        <w:numPr>
          <w:ilvl w:val="0"/>
          <w:numId w:val="0"/>
        </w:numPr>
        <w:tabs>
          <w:tab w:val="clear" w:pos="708"/>
          <w:tab w:val="left" w:pos="1134" w:leader="none"/>
        </w:tabs>
        <w:spacing w:lineRule="auto" w:line="240" w:before="0" w:after="0"/>
        <w:ind w:firstLine="567" w:start="0"/>
        <w:rPr>
          <w:sz w:val="23"/>
          <w:szCs w:val="23"/>
        </w:rPr>
      </w:pPr>
      <w:r>
        <w:rPr>
          <w:sz w:val="23"/>
          <w:szCs w:val="23"/>
        </w:rPr>
        <w:t xml:space="preserve">Правообладателем УСПО-112 является Министерство Российской Федерации по делам гражданской обороны, чрезвычайным ситуациям и ликвидации последствий стихийных бедствий (далее – МЧС России). </w:t>
      </w:r>
    </w:p>
    <w:p>
      <w:pPr>
        <w:pStyle w:val="Style29"/>
        <w:numPr>
          <w:ilvl w:val="0"/>
          <w:numId w:val="0"/>
        </w:numPr>
        <w:tabs>
          <w:tab w:val="clear" w:pos="708"/>
          <w:tab w:val="left" w:pos="1134" w:leader="none"/>
        </w:tabs>
        <w:spacing w:lineRule="auto" w:line="240" w:before="0" w:after="0"/>
        <w:ind w:firstLine="567" w:start="0"/>
        <w:rPr>
          <w:sz w:val="23"/>
          <w:szCs w:val="23"/>
        </w:rPr>
      </w:pPr>
      <w:r>
        <w:rPr>
          <w:sz w:val="23"/>
          <w:szCs w:val="23"/>
        </w:rPr>
        <w:t>Сведения об УСПО-112 включены в единый реестр российских программ для электронных вычислительных машин и баз данных на основании постановления Правительства Российской Федерации от 16 ноября 2015 г. № 1236 «Об установлении запрета на допуск программного обеспечения, происходящего из иностранных государств, для целей осуществления закупок для обеспечения государственных и муниципальных нужд» Приказом Министра Минкомсвязи России от 23.12.2016 № 682.</w:t>
      </w:r>
    </w:p>
    <w:p>
      <w:pPr>
        <w:pStyle w:val="Style23"/>
        <w:keepNext w:val="false"/>
        <w:widowControl w:val="false"/>
        <w:tabs>
          <w:tab w:val="clear" w:pos="708"/>
          <w:tab w:val="left" w:pos="1134" w:leader="none"/>
        </w:tabs>
        <w:spacing w:lineRule="auto" w:line="240" w:before="0" w:after="0"/>
        <w:ind w:firstLine="567"/>
        <w:rPr>
          <w:rFonts w:cs="Times New Roman"/>
          <w:sz w:val="23"/>
          <w:szCs w:val="23"/>
        </w:rPr>
      </w:pPr>
      <w:r>
        <w:rPr>
          <w:sz w:val="23"/>
          <w:szCs w:val="23"/>
        </w:rPr>
        <w:t>Неисключительные права на использование УСПО-112 на территории Республики Тыва переданы Заказчику по лицензионному соглашению № 16062116 от 26.08.2016.</w:t>
      </w:r>
    </w:p>
    <w:p>
      <w:pPr>
        <w:pStyle w:val="Style23"/>
        <w:keepNext w:val="false"/>
        <w:widowControl w:val="false"/>
        <w:numPr>
          <w:ilvl w:val="1"/>
          <w:numId w:val="7"/>
        </w:numPr>
        <w:spacing w:lineRule="auto" w:line="240" w:before="0" w:after="0"/>
        <w:ind w:firstLine="567" w:start="0"/>
        <w:outlineLvl w:val="1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>Местом оказания услуг является:</w:t>
      </w:r>
    </w:p>
    <w:p>
      <w:pPr>
        <w:pStyle w:val="docdata"/>
        <w:spacing w:beforeAutospacing="0" w:before="0" w:afterAutospacing="0" w:after="0"/>
        <w:ind w:firstLine="708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Услуги осуществляются удаленно посредством предоставленной Заказчиком возможности удаленного доступа до объектов автоматизации Системы-112, указанных в Приложении № 1 к настоящему Техническому заданию. </w:t>
      </w:r>
    </w:p>
    <w:p>
      <w:pPr>
        <w:pStyle w:val="docdata"/>
        <w:spacing w:beforeAutospacing="0" w:before="0" w:afterAutospacing="0" w:after="0"/>
        <w:ind w:firstLine="708"/>
        <w:jc w:val="both"/>
        <w:rPr>
          <w:sz w:val="23"/>
          <w:szCs w:val="23"/>
        </w:rPr>
      </w:pPr>
      <w:r>
        <w:rPr>
          <w:color w:val="000000"/>
          <w:sz w:val="23"/>
          <w:szCs w:val="23"/>
        </w:rPr>
        <w:t xml:space="preserve">Для оказания Услуг Исполнителем применяется ПТК УД. </w:t>
      </w:r>
    </w:p>
    <w:p>
      <w:pPr>
        <w:pStyle w:val="NormalWeb"/>
        <w:spacing w:beforeAutospacing="0" w:before="0" w:afterAutospacing="0" w:after="0"/>
        <w:ind w:firstLine="708"/>
        <w:jc w:val="both"/>
        <w:rPr>
          <w:sz w:val="23"/>
          <w:szCs w:val="23"/>
        </w:rPr>
      </w:pPr>
      <w:r>
        <w:rPr>
          <w:color w:val="000000"/>
          <w:sz w:val="23"/>
          <w:szCs w:val="23"/>
        </w:rPr>
        <w:t xml:space="preserve">Взаимодействие ПТК УД и Системы-112 должно осуществляться через сеть Интернет с применением средств криптографической защиты информации как со стороны ПТК УД, так и со стороны Системы-112. </w:t>
      </w:r>
    </w:p>
    <w:p>
      <w:pPr>
        <w:pStyle w:val="NormalWeb"/>
        <w:spacing w:beforeAutospacing="0" w:before="0" w:afterAutospacing="0" w:after="0"/>
        <w:ind w:firstLine="708"/>
        <w:jc w:val="both"/>
        <w:rPr>
          <w:sz w:val="23"/>
          <w:szCs w:val="23"/>
        </w:rPr>
      </w:pPr>
      <w:r>
        <w:rPr>
          <w:color w:val="000000"/>
          <w:sz w:val="23"/>
          <w:szCs w:val="23"/>
        </w:rPr>
        <w:t>Криптографическая защита канала связи между ПТК УД и Системой-112 должна быть выполнена с использованием средств ViPNet, имеющих действующие сертификаты ФСБ на соответствие требованиям к средствам криптографической защиты информации, предназначенным для защиты информации, не содержащей сведений, составляющих государственную тайну, класса не ниже КС2.</w:t>
      </w:r>
    </w:p>
    <w:p>
      <w:pPr>
        <w:pStyle w:val="NormalWeb"/>
        <w:spacing w:beforeAutospacing="0" w:before="0" w:afterAutospacing="0" w:after="0"/>
        <w:ind w:firstLine="708"/>
        <w:jc w:val="both"/>
        <w:rPr>
          <w:sz w:val="23"/>
          <w:szCs w:val="23"/>
        </w:rPr>
      </w:pPr>
      <w:r>
        <w:rPr>
          <w:color w:val="000000"/>
          <w:sz w:val="23"/>
          <w:szCs w:val="23"/>
        </w:rPr>
        <w:t>ПТК УД должен включать сертифицированные средства защиты от НСД, исключающие возможность изменения конфигурации ПТК УД без санкции системного администратора и администратора информационной безопасности системы удаленного доступа.</w:t>
      </w:r>
    </w:p>
    <w:p>
      <w:pPr>
        <w:pStyle w:val="Style23"/>
        <w:keepNext w:val="false"/>
        <w:widowControl w:val="false"/>
        <w:tabs>
          <w:tab w:val="clear" w:pos="708"/>
          <w:tab w:val="left" w:pos="1134" w:leader="none"/>
        </w:tabs>
        <w:spacing w:lineRule="auto" w:line="240" w:before="0" w:after="0"/>
        <w:ind w:firstLine="567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</w:r>
    </w:p>
    <w:p>
      <w:pPr>
        <w:pStyle w:val="Heading2"/>
        <w:numPr>
          <w:ilvl w:val="1"/>
          <w:numId w:val="7"/>
        </w:numPr>
        <w:spacing w:lineRule="auto" w:line="240" w:before="0" w:after="0"/>
        <w:ind w:firstLine="709" w:start="0"/>
        <w:rPr>
          <w:sz w:val="23"/>
          <w:szCs w:val="23"/>
        </w:rPr>
      </w:pPr>
      <w:bookmarkStart w:id="11" w:name="_Toc795045"/>
      <w:bookmarkStart w:id="12" w:name="_Toc473899635"/>
      <w:r>
        <w:rPr>
          <w:sz w:val="23"/>
          <w:szCs w:val="23"/>
        </w:rPr>
        <w:t xml:space="preserve">Наименования организаций заказчика и организаций-участников </w:t>
      </w:r>
      <w:bookmarkEnd w:id="12"/>
      <w:r>
        <w:rPr>
          <w:sz w:val="23"/>
          <w:szCs w:val="23"/>
        </w:rPr>
        <w:t>оказания услуг</w:t>
      </w:r>
      <w:bookmarkEnd w:id="11"/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Заказчик: </w:t>
      </w:r>
      <w:r>
        <w:rPr>
          <w:sz w:val="23"/>
          <w:szCs w:val="23"/>
        </w:rPr>
        <w:t>ПАО «Ростелеком»</w:t>
      </w:r>
    </w:p>
    <w:p>
      <w:pPr>
        <w:pStyle w:val="Normal"/>
        <w:widowControl w:val="false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Исполнитель: 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Heading2"/>
        <w:keepNext w:val="false"/>
        <w:keepLines w:val="false"/>
        <w:widowControl w:val="false"/>
        <w:numPr>
          <w:ilvl w:val="1"/>
          <w:numId w:val="7"/>
        </w:numPr>
        <w:tabs>
          <w:tab w:val="clear" w:pos="708"/>
          <w:tab w:val="left" w:pos="1134" w:leader="none"/>
        </w:tabs>
        <w:spacing w:lineRule="auto" w:line="240" w:before="0" w:after="0"/>
        <w:ind w:firstLine="709" w:start="0"/>
        <w:rPr>
          <w:sz w:val="23"/>
          <w:szCs w:val="23"/>
        </w:rPr>
      </w:pPr>
      <w:bookmarkStart w:id="13" w:name="_Toc795046"/>
      <w:bookmarkStart w:id="14" w:name="_Toc473899637"/>
      <w:bookmarkStart w:id="15" w:name="_Ref452390170"/>
      <w:r>
        <w:rPr>
          <w:sz w:val="23"/>
          <w:szCs w:val="23"/>
        </w:rPr>
        <w:t xml:space="preserve">Плановые сроки начала и окончания </w:t>
      </w:r>
      <w:bookmarkEnd w:id="14"/>
      <w:bookmarkEnd w:id="15"/>
      <w:r>
        <w:rPr>
          <w:sz w:val="23"/>
          <w:szCs w:val="23"/>
        </w:rPr>
        <w:t>оказания услуг по сопровождению системы</w:t>
      </w:r>
      <w:bookmarkEnd w:id="13"/>
      <w:r>
        <w:rPr>
          <w:sz w:val="23"/>
          <w:szCs w:val="23"/>
        </w:rPr>
        <w:t>-112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Сроки оказания услуг:</w:t>
      </w:r>
      <w:r>
        <w:rPr>
          <w:bCs/>
          <w:sz w:val="23"/>
          <w:szCs w:val="23"/>
        </w:rPr>
        <w:t xml:space="preserve"> с момента заключения </w:t>
      </w:r>
      <w:r>
        <w:rPr>
          <w:bCs/>
          <w:sz w:val="23"/>
          <w:szCs w:val="23"/>
        </w:rPr>
        <w:t>Договора</w:t>
      </w:r>
      <w:r>
        <w:rPr>
          <w:bCs/>
          <w:sz w:val="23"/>
          <w:szCs w:val="23"/>
        </w:rPr>
        <w:t xml:space="preserve"> до</w:t>
      </w:r>
      <w:r>
        <w:rPr>
          <w:sz w:val="23"/>
          <w:szCs w:val="23"/>
        </w:rPr>
        <w:t xml:space="preserve"> 31.12.2026 включительно.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>
      <w:pPr>
        <w:pStyle w:val="Heading1"/>
        <w:keepNext w:val="false"/>
        <w:keepLines w:val="false"/>
        <w:widowControl w:val="false"/>
        <w:numPr>
          <w:ilvl w:val="0"/>
          <w:numId w:val="7"/>
        </w:numPr>
        <w:tabs>
          <w:tab w:val="clear" w:pos="708"/>
          <w:tab w:val="left" w:pos="1134" w:leader="none"/>
        </w:tabs>
        <w:spacing w:lineRule="auto" w:line="240" w:before="0" w:after="0"/>
        <w:ind w:firstLine="567"/>
        <w:rPr>
          <w:sz w:val="23"/>
          <w:szCs w:val="23"/>
        </w:rPr>
      </w:pPr>
      <w:bookmarkStart w:id="16" w:name="_Toc795049"/>
      <w:bookmarkStart w:id="17" w:name="_Toc473899639"/>
      <w:r>
        <w:rPr>
          <w:sz w:val="23"/>
          <w:szCs w:val="23"/>
        </w:rPr>
        <w:t xml:space="preserve">Цель и </w:t>
      </w:r>
      <w:bookmarkEnd w:id="17"/>
      <w:r>
        <w:rPr>
          <w:sz w:val="23"/>
          <w:szCs w:val="23"/>
        </w:rPr>
        <w:t>задачи технического сопровождения СПО-112 Системы</w:t>
      </w:r>
      <w:bookmarkEnd w:id="16"/>
      <w:r>
        <w:rPr>
          <w:sz w:val="23"/>
          <w:szCs w:val="23"/>
        </w:rPr>
        <w:t>-112</w:t>
      </w:r>
    </w:p>
    <w:p>
      <w:pPr>
        <w:pStyle w:val="Heading2"/>
        <w:keepNext w:val="false"/>
        <w:keepLines w:val="false"/>
        <w:widowControl w:val="false"/>
        <w:numPr>
          <w:ilvl w:val="1"/>
          <w:numId w:val="7"/>
        </w:numPr>
        <w:tabs>
          <w:tab w:val="clear" w:pos="708"/>
          <w:tab w:val="left" w:pos="1134" w:leader="none"/>
        </w:tabs>
        <w:spacing w:lineRule="auto" w:line="240" w:before="0" w:after="0"/>
        <w:ind w:firstLine="567" w:start="0"/>
        <w:rPr>
          <w:sz w:val="23"/>
          <w:szCs w:val="23"/>
        </w:rPr>
      </w:pPr>
      <w:bookmarkStart w:id="18" w:name="_Toc795050"/>
      <w:bookmarkStart w:id="19" w:name="_Toc473899641"/>
      <w:r>
        <w:rPr>
          <w:sz w:val="23"/>
          <w:szCs w:val="23"/>
        </w:rPr>
        <w:t xml:space="preserve">Цель </w:t>
      </w:r>
      <w:bookmarkEnd w:id="19"/>
      <w:r>
        <w:rPr>
          <w:sz w:val="23"/>
          <w:szCs w:val="23"/>
        </w:rPr>
        <w:t>технического сопровождения СПО-112 Системы</w:t>
      </w:r>
      <w:bookmarkEnd w:id="18"/>
      <w:r>
        <w:rPr>
          <w:sz w:val="23"/>
          <w:szCs w:val="23"/>
        </w:rPr>
        <w:t>-112</w:t>
      </w:r>
    </w:p>
    <w:p>
      <w:pPr>
        <w:pStyle w:val="Style23"/>
        <w:keepNext w:val="false"/>
        <w:widowControl w:val="false"/>
        <w:tabs>
          <w:tab w:val="clear" w:pos="708"/>
          <w:tab w:val="left" w:pos="1134" w:leader="none"/>
        </w:tabs>
        <w:spacing w:lineRule="auto" w:line="240" w:before="0" w:after="0"/>
        <w:ind w:firstLine="567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>Целью сопровождения является поддержание надлежащего функционирования работы СПО-112 Системы-112 Республики Тыва, перечисленного в пункте 1.1. настоящего Технического задания. Перечень объектов автоматизации, подлежащих техническому сопровождению приведен в Приложении № 1 настоящего Технического задания.</w:t>
      </w:r>
    </w:p>
    <w:p>
      <w:pPr>
        <w:pStyle w:val="Heading2"/>
        <w:keepNext w:val="false"/>
        <w:keepLines w:val="false"/>
        <w:widowControl w:val="false"/>
        <w:numPr>
          <w:ilvl w:val="1"/>
          <w:numId w:val="7"/>
        </w:numPr>
        <w:tabs>
          <w:tab w:val="clear" w:pos="708"/>
          <w:tab w:val="left" w:pos="1134" w:leader="none"/>
        </w:tabs>
        <w:spacing w:lineRule="auto" w:line="240" w:before="0" w:after="0"/>
        <w:ind w:firstLine="567" w:start="0"/>
        <w:rPr>
          <w:sz w:val="23"/>
          <w:szCs w:val="23"/>
        </w:rPr>
      </w:pPr>
      <w:bookmarkStart w:id="20" w:name="_Toc795051"/>
      <w:r>
        <w:rPr>
          <w:sz w:val="23"/>
          <w:szCs w:val="23"/>
        </w:rPr>
        <w:t>Задачи технического сопровождения СПО-112 Системы</w:t>
      </w:r>
      <w:bookmarkEnd w:id="20"/>
      <w:r>
        <w:rPr>
          <w:sz w:val="23"/>
          <w:szCs w:val="23"/>
        </w:rPr>
        <w:t>-112</w:t>
      </w:r>
    </w:p>
    <w:p>
      <w:pPr>
        <w:pStyle w:val="Style23"/>
        <w:keepNext w:val="false"/>
        <w:widowControl w:val="false"/>
        <w:tabs>
          <w:tab w:val="clear" w:pos="708"/>
          <w:tab w:val="left" w:pos="1134" w:leader="none"/>
        </w:tabs>
        <w:spacing w:lineRule="auto" w:line="240" w:before="0" w:after="0"/>
        <w:ind w:firstLine="567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>Задачами, решаемыми в рамках технического сопровождения СПО-112 Системы-112, являются:</w:t>
      </w:r>
    </w:p>
    <w:p>
      <w:pPr>
        <w:pStyle w:val="Style24"/>
        <w:widowControl w:val="false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40" w:before="0" w:after="0"/>
        <w:ind w:firstLine="567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>обеспечение работоспособности СПО-112 Системы-112 на объектах автоматизации, в том числе проведение плановых и внеочередных работ по поддержанию работоспособности систем и восстановлению функционирования подсистем СПО-112 в случае возникновения нештатных ситуаций, сбоев и отказов в их работе;</w:t>
      </w:r>
    </w:p>
    <w:p>
      <w:pPr>
        <w:pStyle w:val="Style24"/>
        <w:widowControl w:val="false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40" w:before="0" w:after="0"/>
        <w:ind w:firstLine="567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>обеспечение администрирования классификаторов и справочников СПО-112 Системы-112 по заявке уполномоченного представителя Заказчика;</w:t>
      </w:r>
    </w:p>
    <w:p>
      <w:pPr>
        <w:pStyle w:val="Style24"/>
        <w:widowControl w:val="false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40" w:before="0" w:after="0"/>
        <w:ind w:firstLine="567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>обеспечение учета и исполнения заявок по разрешению проблем СПО-112, возникающих в ходе эксплуатации Системы-112 на объектах автоматизации, а также учета результатов разрешения каждой заявки;</w:t>
      </w:r>
    </w:p>
    <w:p>
      <w:pPr>
        <w:pStyle w:val="Style24"/>
        <w:widowControl w:val="false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40" w:before="0" w:after="0"/>
        <w:ind w:firstLine="567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>обеспечение обслуживания и настройки операционных систем на серверах ЦОВ и РЦОВ Системы-112;</w:t>
      </w:r>
    </w:p>
    <w:p>
      <w:pPr>
        <w:pStyle w:val="Style24"/>
        <w:widowControl w:val="false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40" w:before="0" w:after="0"/>
        <w:ind w:firstLine="567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>оказание консультационных услуг по работе СПО Системы-112.</w:t>
      </w:r>
    </w:p>
    <w:p>
      <w:pPr>
        <w:pStyle w:val="Style24"/>
        <w:widowControl w:val="false"/>
        <w:numPr>
          <w:ilvl w:val="0"/>
          <w:numId w:val="0"/>
        </w:numPr>
        <w:tabs>
          <w:tab w:val="clear" w:pos="708"/>
          <w:tab w:val="left" w:pos="1134" w:leader="none"/>
        </w:tabs>
        <w:spacing w:lineRule="auto" w:line="240" w:before="0" w:after="0"/>
        <w:ind w:firstLine="567" w:start="0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>В рамках оказываемых услуг по настоящему Техническому заданию не допускается замена СПО-112 в целом, а также любых ее модулей. Вносимые Исполнителем изменения, в том числе модернизированные версии СПО-112 не должны приводить к перерывам в работе системы-112. Исполнитель гарантирует сохранность всех данных в системе-112, в том числе истории поступивших в систему-112 ранее вызовов.</w:t>
      </w:r>
    </w:p>
    <w:p>
      <w:pPr>
        <w:pStyle w:val="Style24"/>
        <w:widowControl w:val="false"/>
        <w:numPr>
          <w:ilvl w:val="0"/>
          <w:numId w:val="0"/>
        </w:numPr>
        <w:tabs>
          <w:tab w:val="clear" w:pos="708"/>
          <w:tab w:val="left" w:pos="1134" w:leader="none"/>
        </w:tabs>
        <w:spacing w:lineRule="auto" w:line="240" w:before="0" w:after="0"/>
        <w:ind w:firstLine="567" w:start="0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</w:r>
    </w:p>
    <w:p>
      <w:pPr>
        <w:pStyle w:val="Heading1"/>
        <w:keepNext w:val="false"/>
        <w:keepLines w:val="false"/>
        <w:widowControl w:val="false"/>
        <w:numPr>
          <w:ilvl w:val="0"/>
          <w:numId w:val="7"/>
        </w:numPr>
        <w:tabs>
          <w:tab w:val="clear" w:pos="708"/>
          <w:tab w:val="left" w:pos="1134" w:leader="none"/>
        </w:tabs>
        <w:spacing w:lineRule="auto" w:line="240" w:before="0" w:after="0"/>
        <w:ind w:firstLine="567" w:start="0"/>
        <w:rPr>
          <w:sz w:val="23"/>
          <w:szCs w:val="23"/>
        </w:rPr>
      </w:pPr>
      <w:bookmarkStart w:id="21" w:name="_Toc100127714"/>
      <w:bookmarkStart w:id="22" w:name="_Toc795052"/>
      <w:bookmarkStart w:id="23" w:name="_Toc473899642"/>
      <w:bookmarkEnd w:id="21"/>
      <w:r>
        <w:rPr>
          <w:sz w:val="23"/>
          <w:szCs w:val="23"/>
        </w:rPr>
        <w:t>Характеристика объектов автоматизации</w:t>
      </w:r>
      <w:bookmarkEnd w:id="22"/>
      <w:bookmarkEnd w:id="23"/>
    </w:p>
    <w:p>
      <w:pPr>
        <w:pStyle w:val="Heading2"/>
        <w:keepNext w:val="false"/>
        <w:keepLines w:val="false"/>
        <w:widowControl w:val="false"/>
        <w:numPr>
          <w:ilvl w:val="1"/>
          <w:numId w:val="7"/>
        </w:numPr>
        <w:tabs>
          <w:tab w:val="clear" w:pos="708"/>
          <w:tab w:val="left" w:pos="1134" w:leader="none"/>
        </w:tabs>
        <w:spacing w:lineRule="auto" w:line="240" w:before="0" w:after="0"/>
        <w:ind w:firstLine="567" w:start="0"/>
        <w:rPr>
          <w:sz w:val="23"/>
          <w:szCs w:val="23"/>
        </w:rPr>
      </w:pPr>
      <w:bookmarkStart w:id="24" w:name="_Toc795053"/>
      <w:bookmarkStart w:id="25" w:name="_Toc473899643"/>
      <w:r>
        <w:rPr>
          <w:sz w:val="23"/>
          <w:szCs w:val="23"/>
        </w:rPr>
        <w:t>Краткие сведения об объектах автоматизации АИС Системы</w:t>
      </w:r>
      <w:bookmarkEnd w:id="24"/>
      <w:bookmarkEnd w:id="25"/>
      <w:r>
        <w:rPr>
          <w:sz w:val="23"/>
          <w:szCs w:val="23"/>
        </w:rPr>
        <w:t>-112</w:t>
      </w:r>
    </w:p>
    <w:p>
      <w:pPr>
        <w:pStyle w:val="Normal"/>
        <w:tabs>
          <w:tab w:val="clear" w:pos="708"/>
          <w:tab w:val="left" w:pos="1134" w:leader="none"/>
        </w:tabs>
        <w:ind w:firstLine="567"/>
        <w:jc w:val="both"/>
        <w:rPr>
          <w:rFonts w:eastAsia="Calibri"/>
          <w:sz w:val="23"/>
          <w:szCs w:val="23"/>
          <w:lang w:eastAsia="en-US"/>
        </w:rPr>
      </w:pPr>
      <w:r>
        <w:rPr>
          <w:rFonts w:eastAsia="Calibri"/>
          <w:sz w:val="23"/>
          <w:szCs w:val="23"/>
          <w:lang w:eastAsia="en-US"/>
        </w:rPr>
        <w:t xml:space="preserve">В соответствии с Положением о единой государственной системе предупреждения </w:t>
        <w:br/>
        <w:t>и ликвидации чрезвычайных ситуаций, утвержденным постановлением Правительства Российской Федерации от 30 декабря 2003 г. № 794, в территориальных органах МЧС России были организованы центры управления в кризисных ситуациях, предназначенные для координации действия по предупреждению и ликвидации чрезвычайных ситуаций. Органы повседневного управления единой государственной системы предупреждения и ликвидации чрезвычайных ситуаций региона включают в себя муниципальные, межмуниципальные единые дежурно-диспетчерские службы и дежурно-диспетчерские службы ЭОС. ЕДДС являются органами повседневного управления местной (городской) подсистемы единой государственной системы предупреждения и ликвидации чрезвычайных ситуаций. ЕДДС предназначены для координации действий ЭОС одного или нескольких муниципальных образований Республики Тыва. На базе ЕДДС создаются центры обработки вызовов Системы-112, обеспечивающие прием и обработку вызовов (сообщений о происшествиях) от населения и организаций в зоне ответственности.</w:t>
      </w:r>
    </w:p>
    <w:p>
      <w:pPr>
        <w:pStyle w:val="Normal"/>
        <w:tabs>
          <w:tab w:val="clear" w:pos="708"/>
          <w:tab w:val="left" w:pos="1134" w:leader="none"/>
        </w:tabs>
        <w:ind w:firstLine="567"/>
        <w:jc w:val="both"/>
        <w:rPr>
          <w:sz w:val="23"/>
          <w:szCs w:val="23"/>
          <w:lang w:eastAsia="ja-JP"/>
        </w:rPr>
      </w:pPr>
      <w:r>
        <w:rPr>
          <w:sz w:val="23"/>
          <w:szCs w:val="23"/>
          <w:lang w:eastAsia="ja-JP"/>
        </w:rPr>
        <w:t>В состав Системы-112 входят:</w:t>
      </w:r>
    </w:p>
    <w:p>
      <w:pPr>
        <w:pStyle w:val="Normal"/>
        <w:numPr>
          <w:ilvl w:val="0"/>
          <w:numId w:val="12"/>
        </w:numPr>
        <w:ind w:firstLine="567" w:start="0"/>
        <w:jc w:val="both"/>
        <w:rPr>
          <w:sz w:val="23"/>
          <w:szCs w:val="23"/>
          <w:lang w:eastAsia="ja-JP"/>
        </w:rPr>
      </w:pPr>
      <w:r>
        <w:rPr>
          <w:sz w:val="23"/>
          <w:szCs w:val="23"/>
          <w:lang w:eastAsia="ja-JP"/>
        </w:rPr>
        <w:t>Центр обработки вызовов Системы-112 (ЦОВ-АЦ);</w:t>
      </w:r>
    </w:p>
    <w:p>
      <w:pPr>
        <w:pStyle w:val="Normal"/>
        <w:numPr>
          <w:ilvl w:val="0"/>
          <w:numId w:val="12"/>
        </w:numPr>
        <w:ind w:firstLine="567" w:start="0"/>
        <w:jc w:val="both"/>
        <w:rPr>
          <w:sz w:val="23"/>
          <w:szCs w:val="23"/>
          <w:lang w:eastAsia="ja-JP"/>
        </w:rPr>
      </w:pPr>
      <w:r>
        <w:rPr>
          <w:sz w:val="23"/>
          <w:szCs w:val="23"/>
          <w:lang w:eastAsia="ja-JP"/>
        </w:rPr>
        <w:t>Резервный центр обработки вызовов (РЦОВ);</w:t>
      </w:r>
      <w:bookmarkStart w:id="26" w:name="_Hlk179812590"/>
      <w:bookmarkEnd w:id="26"/>
    </w:p>
    <w:p>
      <w:pPr>
        <w:pStyle w:val="Normal"/>
        <w:numPr>
          <w:ilvl w:val="0"/>
          <w:numId w:val="12"/>
        </w:numPr>
        <w:ind w:firstLine="567" w:start="0"/>
        <w:jc w:val="both"/>
        <w:rPr>
          <w:sz w:val="23"/>
          <w:szCs w:val="23"/>
          <w:lang w:eastAsia="ja-JP"/>
        </w:rPr>
      </w:pPr>
      <w:r>
        <w:rPr>
          <w:sz w:val="23"/>
          <w:szCs w:val="23"/>
          <w:lang w:eastAsia="ja-JP"/>
        </w:rPr>
        <w:t>Единые дежурно-диспетчерская служба (ЕДДС);</w:t>
      </w:r>
    </w:p>
    <w:p>
      <w:pPr>
        <w:pStyle w:val="Normal"/>
        <w:numPr>
          <w:ilvl w:val="0"/>
          <w:numId w:val="12"/>
        </w:numPr>
        <w:ind w:firstLine="567" w:start="0"/>
        <w:jc w:val="both"/>
        <w:rPr>
          <w:sz w:val="23"/>
          <w:szCs w:val="23"/>
          <w:lang w:eastAsia="ja-JP"/>
        </w:rPr>
      </w:pPr>
      <w:r>
        <w:rPr>
          <w:sz w:val="23"/>
          <w:szCs w:val="23"/>
          <w:lang w:eastAsia="ja-JP"/>
        </w:rPr>
        <w:t>ДДС ЭОС в составе:</w:t>
      </w:r>
    </w:p>
    <w:p>
      <w:pPr>
        <w:pStyle w:val="Normal"/>
        <w:numPr>
          <w:ilvl w:val="0"/>
          <w:numId w:val="13"/>
        </w:numPr>
        <w:tabs>
          <w:tab w:val="clear" w:pos="708"/>
          <w:tab w:val="left" w:pos="1134" w:leader="none"/>
        </w:tabs>
        <w:ind w:firstLine="567" w:start="0"/>
        <w:jc w:val="both"/>
        <w:rPr>
          <w:sz w:val="23"/>
          <w:szCs w:val="23"/>
          <w:lang w:eastAsia="ja-JP"/>
        </w:rPr>
      </w:pPr>
      <w:r>
        <w:rPr>
          <w:sz w:val="23"/>
          <w:szCs w:val="23"/>
          <w:lang w:eastAsia="ja-JP"/>
        </w:rPr>
        <w:t xml:space="preserve">Служба пожарной охраны; </w:t>
      </w:r>
    </w:p>
    <w:p>
      <w:pPr>
        <w:pStyle w:val="Normal"/>
        <w:numPr>
          <w:ilvl w:val="0"/>
          <w:numId w:val="13"/>
        </w:numPr>
        <w:tabs>
          <w:tab w:val="clear" w:pos="708"/>
          <w:tab w:val="left" w:pos="1134" w:leader="none"/>
        </w:tabs>
        <w:ind w:firstLine="567" w:start="0"/>
        <w:jc w:val="both"/>
        <w:rPr>
          <w:sz w:val="23"/>
          <w:szCs w:val="23"/>
          <w:lang w:eastAsia="ja-JP"/>
        </w:rPr>
      </w:pPr>
      <w:r>
        <w:rPr>
          <w:sz w:val="23"/>
          <w:szCs w:val="23"/>
          <w:lang w:eastAsia="ja-JP"/>
        </w:rPr>
        <w:t xml:space="preserve">Служба полиции; </w:t>
      </w:r>
    </w:p>
    <w:p>
      <w:pPr>
        <w:pStyle w:val="Normal"/>
        <w:numPr>
          <w:ilvl w:val="0"/>
          <w:numId w:val="13"/>
        </w:numPr>
        <w:tabs>
          <w:tab w:val="clear" w:pos="708"/>
          <w:tab w:val="left" w:pos="1134" w:leader="none"/>
        </w:tabs>
        <w:ind w:firstLine="567" w:start="0"/>
        <w:jc w:val="both"/>
        <w:rPr>
          <w:sz w:val="23"/>
          <w:szCs w:val="23"/>
          <w:lang w:eastAsia="ja-JP"/>
        </w:rPr>
      </w:pPr>
      <w:r>
        <w:rPr>
          <w:sz w:val="23"/>
          <w:szCs w:val="23"/>
          <w:lang w:eastAsia="ja-JP"/>
        </w:rPr>
        <w:t xml:space="preserve">Служба скорой медицинской помощи; </w:t>
      </w:r>
    </w:p>
    <w:p>
      <w:pPr>
        <w:pStyle w:val="Normal"/>
        <w:numPr>
          <w:ilvl w:val="0"/>
          <w:numId w:val="13"/>
        </w:numPr>
        <w:tabs>
          <w:tab w:val="clear" w:pos="708"/>
          <w:tab w:val="left" w:pos="1134" w:leader="none"/>
        </w:tabs>
        <w:ind w:firstLine="567" w:start="0"/>
        <w:jc w:val="both"/>
        <w:rPr>
          <w:sz w:val="23"/>
          <w:szCs w:val="23"/>
          <w:lang w:eastAsia="ja-JP"/>
        </w:rPr>
      </w:pPr>
      <w:r>
        <w:rPr>
          <w:sz w:val="23"/>
          <w:szCs w:val="23"/>
          <w:lang w:eastAsia="ja-JP"/>
        </w:rPr>
        <w:t>Центр управления в кризисных ситуациях (ЦУКС);</w:t>
      </w:r>
    </w:p>
    <w:p>
      <w:pPr>
        <w:pStyle w:val="Normal"/>
        <w:numPr>
          <w:ilvl w:val="0"/>
          <w:numId w:val="13"/>
        </w:numPr>
        <w:tabs>
          <w:tab w:val="clear" w:pos="708"/>
          <w:tab w:val="left" w:pos="1134" w:leader="none"/>
        </w:tabs>
        <w:ind w:firstLine="567" w:start="0"/>
        <w:jc w:val="both"/>
        <w:rPr>
          <w:sz w:val="23"/>
          <w:szCs w:val="23"/>
          <w:lang w:eastAsia="ja-JP"/>
        </w:rPr>
      </w:pPr>
      <w:r>
        <w:rPr>
          <w:sz w:val="23"/>
          <w:szCs w:val="23"/>
          <w:lang w:eastAsia="ja-JP"/>
        </w:rPr>
        <w:t>Служба «Антитеррор».</w:t>
      </w:r>
    </w:p>
    <w:p>
      <w:pPr>
        <w:pStyle w:val="Normal"/>
        <w:tabs>
          <w:tab w:val="clear" w:pos="708"/>
          <w:tab w:val="left" w:pos="1134" w:leader="none"/>
        </w:tabs>
        <w:ind w:firstLine="567"/>
        <w:jc w:val="both"/>
        <w:rPr>
          <w:rFonts w:eastAsia="Calibri"/>
          <w:sz w:val="23"/>
          <w:szCs w:val="23"/>
          <w:lang w:eastAsia="en-US"/>
        </w:rPr>
      </w:pPr>
      <w:r>
        <w:rPr>
          <w:rFonts w:eastAsia="Calibri"/>
          <w:sz w:val="23"/>
          <w:szCs w:val="23"/>
          <w:lang w:eastAsia="en-US"/>
        </w:rPr>
        <w:t>ДДС и ЕДДС входят в соответствующие организационно-штатные структуры территориальных органов федеральных органов исполнительной власти, органов исполнительной власти Республики Тыва и органов местного самоуправления муниципальных районов, специально уполномоченных на решение задач гражданской обороны, предупреждения и ликвидации чрезвычайных ситуаций, безопасности государства, обеспечения правопорядка, безопасности жизни и здоровья граждан.</w:t>
      </w:r>
    </w:p>
    <w:p>
      <w:pPr>
        <w:pStyle w:val="Normal"/>
        <w:tabs>
          <w:tab w:val="clear" w:pos="708"/>
          <w:tab w:val="left" w:pos="1134" w:leader="none"/>
        </w:tabs>
        <w:ind w:firstLine="567"/>
        <w:jc w:val="both"/>
        <w:rPr>
          <w:rFonts w:eastAsia="Calibri"/>
          <w:sz w:val="23"/>
          <w:szCs w:val="23"/>
          <w:lang w:eastAsia="en-US"/>
        </w:rPr>
      </w:pPr>
      <w:r>
        <w:rPr>
          <w:rFonts w:eastAsia="Calibri"/>
          <w:sz w:val="23"/>
          <w:szCs w:val="23"/>
          <w:lang w:eastAsia="en-US"/>
        </w:rPr>
        <w:t xml:space="preserve">Для обеспечения координации взаимодействия при реагировании на вызовы (сообщения </w:t>
        <w:br/>
        <w:t>о происшествиях) вышеперечисленные объекты должны быть обеспечены единой транспортной инфраструктурой (каналами связи) и программно-техническим комплексом (АРМ).</w:t>
      </w:r>
    </w:p>
    <w:p>
      <w:pPr>
        <w:pStyle w:val="Normal"/>
        <w:tabs>
          <w:tab w:val="clear" w:pos="708"/>
          <w:tab w:val="left" w:pos="1134" w:leader="none"/>
        </w:tabs>
        <w:ind w:firstLine="567"/>
        <w:jc w:val="both"/>
        <w:rPr>
          <w:rFonts w:eastAsia="Calibri"/>
          <w:sz w:val="23"/>
          <w:szCs w:val="23"/>
          <w:lang w:eastAsia="en-US"/>
        </w:rPr>
      </w:pPr>
      <w:r>
        <w:rPr>
          <w:rFonts w:eastAsia="Calibri"/>
          <w:sz w:val="23"/>
          <w:szCs w:val="23"/>
          <w:lang w:eastAsia="en-US"/>
        </w:rPr>
        <w:t>Решение задач Системы-112 обеспечивают развернутые на функциональных объектах подсистемы (информационно-коммуникационная, телекоммуникационная, геоинформационная, мониторинга, консультативного обслуживания населения, обеспечения информационной безопасности).</w:t>
      </w:r>
    </w:p>
    <w:p>
      <w:pPr>
        <w:pStyle w:val="Normal"/>
        <w:tabs>
          <w:tab w:val="clear" w:pos="708"/>
          <w:tab w:val="left" w:pos="1134" w:leader="none"/>
        </w:tabs>
        <w:ind w:firstLine="567"/>
        <w:jc w:val="both"/>
        <w:rPr>
          <w:sz w:val="23"/>
          <w:szCs w:val="23"/>
          <w:lang w:eastAsia="ja-JP"/>
        </w:rPr>
      </w:pPr>
      <w:r>
        <w:rPr>
          <w:sz w:val="23"/>
          <w:szCs w:val="23"/>
          <w:lang w:eastAsia="ja-JP"/>
        </w:rPr>
        <w:t xml:space="preserve">В состав Системы-112 </w:t>
      </w:r>
      <w:r>
        <w:rPr>
          <w:rFonts w:eastAsia="Calibri"/>
          <w:sz w:val="23"/>
          <w:szCs w:val="23"/>
          <w:lang w:eastAsia="en-US"/>
        </w:rPr>
        <w:t>Республики Тыва</w:t>
      </w:r>
      <w:r>
        <w:rPr>
          <w:sz w:val="23"/>
          <w:szCs w:val="23"/>
          <w:lang w:eastAsia="ja-JP"/>
        </w:rPr>
        <w:t xml:space="preserve"> входят следующие функциональные подсистемы:</w:t>
      </w:r>
    </w:p>
    <w:p>
      <w:pPr>
        <w:pStyle w:val="Normal"/>
        <w:tabs>
          <w:tab w:val="clear" w:pos="708"/>
          <w:tab w:val="left" w:pos="284" w:leader="none"/>
        </w:tabs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Информационно-коммуникационная подсистема;</w:t>
      </w:r>
    </w:p>
    <w:p>
      <w:pPr>
        <w:pStyle w:val="Normal"/>
        <w:tabs>
          <w:tab w:val="clear" w:pos="708"/>
          <w:tab w:val="left" w:pos="284" w:leader="none"/>
        </w:tabs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Телекоммуникационная подсистема;</w:t>
      </w:r>
    </w:p>
    <w:p>
      <w:pPr>
        <w:pStyle w:val="Normal"/>
        <w:tabs>
          <w:tab w:val="clear" w:pos="708"/>
          <w:tab w:val="left" w:pos="284" w:leader="none"/>
        </w:tabs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Геоинформационная подсистема;</w:t>
      </w:r>
    </w:p>
    <w:p>
      <w:pPr>
        <w:pStyle w:val="Normal"/>
        <w:tabs>
          <w:tab w:val="clear" w:pos="708"/>
          <w:tab w:val="left" w:pos="284" w:leader="none"/>
        </w:tabs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Подсистема мониторинга;</w:t>
      </w:r>
    </w:p>
    <w:p>
      <w:pPr>
        <w:pStyle w:val="Normal"/>
        <w:tabs>
          <w:tab w:val="clear" w:pos="708"/>
          <w:tab w:val="left" w:pos="284" w:leader="none"/>
        </w:tabs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Подсистема консультационного обслуживания;</w:t>
      </w:r>
    </w:p>
    <w:p>
      <w:pPr>
        <w:pStyle w:val="Normal"/>
        <w:tabs>
          <w:tab w:val="clear" w:pos="708"/>
          <w:tab w:val="left" w:pos="284" w:leader="none"/>
        </w:tabs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Подсистема обеспечения информационной безопасности.</w:t>
      </w:r>
    </w:p>
    <w:p>
      <w:pPr>
        <w:pStyle w:val="Normal"/>
        <w:tabs>
          <w:tab w:val="clear" w:pos="708"/>
          <w:tab w:val="left" w:pos="1134" w:leader="none"/>
        </w:tabs>
        <w:ind w:firstLine="567"/>
        <w:jc w:val="both"/>
        <w:rPr>
          <w:sz w:val="23"/>
          <w:szCs w:val="23"/>
          <w:lang w:eastAsia="ja-JP"/>
        </w:rPr>
      </w:pPr>
      <w:r>
        <w:rPr>
          <w:b/>
          <w:sz w:val="23"/>
          <w:szCs w:val="23"/>
          <w:lang w:eastAsia="ja-JP"/>
        </w:rPr>
        <w:t>Информационно-коммуникационная подсистема</w:t>
      </w:r>
      <w:r>
        <w:rPr>
          <w:sz w:val="23"/>
          <w:szCs w:val="23"/>
          <w:lang w:eastAsia="ja-JP"/>
        </w:rPr>
        <w:t xml:space="preserve"> обеспечивает приём и обработку вызовов (сообщений о происшествиях) по единому номеру «112», передачу </w:t>
        <w:br/>
        <w:t>во взаимодействующие экстренные оперативные службы сообщений о вызовах с возможностью их подключения к разговорам. Осуществляется централизованное ведение и хранение базы данных об основных характеристиках происшествий, о начале, завершении и об основных результатах экстренного реагирования, централизованная регистрация всех действий персонала Системы-112 по приему и обработке вызовов.</w:t>
      </w:r>
    </w:p>
    <w:p>
      <w:pPr>
        <w:pStyle w:val="Normal"/>
        <w:tabs>
          <w:tab w:val="clear" w:pos="708"/>
          <w:tab w:val="left" w:pos="1134" w:leader="none"/>
        </w:tabs>
        <w:ind w:firstLine="567"/>
        <w:jc w:val="both"/>
        <w:rPr>
          <w:sz w:val="23"/>
          <w:szCs w:val="23"/>
          <w:lang w:eastAsia="ja-JP"/>
        </w:rPr>
      </w:pPr>
      <w:r>
        <w:rPr>
          <w:b/>
          <w:sz w:val="23"/>
          <w:szCs w:val="23"/>
          <w:lang w:eastAsia="ja-JP"/>
        </w:rPr>
        <w:t>Телекоммуникационная подсистема</w:t>
      </w:r>
      <w:r>
        <w:rPr>
          <w:sz w:val="23"/>
          <w:szCs w:val="23"/>
          <w:lang w:eastAsia="ja-JP"/>
        </w:rPr>
        <w:t xml:space="preserve"> предназначена для обеспечения прохождения вызовов (сообщений о происшествиях), включая телефонные вызовы, короткие текстовые сообщения (SMS), от пользователей (абонентов) сетей фиксированной или подвижной связи </w:t>
        <w:br/>
        <w:t>в Систему-112 и взаимодействия объектов в рамках Системы-112.</w:t>
      </w:r>
    </w:p>
    <w:p>
      <w:pPr>
        <w:pStyle w:val="Normal"/>
        <w:tabs>
          <w:tab w:val="clear" w:pos="708"/>
          <w:tab w:val="left" w:pos="1134" w:leader="none"/>
        </w:tabs>
        <w:ind w:firstLine="567"/>
        <w:jc w:val="both"/>
        <w:rPr>
          <w:sz w:val="23"/>
          <w:szCs w:val="23"/>
          <w:lang w:eastAsia="ja-JP"/>
        </w:rPr>
      </w:pPr>
      <w:r>
        <w:rPr>
          <w:b/>
          <w:sz w:val="23"/>
          <w:szCs w:val="23"/>
          <w:lang w:eastAsia="ja-JP"/>
        </w:rPr>
        <w:t>Геоинформационная подсистема</w:t>
      </w:r>
      <w:r>
        <w:rPr>
          <w:sz w:val="23"/>
          <w:szCs w:val="23"/>
          <w:lang w:eastAsia="ja-JP"/>
        </w:rPr>
        <w:t xml:space="preserve"> обеспечивает отображение на основе цифровых карт </w:t>
      </w:r>
      <w:r>
        <w:rPr>
          <w:rFonts w:eastAsia="Calibri"/>
          <w:sz w:val="23"/>
          <w:szCs w:val="23"/>
          <w:lang w:eastAsia="en-US"/>
        </w:rPr>
        <w:t>Республики Тыва</w:t>
      </w:r>
      <w:r>
        <w:rPr>
          <w:sz w:val="23"/>
          <w:szCs w:val="23"/>
          <w:lang w:eastAsia="ja-JP"/>
        </w:rPr>
        <w:t>:</w:t>
      </w:r>
    </w:p>
    <w:p>
      <w:pPr>
        <w:pStyle w:val="Normal"/>
        <w:tabs>
          <w:tab w:val="clear" w:pos="708"/>
          <w:tab w:val="left" w:pos="1134" w:leader="none"/>
        </w:tabs>
        <w:ind w:firstLine="567"/>
        <w:jc w:val="both"/>
        <w:rPr>
          <w:sz w:val="23"/>
          <w:szCs w:val="23"/>
          <w:lang w:eastAsia="ja-JP"/>
        </w:rPr>
      </w:pPr>
      <w:r>
        <w:rPr>
          <w:sz w:val="23"/>
          <w:szCs w:val="23"/>
          <w:lang w:eastAsia="ja-JP"/>
        </w:rPr>
        <w:tab/>
        <w:t>природно-географических, социально-демографических, экономических и других характеристик территории;</w:t>
      </w:r>
    </w:p>
    <w:p>
      <w:pPr>
        <w:pStyle w:val="Normal"/>
        <w:tabs>
          <w:tab w:val="clear" w:pos="708"/>
          <w:tab w:val="left" w:pos="1134" w:leader="none"/>
        </w:tabs>
        <w:ind w:firstLine="567"/>
        <w:jc w:val="both"/>
        <w:rPr>
          <w:sz w:val="23"/>
          <w:szCs w:val="23"/>
          <w:lang w:eastAsia="ja-JP"/>
        </w:rPr>
      </w:pPr>
      <w:r>
        <w:rPr>
          <w:sz w:val="23"/>
          <w:szCs w:val="23"/>
          <w:lang w:eastAsia="ja-JP"/>
        </w:rPr>
        <w:tab/>
        <w:t>местонахождение лица, обратившегося по номеру «112», и (или) абонентского устройства, с которого осуществлен вызов (сообщение о происшествии), место происшествия.</w:t>
      </w:r>
    </w:p>
    <w:p>
      <w:pPr>
        <w:pStyle w:val="Normal"/>
        <w:tabs>
          <w:tab w:val="clear" w:pos="708"/>
          <w:tab w:val="left" w:pos="1134" w:leader="none"/>
        </w:tabs>
        <w:ind w:firstLine="567"/>
        <w:jc w:val="both"/>
        <w:rPr>
          <w:sz w:val="23"/>
          <w:szCs w:val="23"/>
          <w:lang w:eastAsia="ja-JP"/>
        </w:rPr>
      </w:pPr>
      <w:r>
        <w:rPr>
          <w:b/>
          <w:sz w:val="23"/>
          <w:szCs w:val="23"/>
          <w:lang w:eastAsia="ja-JP"/>
        </w:rPr>
        <w:t>Подсистема мониторинга</w:t>
      </w:r>
      <w:r>
        <w:rPr>
          <w:sz w:val="23"/>
          <w:szCs w:val="23"/>
          <w:lang w:eastAsia="ja-JP"/>
        </w:rPr>
        <w:t xml:space="preserve"> обеспечивает прием и обработку информации и сигналов, поступающих от автомобильных терминалов системы экстренного реагирования при авариях «ЭРА-ГЛОНАСС».</w:t>
      </w:r>
    </w:p>
    <w:p>
      <w:pPr>
        <w:pStyle w:val="Normal"/>
        <w:tabs>
          <w:tab w:val="clear" w:pos="708"/>
          <w:tab w:val="left" w:pos="1134" w:leader="none"/>
        </w:tabs>
        <w:ind w:firstLine="567"/>
        <w:jc w:val="both"/>
        <w:rPr>
          <w:sz w:val="23"/>
          <w:szCs w:val="23"/>
          <w:lang w:eastAsia="ja-JP"/>
        </w:rPr>
      </w:pPr>
      <w:r>
        <w:rPr>
          <w:b/>
          <w:sz w:val="23"/>
          <w:szCs w:val="23"/>
          <w:lang w:eastAsia="ja-JP"/>
        </w:rPr>
        <w:t>Подсистема консультативного обслуживания</w:t>
      </w:r>
      <w:r>
        <w:rPr>
          <w:sz w:val="23"/>
          <w:szCs w:val="23"/>
          <w:lang w:eastAsia="ja-JP"/>
        </w:rPr>
        <w:t xml:space="preserve"> обеспечивает оказание информационно-справочной помощи лицам, обратившимся по номеру «112» с территории </w:t>
      </w:r>
      <w:bookmarkStart w:id="27" w:name="_Hlk180168543"/>
      <w:r>
        <w:rPr>
          <w:sz w:val="23"/>
          <w:szCs w:val="23"/>
          <w:lang w:eastAsia="ja-JP"/>
        </w:rPr>
        <w:t>Республики Тыва</w:t>
      </w:r>
      <w:bookmarkEnd w:id="27"/>
      <w:r>
        <w:rPr>
          <w:sz w:val="23"/>
          <w:szCs w:val="23"/>
          <w:lang w:eastAsia="ja-JP"/>
        </w:rPr>
        <w:t>, по вопросам обеспечения безопасности жизнедеятельности.</w:t>
      </w:r>
    </w:p>
    <w:p>
      <w:pPr>
        <w:pStyle w:val="Normal"/>
        <w:tabs>
          <w:tab w:val="clear" w:pos="708"/>
          <w:tab w:val="left" w:pos="1134" w:leader="none"/>
        </w:tabs>
        <w:ind w:firstLine="567"/>
        <w:jc w:val="both"/>
        <w:rPr>
          <w:sz w:val="23"/>
          <w:szCs w:val="23"/>
          <w:lang w:eastAsia="ja-JP"/>
        </w:rPr>
      </w:pPr>
      <w:r>
        <w:rPr>
          <w:b/>
          <w:sz w:val="23"/>
          <w:szCs w:val="23"/>
          <w:lang w:eastAsia="ja-JP"/>
        </w:rPr>
        <w:t>Подсистема обеспечения информационной безопасности</w:t>
      </w:r>
      <w:r>
        <w:rPr>
          <w:sz w:val="23"/>
          <w:szCs w:val="23"/>
          <w:lang w:eastAsia="ja-JP"/>
        </w:rPr>
        <w:t xml:space="preserve"> обеспечивает защиту информации и средств её обработки в Системе-112.</w:t>
      </w:r>
    </w:p>
    <w:p>
      <w:pPr>
        <w:pStyle w:val="Normal"/>
        <w:tabs>
          <w:tab w:val="clear" w:pos="708"/>
          <w:tab w:val="left" w:pos="1134" w:leader="none"/>
        </w:tabs>
        <w:ind w:firstLine="567"/>
        <w:jc w:val="both"/>
        <w:rPr>
          <w:sz w:val="23"/>
          <w:szCs w:val="23"/>
          <w:lang w:eastAsia="ja-JP"/>
        </w:rPr>
      </w:pPr>
      <w:r>
        <w:rPr>
          <w:sz w:val="23"/>
          <w:szCs w:val="23"/>
          <w:lang w:eastAsia="ja-JP"/>
        </w:rPr>
        <w:t>ПОИБ должна обеспечивать необходимую и достаточную защиту информационных ресурсов Системы-112 от характерных угроз безопасности.</w:t>
      </w:r>
    </w:p>
    <w:p>
      <w:pPr>
        <w:pStyle w:val="Normal"/>
        <w:tabs>
          <w:tab w:val="clear" w:pos="708"/>
          <w:tab w:val="left" w:pos="1134" w:leader="none"/>
        </w:tabs>
        <w:ind w:firstLine="567"/>
        <w:jc w:val="both"/>
        <w:rPr>
          <w:sz w:val="23"/>
          <w:szCs w:val="23"/>
          <w:lang w:eastAsia="ja-JP"/>
        </w:rPr>
      </w:pPr>
      <w:r>
        <w:rPr>
          <w:sz w:val="23"/>
          <w:szCs w:val="23"/>
          <w:lang w:eastAsia="ja-JP"/>
        </w:rPr>
        <w:t>ПОИБ не сопровождается в рамках оказания Исполнителем услуг по настоящему Техническому заданию.</w:t>
      </w:r>
    </w:p>
    <w:p>
      <w:pPr>
        <w:pStyle w:val="Normal"/>
        <w:tabs>
          <w:tab w:val="clear" w:pos="708"/>
          <w:tab w:val="left" w:pos="1134" w:leader="none"/>
        </w:tabs>
        <w:ind w:firstLine="567"/>
        <w:jc w:val="both"/>
        <w:rPr>
          <w:sz w:val="23"/>
          <w:szCs w:val="23"/>
          <w:lang w:eastAsia="ja-JP"/>
        </w:rPr>
      </w:pPr>
      <w:r>
        <w:rPr>
          <w:sz w:val="23"/>
          <w:szCs w:val="23"/>
          <w:lang w:eastAsia="ja-JP"/>
        </w:rPr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1134" w:leader="none"/>
        </w:tabs>
        <w:ind w:firstLine="567"/>
        <w:outlineLvl w:val="1"/>
        <w:rPr>
          <w:b/>
          <w:bCs/>
          <w:sz w:val="23"/>
          <w:szCs w:val="23"/>
        </w:rPr>
      </w:pPr>
      <w:bookmarkStart w:id="28" w:name="_Toc1128672"/>
      <w:r>
        <w:rPr>
          <w:b/>
          <w:bCs/>
          <w:sz w:val="23"/>
          <w:szCs w:val="23"/>
        </w:rPr>
        <w:t>3.2. Единая дежурно-диспетчерская служба</w:t>
      </w:r>
      <w:bookmarkEnd w:id="28"/>
    </w:p>
    <w:p>
      <w:pPr>
        <w:pStyle w:val="Normal"/>
        <w:tabs>
          <w:tab w:val="clear" w:pos="708"/>
          <w:tab w:val="left" w:pos="1134" w:leader="none"/>
        </w:tabs>
        <w:ind w:firstLine="567"/>
        <w:jc w:val="both"/>
        <w:rPr>
          <w:rFonts w:eastAsia="Calibri"/>
          <w:sz w:val="23"/>
          <w:szCs w:val="23"/>
          <w:lang w:eastAsia="en-US"/>
        </w:rPr>
      </w:pPr>
      <w:r>
        <w:rPr>
          <w:rFonts w:eastAsia="Calibri"/>
          <w:sz w:val="23"/>
          <w:szCs w:val="23"/>
          <w:lang w:eastAsia="en-US"/>
        </w:rPr>
        <w:t xml:space="preserve">ЕДДС является подразделением муниципального образования Республики Тыва, предназначена для приема и передачи сигналов оповещения ГО от вышестоящих органов управления, сигналов на изменение режимов функционирования муниципальных звеньев территориальной подсистемы РСЧС, приема сообщений о ЧС (происшествиях) от населения </w:t>
        <w:br/>
        <w:t xml:space="preserve">и организаций, оперативного доведения данной информации до соответствующих ЭОС </w:t>
        <w:br/>
        <w:t>и организаций (объектов), координации совместных действий ЭОС и организаций, оперативного управления силами и средствами соответствующего звена территориальной подсистемы РСЧС, оповещения руководящего состава муниципального звена и населения об угрозе возникновения или возникновении ЧС (происшествий).</w:t>
      </w:r>
    </w:p>
    <w:p>
      <w:pPr>
        <w:pStyle w:val="Normal"/>
        <w:tabs>
          <w:tab w:val="clear" w:pos="708"/>
          <w:tab w:val="left" w:pos="1134" w:leader="none"/>
        </w:tabs>
        <w:ind w:firstLine="567"/>
        <w:jc w:val="both"/>
        <w:rPr>
          <w:rFonts w:eastAsia="Calibri"/>
          <w:sz w:val="23"/>
          <w:szCs w:val="23"/>
          <w:lang w:eastAsia="en-US"/>
        </w:rPr>
      </w:pPr>
      <w:r>
        <w:rPr>
          <w:rFonts w:eastAsia="Calibri"/>
          <w:sz w:val="23"/>
          <w:szCs w:val="23"/>
          <w:lang w:eastAsia="en-US"/>
        </w:rPr>
        <w:t xml:space="preserve">Общее руководство ЕДДС муниципального образования осуществляет руководитель органа местного самоуправления, непосредственное - руководитель ЕДДС муниципального образования. </w:t>
      </w:r>
    </w:p>
    <w:p>
      <w:pPr>
        <w:pStyle w:val="Normal"/>
        <w:tabs>
          <w:tab w:val="clear" w:pos="708"/>
          <w:tab w:val="left" w:pos="1134" w:leader="none"/>
        </w:tabs>
        <w:ind w:firstLine="567"/>
        <w:jc w:val="both"/>
        <w:rPr>
          <w:rFonts w:eastAsia="Calibri"/>
          <w:sz w:val="23"/>
          <w:szCs w:val="23"/>
          <w:lang w:eastAsia="en-US"/>
        </w:rPr>
      </w:pPr>
      <w:r>
        <w:rPr>
          <w:rFonts w:eastAsia="Calibri"/>
          <w:sz w:val="23"/>
          <w:szCs w:val="23"/>
          <w:lang w:eastAsia="en-US"/>
        </w:rPr>
        <w:t>Основные задачи ЕДДС: </w:t>
      </w:r>
    </w:p>
    <w:p>
      <w:pPr>
        <w:pStyle w:val="Normal"/>
        <w:numPr>
          <w:ilvl w:val="0"/>
          <w:numId w:val="10"/>
        </w:numPr>
        <w:tabs>
          <w:tab w:val="clear" w:pos="708"/>
          <w:tab w:val="left" w:pos="284" w:leader="none"/>
          <w:tab w:val="left" w:pos="1134" w:leader="none"/>
        </w:tabs>
        <w:spacing w:before="0" w:after="0"/>
        <w:ind w:firstLine="567" w:start="0"/>
        <w:contextualSpacing/>
        <w:jc w:val="both"/>
        <w:rPr>
          <w:rFonts w:eastAsia="Calibri"/>
          <w:sz w:val="23"/>
          <w:szCs w:val="23"/>
          <w:lang w:eastAsia="en-US"/>
        </w:rPr>
      </w:pPr>
      <w:r>
        <w:rPr>
          <w:rFonts w:eastAsia="Calibri"/>
          <w:sz w:val="23"/>
          <w:szCs w:val="23"/>
          <w:lang w:eastAsia="en-US"/>
        </w:rPr>
        <w:t>прием от населения и организаций сообщений о любых чрезвычайных происшествиях, несущих информацию об угрозе или факте возникновения ЧС;</w:t>
      </w:r>
    </w:p>
    <w:p>
      <w:pPr>
        <w:pStyle w:val="Normal"/>
        <w:numPr>
          <w:ilvl w:val="0"/>
          <w:numId w:val="10"/>
        </w:numPr>
        <w:tabs>
          <w:tab w:val="clear" w:pos="708"/>
          <w:tab w:val="left" w:pos="284" w:leader="none"/>
          <w:tab w:val="left" w:pos="1134" w:leader="none"/>
        </w:tabs>
        <w:spacing w:before="0" w:after="0"/>
        <w:ind w:firstLine="567" w:start="0"/>
        <w:contextualSpacing/>
        <w:jc w:val="both"/>
        <w:rPr>
          <w:rFonts w:eastAsia="Calibri"/>
          <w:sz w:val="23"/>
          <w:szCs w:val="23"/>
          <w:lang w:eastAsia="en-US"/>
        </w:rPr>
      </w:pPr>
      <w:r>
        <w:rPr>
          <w:rFonts w:eastAsia="Calibri"/>
          <w:sz w:val="23"/>
          <w:szCs w:val="23"/>
          <w:lang w:eastAsia="en-US"/>
        </w:rPr>
        <w:t xml:space="preserve">анализ и оценка достоверности поступившей информации, доведение ее до ДДС, </w:t>
        <w:br/>
        <w:t>в компетенцию которых входит реагирование на принятое сообщение;</w:t>
      </w:r>
    </w:p>
    <w:p>
      <w:pPr>
        <w:pStyle w:val="Normal"/>
        <w:numPr>
          <w:ilvl w:val="0"/>
          <w:numId w:val="10"/>
        </w:numPr>
        <w:tabs>
          <w:tab w:val="clear" w:pos="708"/>
          <w:tab w:val="left" w:pos="284" w:leader="none"/>
          <w:tab w:val="left" w:pos="1134" w:leader="none"/>
        </w:tabs>
        <w:spacing w:before="0" w:after="0"/>
        <w:ind w:firstLine="567" w:start="0"/>
        <w:contextualSpacing/>
        <w:jc w:val="both"/>
        <w:rPr>
          <w:rFonts w:eastAsia="Calibri"/>
          <w:sz w:val="23"/>
          <w:szCs w:val="23"/>
          <w:lang w:eastAsia="en-US"/>
        </w:rPr>
      </w:pPr>
      <w:r>
        <w:rPr>
          <w:rFonts w:eastAsia="Calibri"/>
          <w:sz w:val="23"/>
          <w:szCs w:val="23"/>
          <w:lang w:eastAsia="en-US"/>
        </w:rPr>
        <w:t xml:space="preserve">сбор от ДДС, служб контроля и наблюдения за окружающей средой </w:t>
        <w:br/>
        <w:t>и распространение между ДДС города полученной информации об угрозе или факте возникновения ЧС (происшествий), сложившейся обстановке и действиях сил и средств по ликвидации ЧС;</w:t>
      </w:r>
    </w:p>
    <w:p>
      <w:pPr>
        <w:pStyle w:val="Normal"/>
        <w:numPr>
          <w:ilvl w:val="0"/>
          <w:numId w:val="10"/>
        </w:numPr>
        <w:tabs>
          <w:tab w:val="clear" w:pos="708"/>
          <w:tab w:val="left" w:pos="284" w:leader="none"/>
          <w:tab w:val="left" w:pos="1134" w:leader="none"/>
        </w:tabs>
        <w:spacing w:before="0" w:after="0"/>
        <w:ind w:firstLine="567" w:start="0"/>
        <w:contextualSpacing/>
        <w:jc w:val="both"/>
        <w:rPr>
          <w:rFonts w:eastAsia="Calibri"/>
          <w:sz w:val="23"/>
          <w:szCs w:val="23"/>
          <w:lang w:eastAsia="en-US"/>
        </w:rPr>
      </w:pPr>
      <w:r>
        <w:rPr>
          <w:rFonts w:eastAsia="Calibri"/>
          <w:sz w:val="23"/>
          <w:szCs w:val="23"/>
          <w:lang w:eastAsia="en-US"/>
        </w:rPr>
        <w:t>обработка и анализ данных о ЧС, определение ее масштаба и уточнение состава ДДС, привлекаемых для реагирования на ЧС, их оповещение о переводе в высшие режимы функционирования;</w:t>
      </w:r>
    </w:p>
    <w:p>
      <w:pPr>
        <w:pStyle w:val="Normal"/>
        <w:numPr>
          <w:ilvl w:val="0"/>
          <w:numId w:val="10"/>
        </w:numPr>
        <w:tabs>
          <w:tab w:val="clear" w:pos="708"/>
          <w:tab w:val="left" w:pos="284" w:leader="none"/>
          <w:tab w:val="left" w:pos="1134" w:leader="none"/>
        </w:tabs>
        <w:spacing w:before="0" w:after="0"/>
        <w:ind w:firstLine="567" w:start="0"/>
        <w:contextualSpacing/>
        <w:jc w:val="both"/>
        <w:rPr>
          <w:rFonts w:eastAsia="Calibri"/>
          <w:sz w:val="23"/>
          <w:szCs w:val="23"/>
          <w:lang w:eastAsia="en-US"/>
        </w:rPr>
      </w:pPr>
      <w:r>
        <w:rPr>
          <w:rFonts w:eastAsia="Calibri"/>
          <w:sz w:val="23"/>
          <w:szCs w:val="23"/>
          <w:lang w:eastAsia="en-US"/>
        </w:rPr>
        <w:t xml:space="preserve">обобщение, оценка и контроль данных обстановки, принятых мер по ликвидации чрезвычайной ситуации, подготовка и коррекция заранее разработанных и согласованных </w:t>
        <w:br/>
        <w:t>с городскими службами вариантов управленческих решений по ликвидации ЧС, принятие необходимых решений (в пределах, установленных вышестоящими органами полномочий);</w:t>
      </w:r>
    </w:p>
    <w:p>
      <w:pPr>
        <w:pStyle w:val="Normal"/>
        <w:numPr>
          <w:ilvl w:val="0"/>
          <w:numId w:val="10"/>
        </w:numPr>
        <w:tabs>
          <w:tab w:val="clear" w:pos="708"/>
          <w:tab w:val="left" w:pos="284" w:leader="none"/>
          <w:tab w:val="left" w:pos="1134" w:leader="none"/>
        </w:tabs>
        <w:spacing w:before="0" w:after="0"/>
        <w:ind w:firstLine="567" w:start="0"/>
        <w:contextualSpacing/>
        <w:jc w:val="both"/>
        <w:rPr>
          <w:rFonts w:eastAsia="Calibri"/>
          <w:sz w:val="23"/>
          <w:szCs w:val="23"/>
          <w:lang w:eastAsia="en-US"/>
        </w:rPr>
      </w:pPr>
      <w:r>
        <w:rPr>
          <w:rFonts w:eastAsia="Calibri"/>
          <w:sz w:val="23"/>
          <w:szCs w:val="23"/>
          <w:lang w:eastAsia="en-US"/>
        </w:rPr>
        <w:t>информирование ДДС, привлекаемых к ликвидации ЧС, подчиненных сил постоянной готовности об обстановке, принятых и рекомендуемых мерах;</w:t>
      </w:r>
    </w:p>
    <w:p>
      <w:pPr>
        <w:pStyle w:val="Normal"/>
        <w:numPr>
          <w:ilvl w:val="0"/>
          <w:numId w:val="10"/>
        </w:numPr>
        <w:tabs>
          <w:tab w:val="clear" w:pos="708"/>
          <w:tab w:val="left" w:pos="284" w:leader="none"/>
          <w:tab w:val="left" w:pos="1134" w:leader="none"/>
        </w:tabs>
        <w:spacing w:before="0" w:after="0"/>
        <w:ind w:firstLine="567" w:start="0"/>
        <w:contextualSpacing/>
        <w:jc w:val="both"/>
        <w:rPr>
          <w:rFonts w:eastAsia="Calibri"/>
          <w:sz w:val="23"/>
          <w:szCs w:val="23"/>
          <w:lang w:eastAsia="en-US"/>
        </w:rPr>
      </w:pPr>
      <w:r>
        <w:rPr>
          <w:rFonts w:eastAsia="Calibri"/>
          <w:sz w:val="23"/>
          <w:szCs w:val="23"/>
          <w:lang w:eastAsia="en-US"/>
        </w:rPr>
        <w:t>представление докладов (донесений) об угрозе или возникновении ЧС, сложившейся обстановке, возможных вариантах решений и действиях по ликвидации ЧС (на основе ранее подготовленных и согласованных планов) вышестоящим органам управления по подчиненности;</w:t>
      </w:r>
    </w:p>
    <w:p>
      <w:pPr>
        <w:pStyle w:val="Normal"/>
        <w:numPr>
          <w:ilvl w:val="0"/>
          <w:numId w:val="10"/>
        </w:numPr>
        <w:tabs>
          <w:tab w:val="clear" w:pos="708"/>
          <w:tab w:val="left" w:pos="284" w:leader="none"/>
          <w:tab w:val="left" w:pos="1134" w:leader="none"/>
        </w:tabs>
        <w:spacing w:before="0" w:after="0"/>
        <w:ind w:firstLine="567" w:start="0"/>
        <w:contextualSpacing/>
        <w:jc w:val="both"/>
        <w:rPr>
          <w:rFonts w:eastAsia="Calibri"/>
          <w:sz w:val="23"/>
          <w:szCs w:val="23"/>
          <w:lang w:eastAsia="en-US"/>
        </w:rPr>
      </w:pPr>
      <w:r>
        <w:rPr>
          <w:rFonts w:eastAsia="Calibri"/>
          <w:sz w:val="23"/>
          <w:szCs w:val="23"/>
          <w:lang w:eastAsia="en-US"/>
        </w:rPr>
        <w:t xml:space="preserve">доведение задач, поставленных вышестоящими органами РСЧС, до ДДС </w:t>
        <w:br/>
        <w:t>и подчиненных сил постоянной готовности, контроль их выполнения и организация взаимодействия;</w:t>
      </w:r>
    </w:p>
    <w:p>
      <w:pPr>
        <w:pStyle w:val="Normal"/>
        <w:numPr>
          <w:ilvl w:val="0"/>
          <w:numId w:val="10"/>
        </w:numPr>
        <w:tabs>
          <w:tab w:val="clear" w:pos="708"/>
          <w:tab w:val="left" w:pos="284" w:leader="none"/>
          <w:tab w:val="left" w:pos="1134" w:leader="none"/>
        </w:tabs>
        <w:spacing w:before="0" w:after="0"/>
        <w:ind w:firstLine="567" w:start="0"/>
        <w:contextualSpacing/>
        <w:jc w:val="both"/>
        <w:rPr>
          <w:rFonts w:eastAsia="Calibri"/>
          <w:sz w:val="23"/>
          <w:szCs w:val="23"/>
          <w:lang w:eastAsia="en-US"/>
        </w:rPr>
      </w:pPr>
      <w:r>
        <w:rPr>
          <w:rFonts w:eastAsia="Calibri"/>
          <w:sz w:val="23"/>
          <w:szCs w:val="23"/>
          <w:lang w:eastAsia="en-US"/>
        </w:rPr>
        <w:t xml:space="preserve">обобщение информации о произошедших ЧС (за сутки дежурства), ходе работ </w:t>
        <w:br/>
        <w:t>по их ликвидации и представление соответствующих докладов по подчиненности.</w:t>
      </w:r>
    </w:p>
    <w:p>
      <w:pPr>
        <w:pStyle w:val="Normal"/>
        <w:tabs>
          <w:tab w:val="clear" w:pos="708"/>
          <w:tab w:val="left" w:pos="284" w:leader="none"/>
          <w:tab w:val="left" w:pos="851" w:leader="none"/>
          <w:tab w:val="left" w:pos="1134" w:leader="none"/>
        </w:tabs>
        <w:spacing w:before="0" w:after="0"/>
        <w:ind w:firstLine="567"/>
        <w:contextualSpacing/>
        <w:jc w:val="both"/>
        <w:rPr>
          <w:rFonts w:eastAsia="Calibri"/>
          <w:sz w:val="23"/>
          <w:szCs w:val="23"/>
          <w:lang w:eastAsia="en-US"/>
        </w:rPr>
      </w:pPr>
      <w:r>
        <w:rPr>
          <w:rFonts w:eastAsia="Calibri"/>
          <w:sz w:val="23"/>
          <w:szCs w:val="23"/>
          <w:lang w:eastAsia="en-US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1134" w:leader="none"/>
        </w:tabs>
        <w:ind w:firstLine="567"/>
        <w:outlineLvl w:val="1"/>
        <w:rPr>
          <w:b/>
          <w:bCs/>
          <w:sz w:val="23"/>
          <w:szCs w:val="23"/>
        </w:rPr>
      </w:pPr>
      <w:bookmarkStart w:id="29" w:name="_Toc1128673"/>
      <w:r>
        <w:rPr>
          <w:b/>
          <w:bCs/>
          <w:sz w:val="23"/>
          <w:szCs w:val="23"/>
        </w:rPr>
        <w:t xml:space="preserve">3.3. Центр обработки вызовов </w:t>
      </w:r>
      <w:bookmarkEnd w:id="29"/>
      <w:r>
        <w:rPr>
          <w:b/>
          <w:bCs/>
          <w:sz w:val="23"/>
          <w:szCs w:val="23"/>
        </w:rPr>
        <w:t>административного центра</w:t>
      </w:r>
    </w:p>
    <w:p>
      <w:pPr>
        <w:pStyle w:val="Normal"/>
        <w:tabs>
          <w:tab w:val="clear" w:pos="708"/>
          <w:tab w:val="left" w:pos="1134" w:leader="none"/>
        </w:tabs>
        <w:ind w:firstLine="567"/>
        <w:jc w:val="both"/>
        <w:rPr>
          <w:sz w:val="23"/>
          <w:szCs w:val="23"/>
          <w:lang w:eastAsia="ja-JP"/>
        </w:rPr>
      </w:pPr>
      <w:r>
        <w:rPr>
          <w:sz w:val="23"/>
          <w:szCs w:val="23"/>
          <w:lang w:eastAsia="ja-JP"/>
        </w:rPr>
        <w:t xml:space="preserve">ЦОВ-АЦ создан на базе центра обработки вызовов Республики Тыва и предназначен для централизованного приема и обработки вызовов от населения, проживающего </w:t>
        <w:br/>
        <w:t xml:space="preserve">в Республике Тыва, а также для взаимодействия с ЕДДС, ДДС, взаимодействия </w:t>
        <w:br/>
        <w:t>с региональным ЦУКС МЧС России (в рамках Системы-112).</w:t>
      </w:r>
    </w:p>
    <w:p>
      <w:pPr>
        <w:pStyle w:val="Normal"/>
        <w:tabs>
          <w:tab w:val="clear" w:pos="708"/>
          <w:tab w:val="left" w:pos="1134" w:leader="none"/>
        </w:tabs>
        <w:ind w:firstLine="567"/>
        <w:jc w:val="both"/>
        <w:rPr>
          <w:sz w:val="23"/>
          <w:szCs w:val="23"/>
          <w:lang w:eastAsia="ja-JP"/>
        </w:rPr>
      </w:pPr>
      <w:r>
        <w:rPr>
          <w:sz w:val="23"/>
          <w:szCs w:val="23"/>
          <w:lang w:eastAsia="ja-JP"/>
        </w:rPr>
        <w:t>ЦОВ-АЦ функционирует в круглосуточном режиме.</w:t>
      </w:r>
    </w:p>
    <w:p>
      <w:pPr>
        <w:pStyle w:val="Normal"/>
        <w:tabs>
          <w:tab w:val="clear" w:pos="708"/>
          <w:tab w:val="left" w:pos="1134" w:leader="none"/>
        </w:tabs>
        <w:ind w:firstLine="567"/>
        <w:jc w:val="both"/>
        <w:rPr>
          <w:sz w:val="23"/>
          <w:szCs w:val="23"/>
          <w:lang w:eastAsia="ja-JP"/>
        </w:rPr>
      </w:pPr>
      <w:r>
        <w:rPr>
          <w:sz w:val="23"/>
          <w:szCs w:val="23"/>
          <w:lang w:eastAsia="ja-JP"/>
        </w:rPr>
        <w:t>Оборудование ЦОВ-АЦ включает:</w:t>
      </w:r>
    </w:p>
    <w:p>
      <w:pPr>
        <w:pStyle w:val="Normal"/>
        <w:numPr>
          <w:ilvl w:val="0"/>
          <w:numId w:val="14"/>
        </w:numPr>
        <w:ind w:firstLine="567" w:start="0"/>
        <w:jc w:val="both"/>
        <w:rPr>
          <w:sz w:val="23"/>
          <w:szCs w:val="23"/>
          <w:lang w:eastAsia="ja-JP"/>
        </w:rPr>
      </w:pPr>
      <w:r>
        <w:rPr>
          <w:sz w:val="23"/>
          <w:szCs w:val="23"/>
          <w:lang w:eastAsia="ja-JP"/>
        </w:rPr>
        <w:t>автоматизированные рабочие места операторов дежурной смены;</w:t>
      </w:r>
    </w:p>
    <w:p>
      <w:pPr>
        <w:pStyle w:val="Normal"/>
        <w:numPr>
          <w:ilvl w:val="0"/>
          <w:numId w:val="14"/>
        </w:numPr>
        <w:ind w:firstLine="567" w:start="0"/>
        <w:jc w:val="both"/>
        <w:rPr>
          <w:sz w:val="23"/>
          <w:szCs w:val="23"/>
          <w:lang w:eastAsia="ja-JP"/>
        </w:rPr>
      </w:pPr>
      <w:r>
        <w:rPr>
          <w:sz w:val="23"/>
          <w:szCs w:val="23"/>
          <w:lang w:eastAsia="ja-JP"/>
        </w:rPr>
        <w:t>активное оборудование локальной вычислительной сети;</w:t>
      </w:r>
    </w:p>
    <w:p>
      <w:pPr>
        <w:pStyle w:val="Normal"/>
        <w:numPr>
          <w:ilvl w:val="0"/>
          <w:numId w:val="14"/>
        </w:numPr>
        <w:ind w:firstLine="567" w:start="0"/>
        <w:jc w:val="both"/>
        <w:rPr>
          <w:sz w:val="23"/>
          <w:szCs w:val="23"/>
          <w:lang w:eastAsia="ja-JP"/>
        </w:rPr>
      </w:pPr>
      <w:r>
        <w:rPr>
          <w:sz w:val="23"/>
          <w:szCs w:val="23"/>
          <w:lang w:eastAsia="ja-JP"/>
        </w:rPr>
        <w:t>серверное оборудование;</w:t>
      </w:r>
    </w:p>
    <w:p>
      <w:pPr>
        <w:pStyle w:val="Normal"/>
        <w:numPr>
          <w:ilvl w:val="0"/>
          <w:numId w:val="14"/>
        </w:numPr>
        <w:ind w:firstLine="567" w:start="0"/>
        <w:jc w:val="both"/>
        <w:rPr>
          <w:sz w:val="23"/>
          <w:szCs w:val="23"/>
          <w:lang w:eastAsia="ja-JP"/>
        </w:rPr>
      </w:pPr>
      <w:r>
        <w:rPr>
          <w:sz w:val="23"/>
          <w:szCs w:val="23"/>
          <w:lang w:eastAsia="ja-JP"/>
        </w:rPr>
        <w:t>телекоммуникационное оборудование;</w:t>
      </w:r>
    </w:p>
    <w:p>
      <w:pPr>
        <w:pStyle w:val="Normal"/>
        <w:numPr>
          <w:ilvl w:val="0"/>
          <w:numId w:val="14"/>
        </w:numPr>
        <w:ind w:firstLine="567" w:start="0"/>
        <w:jc w:val="both"/>
        <w:rPr>
          <w:sz w:val="23"/>
          <w:szCs w:val="23"/>
          <w:lang w:eastAsia="ja-JP"/>
        </w:rPr>
      </w:pPr>
      <w:r>
        <w:rPr>
          <w:sz w:val="23"/>
          <w:szCs w:val="23"/>
          <w:lang w:eastAsia="ja-JP"/>
        </w:rPr>
        <w:t>системы хранения данных;</w:t>
      </w:r>
    </w:p>
    <w:p>
      <w:pPr>
        <w:pStyle w:val="Normal"/>
        <w:numPr>
          <w:ilvl w:val="0"/>
          <w:numId w:val="14"/>
        </w:numPr>
        <w:ind w:firstLine="567" w:start="0"/>
        <w:jc w:val="both"/>
        <w:rPr>
          <w:sz w:val="23"/>
          <w:szCs w:val="23"/>
          <w:lang w:eastAsia="ja-JP"/>
        </w:rPr>
      </w:pPr>
      <w:r>
        <w:rPr>
          <w:sz w:val="23"/>
          <w:szCs w:val="23"/>
          <w:lang w:eastAsia="ja-JP"/>
        </w:rPr>
        <w:t>структурированную кабельную сеть;</w:t>
      </w:r>
    </w:p>
    <w:p>
      <w:pPr>
        <w:pStyle w:val="Normal"/>
        <w:numPr>
          <w:ilvl w:val="0"/>
          <w:numId w:val="14"/>
        </w:numPr>
        <w:ind w:firstLine="567" w:start="0"/>
        <w:jc w:val="both"/>
        <w:rPr>
          <w:sz w:val="23"/>
          <w:szCs w:val="23"/>
          <w:lang w:eastAsia="ja-JP"/>
        </w:rPr>
      </w:pPr>
      <w:r>
        <w:rPr>
          <w:sz w:val="23"/>
          <w:szCs w:val="23"/>
          <w:lang w:eastAsia="ja-JP"/>
        </w:rPr>
        <w:t>средства связи;</w:t>
      </w:r>
    </w:p>
    <w:p>
      <w:pPr>
        <w:pStyle w:val="Normal"/>
        <w:numPr>
          <w:ilvl w:val="0"/>
          <w:numId w:val="14"/>
        </w:numPr>
        <w:ind w:firstLine="567" w:start="0"/>
        <w:jc w:val="both"/>
        <w:rPr>
          <w:sz w:val="23"/>
          <w:szCs w:val="23"/>
          <w:lang w:eastAsia="ja-JP"/>
        </w:rPr>
      </w:pPr>
      <w:r>
        <w:rPr>
          <w:sz w:val="23"/>
          <w:szCs w:val="23"/>
          <w:lang w:eastAsia="ja-JP"/>
        </w:rPr>
        <w:t>источники гарантированного электропитания.</w:t>
      </w:r>
    </w:p>
    <w:p>
      <w:pPr>
        <w:pStyle w:val="Normal"/>
        <w:tabs>
          <w:tab w:val="clear" w:pos="708"/>
          <w:tab w:val="left" w:pos="1134" w:leader="none"/>
        </w:tabs>
        <w:ind w:firstLine="567"/>
        <w:jc w:val="both"/>
        <w:rPr>
          <w:sz w:val="23"/>
          <w:szCs w:val="23"/>
          <w:lang w:eastAsia="ja-JP"/>
        </w:rPr>
      </w:pPr>
      <w:r>
        <w:rPr>
          <w:sz w:val="23"/>
          <w:szCs w:val="23"/>
          <w:lang w:eastAsia="ja-JP"/>
        </w:rPr>
        <w:t>На ЦОВ-АЦ возложены следующие основные задачи:</w:t>
      </w:r>
    </w:p>
    <w:p>
      <w:pPr>
        <w:pStyle w:val="Normal"/>
        <w:numPr>
          <w:ilvl w:val="0"/>
          <w:numId w:val="15"/>
        </w:numPr>
        <w:ind w:firstLine="567" w:start="0"/>
        <w:jc w:val="both"/>
        <w:rPr>
          <w:sz w:val="23"/>
          <w:szCs w:val="23"/>
          <w:lang w:eastAsia="ja-JP"/>
        </w:rPr>
      </w:pPr>
      <w:r>
        <w:rPr>
          <w:sz w:val="23"/>
          <w:szCs w:val="23"/>
          <w:lang w:eastAsia="ja-JP"/>
        </w:rPr>
        <w:t>прием, регистрация, документирование вызовов (сообщений), переадресация вызовов, поступивших по номеру «112»;</w:t>
      </w:r>
    </w:p>
    <w:p>
      <w:pPr>
        <w:pStyle w:val="Normal"/>
        <w:numPr>
          <w:ilvl w:val="0"/>
          <w:numId w:val="15"/>
        </w:numPr>
        <w:ind w:firstLine="567" w:start="0"/>
        <w:jc w:val="both"/>
        <w:rPr>
          <w:sz w:val="23"/>
          <w:szCs w:val="23"/>
          <w:lang w:eastAsia="ja-JP"/>
        </w:rPr>
      </w:pPr>
      <w:r>
        <w:rPr>
          <w:sz w:val="23"/>
          <w:szCs w:val="23"/>
          <w:lang w:eastAsia="ja-JP"/>
        </w:rPr>
        <w:t>автоматизированное восстановление соединения с пользовательским (оконечным) оборудованием лица, обратившегося по номеру «112», в случае внезапного прерывания соединения;</w:t>
      </w:r>
    </w:p>
    <w:p>
      <w:pPr>
        <w:pStyle w:val="Normal"/>
        <w:numPr>
          <w:ilvl w:val="0"/>
          <w:numId w:val="15"/>
        </w:numPr>
        <w:ind w:firstLine="567" w:start="0"/>
        <w:jc w:val="both"/>
        <w:rPr>
          <w:sz w:val="23"/>
          <w:szCs w:val="23"/>
          <w:lang w:eastAsia="ja-JP"/>
        </w:rPr>
      </w:pPr>
      <w:r>
        <w:rPr>
          <w:sz w:val="23"/>
          <w:szCs w:val="23"/>
          <w:lang w:eastAsia="ja-JP"/>
        </w:rPr>
        <w:t>обеспечение консультативной поддержки населению при обращении по вопросам обеспечения безопасности жизнедеятельности;</w:t>
      </w:r>
    </w:p>
    <w:p>
      <w:pPr>
        <w:pStyle w:val="Normal"/>
        <w:numPr>
          <w:ilvl w:val="0"/>
          <w:numId w:val="15"/>
        </w:numPr>
        <w:ind w:firstLine="567" w:start="0"/>
        <w:jc w:val="both"/>
        <w:rPr>
          <w:sz w:val="23"/>
          <w:szCs w:val="23"/>
          <w:lang w:eastAsia="ja-JP"/>
        </w:rPr>
      </w:pPr>
      <w:r>
        <w:rPr>
          <w:sz w:val="23"/>
          <w:szCs w:val="23"/>
          <w:lang w:eastAsia="ja-JP"/>
        </w:rPr>
        <w:t>при необходимости подключение к разговору с абонентом психолога или переводчика.</w:t>
      </w:r>
    </w:p>
    <w:p>
      <w:pPr>
        <w:pStyle w:val="Normal"/>
        <w:tabs>
          <w:tab w:val="clear" w:pos="708"/>
          <w:tab w:val="left" w:pos="1134" w:leader="none"/>
        </w:tabs>
        <w:ind w:firstLine="567"/>
        <w:jc w:val="both"/>
        <w:rPr>
          <w:sz w:val="23"/>
          <w:szCs w:val="23"/>
          <w:lang w:eastAsia="ja-JP"/>
        </w:rPr>
      </w:pPr>
      <w:r>
        <w:rPr>
          <w:sz w:val="23"/>
          <w:szCs w:val="23"/>
          <w:lang w:eastAsia="ja-JP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1134" w:leader="none"/>
        </w:tabs>
        <w:ind w:firstLine="567"/>
        <w:outlineLvl w:val="1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3.4. Резервный центр обработки вызовов</w:t>
      </w:r>
    </w:p>
    <w:p>
      <w:pPr>
        <w:pStyle w:val="Normal"/>
        <w:tabs>
          <w:tab w:val="clear" w:pos="708"/>
          <w:tab w:val="left" w:pos="284" w:leader="none"/>
          <w:tab w:val="left" w:pos="1134" w:leader="none"/>
        </w:tabs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РЦОВ является интегрирующим объектом Системы-112  субъекта, и участвует совместно </w:t>
        <w:br/>
        <w:t xml:space="preserve">с ЦОВ-АЦ в осуществлении централизованного управления, обеспечении информационной безопасности, ведении баз данных, формировании статистических отчётов, регистрации действий персонала, обобщении, оценке и контроле данных об оперативной обстановке, анализе поступающей информации обо всех происшествиях, обеспечении консультативной </w:t>
        <w:br/>
        <w:t xml:space="preserve">и психологической поддержки в рамках Системы-112  субъекта. </w:t>
      </w:r>
    </w:p>
    <w:p>
      <w:pPr>
        <w:pStyle w:val="Normal"/>
        <w:tabs>
          <w:tab w:val="clear" w:pos="708"/>
          <w:tab w:val="left" w:pos="284" w:leader="none"/>
          <w:tab w:val="left" w:pos="1134" w:leader="none"/>
        </w:tabs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Резервный центр обработки вызовов РЦОВ создан на территории </w:t>
      </w:r>
      <w:r>
        <w:rPr>
          <w:sz w:val="23"/>
          <w:szCs w:val="23"/>
          <w:lang w:eastAsia="ja-JP"/>
        </w:rPr>
        <w:t>Республики Тыва</w:t>
      </w:r>
      <w:r>
        <w:rPr>
          <w:sz w:val="23"/>
          <w:szCs w:val="23"/>
        </w:rPr>
        <w:br/>
        <w:t xml:space="preserve">с целью резервирования ЦОВ-АЦ. РЦОВ обеспечивает выполнение всех функций ЦОВ-АЦ </w:t>
        <w:br/>
        <w:t>в полном объеме в случае выхода ЦОВ-АЦ из строя (в том числе прием и обработку вызовов</w:t>
        <w:br/>
        <w:t xml:space="preserve">от населения </w:t>
      </w:r>
      <w:r>
        <w:rPr>
          <w:rFonts w:eastAsia="Calibri"/>
          <w:sz w:val="23"/>
          <w:szCs w:val="23"/>
          <w:lang w:eastAsia="en-US"/>
        </w:rPr>
        <w:t>Республики Тыва</w:t>
      </w:r>
      <w:r>
        <w:rPr>
          <w:sz w:val="23"/>
          <w:szCs w:val="23"/>
        </w:rPr>
        <w:t>, и передачу на реагирование в соответствующие ДДС или ЕДДС, взаимодействие с региональным ЦУКС МЧС России, навигационно-информационным центром системы экстренного реагирования при авариях ЭРА-ГЛОНАСС).</w:t>
      </w:r>
    </w:p>
    <w:p>
      <w:pPr>
        <w:pStyle w:val="Normal"/>
        <w:tabs>
          <w:tab w:val="clear" w:pos="708"/>
          <w:tab w:val="left" w:pos="284" w:leader="none"/>
          <w:tab w:val="left" w:pos="1134" w:leader="none"/>
        </w:tabs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pacing w:before="0" w:after="0"/>
        <w:ind w:firstLine="567"/>
        <w:contextualSpacing/>
        <w:outlineLvl w:val="1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3.5. Центр обработки вызовов единой дежурно-диспетчерской службы</w:t>
      </w:r>
    </w:p>
    <w:p>
      <w:pPr>
        <w:pStyle w:val="Normal"/>
        <w:tabs>
          <w:tab w:val="clear" w:pos="708"/>
          <w:tab w:val="left" w:pos="1134" w:leader="none"/>
        </w:tabs>
        <w:ind w:firstLine="567"/>
        <w:jc w:val="both"/>
        <w:rPr>
          <w:rFonts w:eastAsia="Calibri"/>
          <w:sz w:val="23"/>
          <w:szCs w:val="23"/>
          <w:lang w:eastAsia="en-US"/>
        </w:rPr>
      </w:pPr>
      <w:r>
        <w:rPr>
          <w:rFonts w:eastAsia="Calibri"/>
          <w:sz w:val="23"/>
          <w:szCs w:val="23"/>
          <w:lang w:eastAsia="en-US"/>
        </w:rPr>
        <w:t xml:space="preserve">ЦОВ-ЕДДС созданы на базе существующих ЕДДС муниципальных районов </w:t>
      </w:r>
      <w:r>
        <w:rPr>
          <w:sz w:val="23"/>
          <w:szCs w:val="23"/>
          <w:lang w:eastAsia="ja-JP"/>
        </w:rPr>
        <w:t>Республики Тыва</w:t>
      </w:r>
      <w:r>
        <w:rPr>
          <w:rFonts w:eastAsia="Calibri"/>
          <w:sz w:val="23"/>
          <w:szCs w:val="23"/>
          <w:lang w:eastAsia="en-US"/>
        </w:rPr>
        <w:t>, предназначены для приема и обработки вызовов от населения, проживающего в зоне обслуживания ЕДДС, а также для взаимодействия с ЦОВ-АЦ, РЦОВ, ДДС (в рамках Системы-112).</w:t>
      </w:r>
    </w:p>
    <w:p>
      <w:pPr>
        <w:pStyle w:val="Normal"/>
        <w:tabs>
          <w:tab w:val="clear" w:pos="708"/>
          <w:tab w:val="left" w:pos="1134" w:leader="none"/>
        </w:tabs>
        <w:ind w:firstLine="567"/>
        <w:jc w:val="both"/>
        <w:rPr>
          <w:rFonts w:eastAsia="Calibri"/>
          <w:sz w:val="23"/>
          <w:szCs w:val="23"/>
          <w:lang w:eastAsia="en-US"/>
        </w:rPr>
      </w:pPr>
      <w:r>
        <w:rPr>
          <w:rFonts w:eastAsia="Calibri"/>
          <w:sz w:val="23"/>
          <w:szCs w:val="23"/>
          <w:lang w:eastAsia="en-US"/>
        </w:rPr>
        <w:t>ЦОВ-ЕДДС функционирует в круглосуточном режиме.</w:t>
      </w:r>
    </w:p>
    <w:p>
      <w:pPr>
        <w:pStyle w:val="Normal"/>
        <w:tabs>
          <w:tab w:val="clear" w:pos="708"/>
          <w:tab w:val="left" w:pos="1134" w:leader="none"/>
        </w:tabs>
        <w:ind w:firstLine="567"/>
        <w:jc w:val="both"/>
        <w:rPr>
          <w:rFonts w:eastAsia="Calibri"/>
          <w:sz w:val="23"/>
          <w:szCs w:val="23"/>
          <w:lang w:eastAsia="en-US"/>
        </w:rPr>
      </w:pPr>
      <w:r>
        <w:rPr>
          <w:rFonts w:eastAsia="Calibri"/>
          <w:sz w:val="23"/>
          <w:szCs w:val="23"/>
          <w:lang w:eastAsia="en-US"/>
        </w:rPr>
        <w:t>Оборудование ЦОВ-ЕДДС включает:</w:t>
      </w:r>
    </w:p>
    <w:p>
      <w:pPr>
        <w:pStyle w:val="Normal"/>
        <w:numPr>
          <w:ilvl w:val="0"/>
          <w:numId w:val="10"/>
        </w:numPr>
        <w:tabs>
          <w:tab w:val="clear" w:pos="708"/>
          <w:tab w:val="left" w:pos="284" w:leader="none"/>
          <w:tab w:val="left" w:pos="1134" w:leader="none"/>
        </w:tabs>
        <w:spacing w:before="0" w:after="0"/>
        <w:ind w:firstLine="567" w:start="0"/>
        <w:contextualSpacing/>
        <w:jc w:val="both"/>
        <w:rPr>
          <w:rFonts w:eastAsia="Calibri"/>
          <w:sz w:val="23"/>
          <w:szCs w:val="23"/>
          <w:lang w:eastAsia="en-US"/>
        </w:rPr>
      </w:pPr>
      <w:r>
        <w:rPr>
          <w:rFonts w:eastAsia="Calibri"/>
          <w:sz w:val="23"/>
          <w:szCs w:val="23"/>
          <w:lang w:eastAsia="en-US"/>
        </w:rPr>
        <w:t>автоматизированные рабочие места операторов дежурной смены;</w:t>
      </w:r>
    </w:p>
    <w:p>
      <w:pPr>
        <w:pStyle w:val="Normal"/>
        <w:numPr>
          <w:ilvl w:val="0"/>
          <w:numId w:val="10"/>
        </w:numPr>
        <w:tabs>
          <w:tab w:val="clear" w:pos="708"/>
          <w:tab w:val="left" w:pos="284" w:leader="none"/>
          <w:tab w:val="left" w:pos="1134" w:leader="none"/>
        </w:tabs>
        <w:spacing w:before="0" w:after="0"/>
        <w:ind w:firstLine="567" w:start="0"/>
        <w:contextualSpacing/>
        <w:jc w:val="both"/>
        <w:rPr>
          <w:rFonts w:eastAsia="Calibri"/>
          <w:sz w:val="23"/>
          <w:szCs w:val="23"/>
          <w:lang w:eastAsia="en-US"/>
        </w:rPr>
      </w:pPr>
      <w:r>
        <w:rPr>
          <w:rFonts w:eastAsia="Calibri"/>
          <w:sz w:val="23"/>
          <w:szCs w:val="23"/>
          <w:lang w:eastAsia="en-US"/>
        </w:rPr>
        <w:t>активное оборудование локальной вычислительной сети;</w:t>
      </w:r>
    </w:p>
    <w:p>
      <w:pPr>
        <w:pStyle w:val="Normal"/>
        <w:numPr>
          <w:ilvl w:val="0"/>
          <w:numId w:val="10"/>
        </w:numPr>
        <w:tabs>
          <w:tab w:val="clear" w:pos="708"/>
          <w:tab w:val="left" w:pos="284" w:leader="none"/>
          <w:tab w:val="left" w:pos="1134" w:leader="none"/>
        </w:tabs>
        <w:spacing w:before="0" w:after="0"/>
        <w:ind w:firstLine="567" w:start="0"/>
        <w:contextualSpacing/>
        <w:jc w:val="both"/>
        <w:rPr>
          <w:rFonts w:eastAsia="Calibri"/>
          <w:sz w:val="23"/>
          <w:szCs w:val="23"/>
          <w:lang w:eastAsia="en-US"/>
        </w:rPr>
      </w:pPr>
      <w:r>
        <w:rPr>
          <w:rFonts w:eastAsia="Calibri"/>
          <w:sz w:val="23"/>
          <w:szCs w:val="23"/>
          <w:lang w:eastAsia="en-US"/>
        </w:rPr>
        <w:t>телекоммуникационное оборудование;</w:t>
      </w:r>
    </w:p>
    <w:p>
      <w:pPr>
        <w:pStyle w:val="Normal"/>
        <w:numPr>
          <w:ilvl w:val="0"/>
          <w:numId w:val="10"/>
        </w:numPr>
        <w:tabs>
          <w:tab w:val="clear" w:pos="708"/>
          <w:tab w:val="left" w:pos="284" w:leader="none"/>
          <w:tab w:val="left" w:pos="1134" w:leader="none"/>
        </w:tabs>
        <w:spacing w:before="0" w:after="0"/>
        <w:ind w:firstLine="567" w:start="0"/>
        <w:contextualSpacing/>
        <w:jc w:val="both"/>
        <w:rPr>
          <w:rFonts w:eastAsia="Calibri"/>
          <w:sz w:val="23"/>
          <w:szCs w:val="23"/>
          <w:lang w:eastAsia="en-US"/>
        </w:rPr>
      </w:pPr>
      <w:r>
        <w:rPr>
          <w:rFonts w:eastAsia="Calibri"/>
          <w:sz w:val="23"/>
          <w:szCs w:val="23"/>
          <w:lang w:eastAsia="en-US"/>
        </w:rPr>
        <w:t>структурированную кабельную сеть;</w:t>
      </w:r>
    </w:p>
    <w:p>
      <w:pPr>
        <w:pStyle w:val="Normal"/>
        <w:numPr>
          <w:ilvl w:val="0"/>
          <w:numId w:val="10"/>
        </w:numPr>
        <w:tabs>
          <w:tab w:val="clear" w:pos="708"/>
          <w:tab w:val="left" w:pos="284" w:leader="none"/>
          <w:tab w:val="left" w:pos="1134" w:leader="none"/>
        </w:tabs>
        <w:spacing w:before="0" w:after="0"/>
        <w:ind w:firstLine="567" w:start="0"/>
        <w:contextualSpacing/>
        <w:jc w:val="both"/>
        <w:rPr>
          <w:rFonts w:eastAsia="Calibri"/>
          <w:sz w:val="23"/>
          <w:szCs w:val="23"/>
          <w:lang w:eastAsia="en-US"/>
        </w:rPr>
      </w:pPr>
      <w:r>
        <w:rPr>
          <w:rFonts w:eastAsia="Calibri"/>
          <w:sz w:val="23"/>
          <w:szCs w:val="23"/>
          <w:lang w:eastAsia="en-US"/>
        </w:rPr>
        <w:t>комплект оргтехники;</w:t>
      </w:r>
    </w:p>
    <w:p>
      <w:pPr>
        <w:pStyle w:val="Normal"/>
        <w:numPr>
          <w:ilvl w:val="0"/>
          <w:numId w:val="10"/>
        </w:numPr>
        <w:tabs>
          <w:tab w:val="clear" w:pos="708"/>
          <w:tab w:val="left" w:pos="284" w:leader="none"/>
          <w:tab w:val="left" w:pos="1134" w:leader="none"/>
        </w:tabs>
        <w:spacing w:before="0" w:after="0"/>
        <w:ind w:firstLine="567" w:start="0"/>
        <w:contextualSpacing/>
        <w:jc w:val="both"/>
        <w:rPr>
          <w:rFonts w:eastAsia="Calibri"/>
          <w:sz w:val="23"/>
          <w:szCs w:val="23"/>
          <w:lang w:eastAsia="en-US"/>
        </w:rPr>
      </w:pPr>
      <w:r>
        <w:rPr>
          <w:rFonts w:eastAsia="Calibri"/>
          <w:sz w:val="23"/>
          <w:szCs w:val="23"/>
          <w:lang w:eastAsia="en-US"/>
        </w:rPr>
        <w:t>средства связи;</w:t>
      </w:r>
    </w:p>
    <w:p>
      <w:pPr>
        <w:pStyle w:val="Normal"/>
        <w:numPr>
          <w:ilvl w:val="0"/>
          <w:numId w:val="10"/>
        </w:numPr>
        <w:tabs>
          <w:tab w:val="clear" w:pos="708"/>
          <w:tab w:val="left" w:pos="284" w:leader="none"/>
          <w:tab w:val="left" w:pos="1134" w:leader="none"/>
        </w:tabs>
        <w:spacing w:before="0" w:after="0"/>
        <w:ind w:firstLine="567" w:start="0"/>
        <w:contextualSpacing/>
        <w:jc w:val="both"/>
        <w:rPr>
          <w:rFonts w:eastAsia="Calibri"/>
          <w:sz w:val="23"/>
          <w:szCs w:val="23"/>
          <w:lang w:eastAsia="en-US"/>
        </w:rPr>
      </w:pPr>
      <w:r>
        <w:rPr>
          <w:rFonts w:eastAsia="Calibri"/>
          <w:sz w:val="23"/>
          <w:szCs w:val="23"/>
          <w:lang w:eastAsia="en-US"/>
        </w:rPr>
        <w:t>источники гарантированного электропитания.</w:t>
      </w:r>
    </w:p>
    <w:p>
      <w:pPr>
        <w:pStyle w:val="Normal"/>
        <w:tabs>
          <w:tab w:val="clear" w:pos="708"/>
          <w:tab w:val="left" w:pos="1134" w:leader="none"/>
        </w:tabs>
        <w:ind w:firstLine="567"/>
        <w:jc w:val="both"/>
        <w:rPr>
          <w:rFonts w:eastAsia="Calibri"/>
          <w:sz w:val="23"/>
          <w:szCs w:val="23"/>
          <w:lang w:eastAsia="en-US"/>
        </w:rPr>
      </w:pPr>
      <w:r>
        <w:rPr>
          <w:rFonts w:eastAsia="Calibri"/>
          <w:sz w:val="23"/>
          <w:szCs w:val="23"/>
          <w:lang w:eastAsia="en-US"/>
        </w:rPr>
        <w:t>Должны быть приняты необходимые организационные и технические решения для обеспечения резервированной работоспособности ЦОВ-ЕДДС в минимальном функционале автоматизированного приема и обработки вызовов и взаимодействия с ДДС в случае потери доступа к ЦОВ-АЦ, РЦОВ.</w:t>
      </w:r>
    </w:p>
    <w:p>
      <w:pPr>
        <w:pStyle w:val="Normal"/>
        <w:tabs>
          <w:tab w:val="clear" w:pos="708"/>
          <w:tab w:val="left" w:pos="1134" w:leader="none"/>
        </w:tabs>
        <w:ind w:firstLine="567"/>
        <w:jc w:val="both"/>
        <w:rPr>
          <w:rFonts w:eastAsia="Calibri"/>
          <w:sz w:val="23"/>
          <w:szCs w:val="23"/>
          <w:lang w:eastAsia="en-US"/>
        </w:rPr>
      </w:pPr>
      <w:r>
        <w:rPr>
          <w:rFonts w:eastAsia="Calibri"/>
          <w:sz w:val="23"/>
          <w:szCs w:val="23"/>
          <w:lang w:eastAsia="en-US"/>
        </w:rPr>
      </w:r>
    </w:p>
    <w:p>
      <w:pPr>
        <w:pStyle w:val="Normal"/>
        <w:keepNext w:val="true"/>
        <w:widowControl w:val="false"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pacing w:before="0" w:after="0"/>
        <w:ind w:firstLine="567"/>
        <w:contextualSpacing/>
        <w:outlineLvl w:val="1"/>
        <w:rPr>
          <w:b/>
          <w:bCs/>
          <w:sz w:val="23"/>
          <w:szCs w:val="23"/>
        </w:rPr>
      </w:pPr>
      <w:bookmarkStart w:id="30" w:name="_Toc1128674"/>
      <w:r>
        <w:rPr>
          <w:b/>
          <w:bCs/>
          <w:sz w:val="23"/>
          <w:szCs w:val="23"/>
        </w:rPr>
        <w:t>3.6. Служба пожарной охраны</w:t>
      </w:r>
      <w:bookmarkEnd w:id="30"/>
      <w:r>
        <w:rPr>
          <w:b/>
          <w:bCs/>
          <w:sz w:val="23"/>
          <w:szCs w:val="23"/>
        </w:rPr>
        <w:t xml:space="preserve"> </w:t>
      </w:r>
    </w:p>
    <w:p>
      <w:pPr>
        <w:pStyle w:val="Normal"/>
        <w:tabs>
          <w:tab w:val="clear" w:pos="708"/>
          <w:tab w:val="left" w:pos="1134" w:leader="none"/>
        </w:tabs>
        <w:ind w:firstLine="567"/>
        <w:jc w:val="both"/>
        <w:rPr>
          <w:rFonts w:eastAsia="Calibri"/>
          <w:sz w:val="23"/>
          <w:szCs w:val="23"/>
          <w:lang w:eastAsia="en-US"/>
        </w:rPr>
      </w:pPr>
      <w:r>
        <w:rPr>
          <w:rFonts w:eastAsia="Calibri"/>
          <w:sz w:val="23"/>
          <w:szCs w:val="23"/>
          <w:lang w:eastAsia="en-US"/>
        </w:rPr>
        <w:t>ДДС пожарной охраны является подразделением территориальной службы пожарной охраны, располагается, в одной из частей гарнизона пожарной охраны, в оперативном отношении подчиняется оперативному дежурному и начальнику гарнизона.</w:t>
      </w:r>
    </w:p>
    <w:p>
      <w:pPr>
        <w:pStyle w:val="Normal"/>
        <w:tabs>
          <w:tab w:val="clear" w:pos="708"/>
          <w:tab w:val="left" w:pos="1134" w:leader="none"/>
        </w:tabs>
        <w:ind w:firstLine="567"/>
        <w:jc w:val="both"/>
        <w:rPr>
          <w:rFonts w:eastAsia="Calibri"/>
          <w:sz w:val="23"/>
          <w:szCs w:val="23"/>
          <w:lang w:eastAsia="en-US"/>
        </w:rPr>
      </w:pPr>
      <w:r>
        <w:rPr>
          <w:rFonts w:eastAsia="Calibri"/>
          <w:sz w:val="23"/>
          <w:szCs w:val="23"/>
          <w:lang w:eastAsia="en-US"/>
        </w:rPr>
        <w:t>На ДДС пожарной охраны возложены следующие основные задачи:</w:t>
      </w:r>
    </w:p>
    <w:p>
      <w:pPr>
        <w:pStyle w:val="Normal"/>
        <w:numPr>
          <w:ilvl w:val="0"/>
          <w:numId w:val="10"/>
        </w:numPr>
        <w:tabs>
          <w:tab w:val="clear" w:pos="708"/>
          <w:tab w:val="left" w:pos="284" w:leader="none"/>
          <w:tab w:val="left" w:pos="1134" w:leader="none"/>
        </w:tabs>
        <w:spacing w:before="0" w:after="0"/>
        <w:ind w:firstLine="567" w:start="0"/>
        <w:contextualSpacing/>
        <w:jc w:val="both"/>
        <w:rPr>
          <w:rFonts w:eastAsia="Calibri"/>
          <w:sz w:val="23"/>
          <w:szCs w:val="23"/>
          <w:lang w:eastAsia="en-US"/>
        </w:rPr>
      </w:pPr>
      <w:r>
        <w:rPr>
          <w:rFonts w:eastAsia="Calibri"/>
          <w:sz w:val="23"/>
          <w:szCs w:val="23"/>
          <w:lang w:eastAsia="en-US"/>
        </w:rPr>
        <w:t>принимать сообщения о вызовах подразделений пожарной охраны по телефонным линиям связи с номером «01»;</w:t>
      </w:r>
    </w:p>
    <w:p>
      <w:pPr>
        <w:pStyle w:val="Normal"/>
        <w:numPr>
          <w:ilvl w:val="0"/>
          <w:numId w:val="10"/>
        </w:numPr>
        <w:tabs>
          <w:tab w:val="clear" w:pos="708"/>
          <w:tab w:val="left" w:pos="284" w:leader="none"/>
          <w:tab w:val="left" w:pos="1134" w:leader="none"/>
        </w:tabs>
        <w:spacing w:before="0" w:after="0"/>
        <w:ind w:firstLine="567" w:start="0"/>
        <w:contextualSpacing/>
        <w:jc w:val="both"/>
        <w:rPr>
          <w:rFonts w:eastAsia="Calibri"/>
          <w:sz w:val="23"/>
          <w:szCs w:val="23"/>
          <w:lang w:eastAsia="en-US"/>
        </w:rPr>
      </w:pPr>
      <w:r>
        <w:rPr>
          <w:rFonts w:eastAsia="Calibri"/>
          <w:sz w:val="23"/>
          <w:szCs w:val="23"/>
          <w:lang w:eastAsia="en-US"/>
        </w:rPr>
        <w:t xml:space="preserve">направлять к месту вызова силы и средства подразделений пожарной охраны </w:t>
        <w:br/>
        <w:t>в соответствии с расписанием выезда (планом привлечения сил и средств),</w:t>
      </w:r>
    </w:p>
    <w:p>
      <w:pPr>
        <w:pStyle w:val="Normal"/>
        <w:numPr>
          <w:ilvl w:val="0"/>
          <w:numId w:val="10"/>
        </w:numPr>
        <w:tabs>
          <w:tab w:val="clear" w:pos="708"/>
          <w:tab w:val="left" w:pos="284" w:leader="none"/>
          <w:tab w:val="left" w:pos="1134" w:leader="none"/>
        </w:tabs>
        <w:spacing w:before="0" w:after="0"/>
        <w:ind w:firstLine="567" w:start="0"/>
        <w:contextualSpacing/>
        <w:jc w:val="both"/>
        <w:rPr>
          <w:rFonts w:eastAsia="Calibri"/>
          <w:sz w:val="23"/>
          <w:szCs w:val="23"/>
          <w:lang w:eastAsia="en-US"/>
        </w:rPr>
      </w:pPr>
      <w:r>
        <w:rPr>
          <w:rFonts w:eastAsia="Calibri"/>
          <w:sz w:val="23"/>
          <w:szCs w:val="23"/>
          <w:lang w:eastAsia="en-US"/>
        </w:rPr>
        <w:t xml:space="preserve">обеспечивать в установленном порядке передислокацию дежурных смен, пожарных </w:t>
        <w:br/>
        <w:t>и аварийно-спасательных расчетов подразделений;</w:t>
      </w:r>
    </w:p>
    <w:p>
      <w:pPr>
        <w:pStyle w:val="Normal"/>
        <w:numPr>
          <w:ilvl w:val="0"/>
          <w:numId w:val="10"/>
        </w:numPr>
        <w:tabs>
          <w:tab w:val="clear" w:pos="708"/>
          <w:tab w:val="left" w:pos="284" w:leader="none"/>
          <w:tab w:val="left" w:pos="1134" w:leader="none"/>
        </w:tabs>
        <w:spacing w:before="0" w:after="0"/>
        <w:ind w:firstLine="567" w:start="0"/>
        <w:contextualSpacing/>
        <w:jc w:val="both"/>
        <w:rPr>
          <w:rFonts w:eastAsia="Calibri"/>
          <w:sz w:val="23"/>
          <w:szCs w:val="23"/>
          <w:lang w:eastAsia="en-US"/>
        </w:rPr>
      </w:pPr>
      <w:r>
        <w:rPr>
          <w:rFonts w:eastAsia="Calibri"/>
          <w:sz w:val="23"/>
          <w:szCs w:val="23"/>
          <w:lang w:eastAsia="en-US"/>
        </w:rPr>
        <w:t>обобщать сведения о наличии сил и средств в подразделениях;</w:t>
      </w:r>
    </w:p>
    <w:p>
      <w:pPr>
        <w:pStyle w:val="Normal"/>
        <w:numPr>
          <w:ilvl w:val="0"/>
          <w:numId w:val="10"/>
        </w:numPr>
        <w:tabs>
          <w:tab w:val="clear" w:pos="708"/>
          <w:tab w:val="left" w:pos="284" w:leader="none"/>
          <w:tab w:val="left" w:pos="1134" w:leader="none"/>
        </w:tabs>
        <w:spacing w:before="0" w:after="0"/>
        <w:ind w:firstLine="567" w:start="0"/>
        <w:contextualSpacing/>
        <w:jc w:val="both"/>
        <w:rPr>
          <w:rFonts w:eastAsia="Calibri"/>
          <w:sz w:val="23"/>
          <w:szCs w:val="23"/>
          <w:lang w:eastAsia="en-US"/>
        </w:rPr>
      </w:pPr>
      <w:r>
        <w:rPr>
          <w:rFonts w:eastAsia="Calibri"/>
          <w:sz w:val="23"/>
          <w:szCs w:val="23"/>
          <w:lang w:eastAsia="en-US"/>
        </w:rPr>
        <w:t>проверять наличие связи с подразделениями и службами жизнеобеспечения;</w:t>
      </w:r>
    </w:p>
    <w:p>
      <w:pPr>
        <w:pStyle w:val="Normal"/>
        <w:numPr>
          <w:ilvl w:val="0"/>
          <w:numId w:val="10"/>
        </w:numPr>
        <w:tabs>
          <w:tab w:val="clear" w:pos="708"/>
          <w:tab w:val="left" w:pos="284" w:leader="none"/>
          <w:tab w:val="left" w:pos="1134" w:leader="none"/>
        </w:tabs>
        <w:spacing w:before="0" w:after="0"/>
        <w:ind w:firstLine="567" w:start="0"/>
        <w:contextualSpacing/>
        <w:jc w:val="both"/>
        <w:rPr>
          <w:rFonts w:eastAsia="Calibri"/>
          <w:sz w:val="23"/>
          <w:szCs w:val="23"/>
          <w:lang w:eastAsia="en-US"/>
        </w:rPr>
      </w:pPr>
      <w:r>
        <w:rPr>
          <w:rFonts w:eastAsia="Calibri"/>
          <w:sz w:val="23"/>
          <w:szCs w:val="23"/>
          <w:lang w:eastAsia="en-US"/>
        </w:rPr>
        <w:t>информировать должностных лиц об изменениях оперативной обстановки, выезде подразделений;</w:t>
      </w:r>
    </w:p>
    <w:p>
      <w:pPr>
        <w:pStyle w:val="Normal"/>
        <w:numPr>
          <w:ilvl w:val="0"/>
          <w:numId w:val="10"/>
        </w:numPr>
        <w:tabs>
          <w:tab w:val="clear" w:pos="708"/>
          <w:tab w:val="left" w:pos="284" w:leader="none"/>
          <w:tab w:val="left" w:pos="1134" w:leader="none"/>
        </w:tabs>
        <w:spacing w:before="0" w:after="0"/>
        <w:ind w:firstLine="567" w:start="0"/>
        <w:contextualSpacing/>
        <w:jc w:val="both"/>
        <w:rPr>
          <w:rFonts w:eastAsia="Calibri"/>
          <w:sz w:val="23"/>
          <w:szCs w:val="23"/>
          <w:lang w:eastAsia="en-US"/>
        </w:rPr>
      </w:pPr>
      <w:r>
        <w:rPr>
          <w:rFonts w:eastAsia="Calibri"/>
          <w:sz w:val="23"/>
          <w:szCs w:val="23"/>
          <w:lang w:eastAsia="en-US"/>
        </w:rPr>
        <w:t>знать оперативную обстановку в районе (подрайоне) выезда подразделения, перечень объектов, на которые составлены планы и карточки тушения пожаров и при пожаре высылаются силы и средства подразделения по повышенному номеру (рангу) пожара, места расположения важных, взрывопожароопасных объектов, противопожарное водоснабжение, безводные участки, проезды, тактико-технические характеристики пожарной и аварийно-спасательной техники, пожарного инструмента и аварийно-спасательного оборудования, имеющегося на вооружении подразделения;</w:t>
      </w:r>
    </w:p>
    <w:p>
      <w:pPr>
        <w:pStyle w:val="Normal"/>
        <w:numPr>
          <w:ilvl w:val="0"/>
          <w:numId w:val="10"/>
        </w:numPr>
        <w:tabs>
          <w:tab w:val="clear" w:pos="708"/>
          <w:tab w:val="left" w:pos="284" w:leader="none"/>
          <w:tab w:val="left" w:pos="1134" w:leader="none"/>
        </w:tabs>
        <w:spacing w:before="0" w:after="0"/>
        <w:ind w:firstLine="567" w:start="0"/>
        <w:contextualSpacing/>
        <w:jc w:val="both"/>
        <w:rPr>
          <w:rFonts w:eastAsia="Calibri"/>
          <w:sz w:val="23"/>
          <w:szCs w:val="23"/>
          <w:lang w:eastAsia="en-US"/>
        </w:rPr>
      </w:pPr>
      <w:r>
        <w:rPr>
          <w:rFonts w:eastAsia="Calibri"/>
          <w:sz w:val="23"/>
          <w:szCs w:val="23"/>
          <w:lang w:eastAsia="en-US"/>
        </w:rPr>
        <w:t>обеспечивать подразделения информацией об оперативно-тактических особенностях объекта, уровне загазованности, радиационной обстановке на месте вызова;</w:t>
      </w:r>
    </w:p>
    <w:p>
      <w:pPr>
        <w:pStyle w:val="Normal"/>
        <w:numPr>
          <w:ilvl w:val="0"/>
          <w:numId w:val="10"/>
        </w:numPr>
        <w:tabs>
          <w:tab w:val="clear" w:pos="708"/>
          <w:tab w:val="left" w:pos="284" w:leader="none"/>
          <w:tab w:val="left" w:pos="1134" w:leader="none"/>
        </w:tabs>
        <w:spacing w:before="0" w:after="0"/>
        <w:ind w:firstLine="567" w:start="0"/>
        <w:contextualSpacing/>
        <w:jc w:val="both"/>
        <w:rPr>
          <w:rFonts w:eastAsia="Calibri"/>
          <w:sz w:val="23"/>
          <w:szCs w:val="23"/>
          <w:lang w:eastAsia="en-US"/>
        </w:rPr>
      </w:pPr>
      <w:r>
        <w:rPr>
          <w:rFonts w:eastAsia="Calibri"/>
          <w:sz w:val="23"/>
          <w:szCs w:val="23"/>
          <w:lang w:eastAsia="en-US"/>
        </w:rPr>
        <w:t>при необходимости в установленном порядке организовывать (обеспечивать) оповещение и сбор личного состава органов управления и подразделений к месту вызова.</w:t>
      </w:r>
    </w:p>
    <w:p>
      <w:pPr>
        <w:pStyle w:val="Normal"/>
        <w:keepNext w:val="true"/>
        <w:numPr>
          <w:ilvl w:val="0"/>
          <w:numId w:val="0"/>
        </w:numPr>
        <w:ind w:firstLine="567"/>
        <w:outlineLvl w:val="1"/>
        <w:rPr>
          <w:b/>
          <w:bCs/>
          <w:sz w:val="23"/>
          <w:szCs w:val="23"/>
        </w:rPr>
      </w:pPr>
      <w:bookmarkStart w:id="31" w:name="_Toc1128675"/>
      <w:r>
        <w:rPr>
          <w:b/>
          <w:bCs/>
          <w:sz w:val="23"/>
          <w:szCs w:val="23"/>
        </w:rPr>
        <w:t>3.7. Служба полиции</w:t>
      </w:r>
      <w:bookmarkEnd w:id="31"/>
    </w:p>
    <w:p>
      <w:pPr>
        <w:pStyle w:val="Normal"/>
        <w:tabs>
          <w:tab w:val="clear" w:pos="708"/>
          <w:tab w:val="left" w:pos="1134" w:leader="none"/>
        </w:tabs>
        <w:ind w:firstLine="567"/>
        <w:jc w:val="both"/>
        <w:rPr>
          <w:rFonts w:eastAsia="Calibri"/>
          <w:sz w:val="23"/>
          <w:szCs w:val="23"/>
          <w:lang w:eastAsia="en-US"/>
        </w:rPr>
      </w:pPr>
      <w:r>
        <w:rPr>
          <w:rFonts w:eastAsia="Calibri"/>
          <w:sz w:val="23"/>
          <w:szCs w:val="23"/>
          <w:lang w:eastAsia="en-US"/>
        </w:rPr>
        <w:t xml:space="preserve">ДДС полиции является территориальным подразделением МВД России, располагается, </w:t>
        <w:br/>
        <w:t>в помещении районного органа внутренних дел, подчиняется начальнику органа внутренних дел, непосредственно подчинена начальнику дежурной части органа внутренних дел.</w:t>
      </w:r>
    </w:p>
    <w:p>
      <w:pPr>
        <w:pStyle w:val="Normal"/>
        <w:tabs>
          <w:tab w:val="clear" w:pos="708"/>
          <w:tab w:val="left" w:pos="1134" w:leader="none"/>
        </w:tabs>
        <w:ind w:firstLine="567"/>
        <w:jc w:val="both"/>
        <w:rPr>
          <w:rFonts w:eastAsia="Calibri"/>
          <w:sz w:val="23"/>
          <w:szCs w:val="23"/>
          <w:lang w:eastAsia="en-US"/>
        </w:rPr>
      </w:pPr>
      <w:r>
        <w:rPr>
          <w:rFonts w:eastAsia="Calibri"/>
          <w:sz w:val="23"/>
          <w:szCs w:val="23"/>
          <w:lang w:eastAsia="en-US"/>
        </w:rPr>
        <w:t>На ДДС полиции возлагаются следующие основные задачи:</w:t>
      </w:r>
    </w:p>
    <w:p>
      <w:pPr>
        <w:pStyle w:val="Normal"/>
        <w:numPr>
          <w:ilvl w:val="0"/>
          <w:numId w:val="10"/>
        </w:numPr>
        <w:tabs>
          <w:tab w:val="clear" w:pos="708"/>
          <w:tab w:val="left" w:pos="284" w:leader="none"/>
          <w:tab w:val="left" w:pos="1134" w:leader="none"/>
        </w:tabs>
        <w:spacing w:before="0" w:after="0"/>
        <w:ind w:firstLine="567" w:start="0"/>
        <w:contextualSpacing/>
        <w:jc w:val="both"/>
        <w:rPr>
          <w:rFonts w:eastAsia="Calibri"/>
          <w:sz w:val="23"/>
          <w:szCs w:val="23"/>
          <w:lang w:eastAsia="en-US"/>
        </w:rPr>
      </w:pPr>
      <w:r>
        <w:rPr>
          <w:rFonts w:eastAsia="Calibri"/>
          <w:sz w:val="23"/>
          <w:szCs w:val="23"/>
          <w:lang w:eastAsia="en-US"/>
        </w:rPr>
        <w:t xml:space="preserve">принимать и регистрировать (в том числе в электронной форме) заявления </w:t>
        <w:br/>
        <w:t xml:space="preserve">и сообщения о преступлениях, об административных правонарушениях, о происшествиях; </w:t>
      </w:r>
    </w:p>
    <w:p>
      <w:pPr>
        <w:pStyle w:val="Normal"/>
        <w:numPr>
          <w:ilvl w:val="0"/>
          <w:numId w:val="10"/>
        </w:numPr>
        <w:tabs>
          <w:tab w:val="clear" w:pos="708"/>
          <w:tab w:val="left" w:pos="284" w:leader="none"/>
          <w:tab w:val="left" w:pos="1134" w:leader="none"/>
        </w:tabs>
        <w:spacing w:before="0" w:after="0"/>
        <w:ind w:firstLine="567" w:start="0"/>
        <w:contextualSpacing/>
        <w:jc w:val="both"/>
        <w:rPr>
          <w:rFonts w:eastAsia="Calibri"/>
          <w:sz w:val="23"/>
          <w:szCs w:val="23"/>
          <w:lang w:eastAsia="en-US"/>
        </w:rPr>
      </w:pPr>
      <w:r>
        <w:rPr>
          <w:rFonts w:eastAsia="Calibri"/>
          <w:sz w:val="23"/>
          <w:szCs w:val="23"/>
          <w:lang w:eastAsia="en-US"/>
        </w:rPr>
        <w:t xml:space="preserve">передавать (направлять) заявления и сообщения о преступлениях, </w:t>
        <w:br/>
        <w:t xml:space="preserve">об административных правонарушениях, о происшествиях в государственные и муниципальные органы, организации или должностному лицу, к компетенции которых относится решение соответствующих вопросов, с уведомлением об этом в течение 24 часов заявителя; </w:t>
      </w:r>
    </w:p>
    <w:p>
      <w:pPr>
        <w:pStyle w:val="Normal"/>
        <w:numPr>
          <w:ilvl w:val="0"/>
          <w:numId w:val="10"/>
        </w:numPr>
        <w:tabs>
          <w:tab w:val="clear" w:pos="708"/>
          <w:tab w:val="left" w:pos="284" w:leader="none"/>
          <w:tab w:val="left" w:pos="1134" w:leader="none"/>
        </w:tabs>
        <w:spacing w:before="0" w:after="0"/>
        <w:ind w:firstLine="567" w:start="0"/>
        <w:contextualSpacing/>
        <w:jc w:val="both"/>
        <w:rPr>
          <w:rFonts w:eastAsia="Calibri"/>
          <w:sz w:val="23"/>
          <w:szCs w:val="23"/>
          <w:lang w:eastAsia="en-US"/>
        </w:rPr>
      </w:pPr>
      <w:r>
        <w:rPr>
          <w:rFonts w:eastAsia="Calibri"/>
          <w:sz w:val="23"/>
          <w:szCs w:val="23"/>
          <w:lang w:eastAsia="en-US"/>
        </w:rPr>
        <w:t>информировать соответствующие государственные и муниципальные органы, организации и должностных лиц этих органов и организаций о ставших известными полиции фактах, требующих их оперативного реагирования;</w:t>
      </w:r>
    </w:p>
    <w:p>
      <w:pPr>
        <w:pStyle w:val="Normal"/>
        <w:numPr>
          <w:ilvl w:val="0"/>
          <w:numId w:val="10"/>
        </w:numPr>
        <w:tabs>
          <w:tab w:val="clear" w:pos="708"/>
          <w:tab w:val="left" w:pos="284" w:leader="none"/>
          <w:tab w:val="left" w:pos="1134" w:leader="none"/>
        </w:tabs>
        <w:spacing w:before="0" w:after="0"/>
        <w:ind w:firstLine="567" w:start="0"/>
        <w:contextualSpacing/>
        <w:jc w:val="both"/>
        <w:rPr>
          <w:rFonts w:eastAsia="Calibri"/>
          <w:sz w:val="23"/>
          <w:szCs w:val="23"/>
          <w:lang w:eastAsia="en-US"/>
        </w:rPr>
      </w:pPr>
      <w:r>
        <w:rPr>
          <w:rFonts w:eastAsia="Calibri"/>
          <w:sz w:val="23"/>
          <w:szCs w:val="23"/>
          <w:lang w:eastAsia="en-US"/>
        </w:rPr>
        <w:t>организовывать незамедлительное прибытие должностных лиц на место совершения преступления, административного правонарушения, место происшествия для пресечения противоправных деяний, устранения угроз безопасности граждан и общественной безопасности, документирования обстоятельства совершения преступления, административного правонарушения, обстоятельства происшествия, обеспечения сохранности следов преступления, административного правонарушения, происшествия;</w:t>
      </w:r>
    </w:p>
    <w:p>
      <w:pPr>
        <w:pStyle w:val="Normal"/>
        <w:numPr>
          <w:ilvl w:val="0"/>
          <w:numId w:val="10"/>
        </w:numPr>
        <w:tabs>
          <w:tab w:val="clear" w:pos="708"/>
          <w:tab w:val="left" w:pos="284" w:leader="none"/>
          <w:tab w:val="left" w:pos="1134" w:leader="none"/>
        </w:tabs>
        <w:spacing w:before="0" w:after="0"/>
        <w:ind w:firstLine="567" w:start="0"/>
        <w:contextualSpacing/>
        <w:jc w:val="both"/>
        <w:rPr>
          <w:rFonts w:eastAsia="Calibri"/>
          <w:sz w:val="23"/>
          <w:szCs w:val="23"/>
          <w:lang w:eastAsia="en-US"/>
        </w:rPr>
      </w:pPr>
      <w:r>
        <w:rPr>
          <w:rFonts w:eastAsia="Calibri"/>
          <w:sz w:val="23"/>
          <w:szCs w:val="23"/>
          <w:lang w:eastAsia="en-US"/>
        </w:rPr>
        <w:t xml:space="preserve">организовывать оказание первой помощи лицам, пострадавшим от преступлений, административных правонарушений и несчастных случаев, а также лицам, находящимся </w:t>
        <w:br/>
        <w:t>в беспомощном состоянии либо в состоянии, опасном для их жизни и здоровья, если специализированная помощь не может быть получена ими своевременно или отсутствует;</w:t>
      </w:r>
    </w:p>
    <w:p>
      <w:pPr>
        <w:pStyle w:val="Normal"/>
        <w:numPr>
          <w:ilvl w:val="0"/>
          <w:numId w:val="10"/>
        </w:numPr>
        <w:tabs>
          <w:tab w:val="clear" w:pos="708"/>
          <w:tab w:val="left" w:pos="284" w:leader="none"/>
          <w:tab w:val="left" w:pos="1134" w:leader="none"/>
        </w:tabs>
        <w:spacing w:before="0" w:after="0"/>
        <w:ind w:firstLine="567" w:start="0"/>
        <w:contextualSpacing/>
        <w:jc w:val="both"/>
        <w:rPr>
          <w:rFonts w:eastAsia="Calibri"/>
          <w:sz w:val="23"/>
          <w:szCs w:val="23"/>
          <w:lang w:eastAsia="en-US"/>
        </w:rPr>
      </w:pPr>
      <w:r>
        <w:rPr>
          <w:rFonts w:eastAsia="Calibri"/>
          <w:sz w:val="23"/>
          <w:szCs w:val="23"/>
          <w:lang w:eastAsia="en-US"/>
        </w:rPr>
        <w:t>принимать при чрезвычайных ситуациях неотложные меры по спасению граждан, охране имущества, оставшегося без присмотра, содействовать в этих условиях бесперебойной работе спасательных служб; обеспечивать общественный порядок при проведении карантинных мероприятий во время эпидемий и эпизоотий;</w:t>
      </w:r>
    </w:p>
    <w:p>
      <w:pPr>
        <w:pStyle w:val="Normal"/>
        <w:numPr>
          <w:ilvl w:val="0"/>
          <w:numId w:val="10"/>
        </w:numPr>
        <w:tabs>
          <w:tab w:val="clear" w:pos="708"/>
          <w:tab w:val="left" w:pos="284" w:leader="none"/>
          <w:tab w:val="left" w:pos="1134" w:leader="none"/>
        </w:tabs>
        <w:spacing w:before="0" w:after="0"/>
        <w:ind w:firstLine="567" w:start="0"/>
        <w:contextualSpacing/>
        <w:jc w:val="both"/>
        <w:rPr>
          <w:rFonts w:eastAsia="Calibri"/>
          <w:sz w:val="23"/>
          <w:szCs w:val="23"/>
          <w:lang w:eastAsia="en-US"/>
        </w:rPr>
      </w:pPr>
      <w:r>
        <w:rPr>
          <w:rFonts w:eastAsia="Calibri"/>
          <w:sz w:val="23"/>
          <w:szCs w:val="23"/>
          <w:lang w:eastAsia="en-US"/>
        </w:rPr>
        <w:t>участвовать в мероприятиях по противодействию терроризму и в обеспечении правового режима контртеррористической операции, а также в обеспечении защиты потенциальных объектов террористических посягательств и мест массового пребывания граждан, в проведении экспертной оценки состояния антитеррористической защищенности и безопасности объектов.</w:t>
      </w:r>
    </w:p>
    <w:p>
      <w:pPr>
        <w:pStyle w:val="ListParagraph"/>
        <w:tabs>
          <w:tab w:val="clear" w:pos="708"/>
          <w:tab w:val="left" w:pos="284" w:leader="none"/>
          <w:tab w:val="left" w:pos="1134" w:leader="none"/>
        </w:tabs>
        <w:ind w:firstLine="567" w:start="0"/>
        <w:jc w:val="both"/>
        <w:rPr>
          <w:rFonts w:eastAsia="Calibri"/>
          <w:sz w:val="23"/>
          <w:szCs w:val="23"/>
          <w:lang w:eastAsia="en-US"/>
        </w:rPr>
      </w:pPr>
      <w:r>
        <w:rPr>
          <w:rFonts w:eastAsia="Calibri"/>
          <w:sz w:val="23"/>
          <w:szCs w:val="23"/>
          <w:lang w:eastAsia="en-US"/>
        </w:rPr>
        <w:t>Сопряжение Системы-112 с АРМ Службы полиции реализовано посредством информационного взаимодействия (сопряжения) с СОДЧ ИСОД МВД России.</w:t>
      </w:r>
    </w:p>
    <w:p>
      <w:pPr>
        <w:pStyle w:val="Normal"/>
        <w:tabs>
          <w:tab w:val="clear" w:pos="708"/>
          <w:tab w:val="left" w:pos="284" w:leader="none"/>
          <w:tab w:val="left" w:pos="1134" w:leader="none"/>
        </w:tabs>
        <w:spacing w:before="0" w:after="0"/>
        <w:ind w:firstLine="567"/>
        <w:contextualSpacing/>
        <w:jc w:val="both"/>
        <w:rPr>
          <w:rFonts w:eastAsia="Calibri"/>
          <w:sz w:val="23"/>
          <w:szCs w:val="23"/>
          <w:lang w:eastAsia="en-US"/>
        </w:rPr>
      </w:pPr>
      <w:r>
        <w:rPr>
          <w:rFonts w:eastAsia="Calibri"/>
          <w:sz w:val="23"/>
          <w:szCs w:val="23"/>
          <w:lang w:eastAsia="en-US"/>
        </w:rPr>
      </w:r>
    </w:p>
    <w:p>
      <w:pPr>
        <w:pStyle w:val="Normal"/>
        <w:keepNext w:val="true"/>
        <w:widowControl w:val="false"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pacing w:before="0" w:after="0"/>
        <w:ind w:firstLine="567"/>
        <w:contextualSpacing/>
        <w:outlineLvl w:val="1"/>
        <w:rPr>
          <w:b/>
          <w:bCs/>
          <w:sz w:val="23"/>
          <w:szCs w:val="23"/>
        </w:rPr>
      </w:pPr>
      <w:bookmarkStart w:id="32" w:name="_Toc1128676"/>
      <w:r>
        <w:rPr>
          <w:b/>
          <w:bCs/>
          <w:sz w:val="23"/>
          <w:szCs w:val="23"/>
        </w:rPr>
        <w:t>3.8. Служба скорой медицинской помощи</w:t>
      </w:r>
      <w:bookmarkEnd w:id="32"/>
    </w:p>
    <w:p>
      <w:pPr>
        <w:pStyle w:val="Normal"/>
        <w:tabs>
          <w:tab w:val="clear" w:pos="708"/>
          <w:tab w:val="left" w:pos="1134" w:leader="none"/>
        </w:tabs>
        <w:ind w:firstLine="567"/>
        <w:jc w:val="both"/>
        <w:rPr>
          <w:rFonts w:eastAsia="Calibri"/>
          <w:sz w:val="23"/>
          <w:szCs w:val="23"/>
          <w:lang w:eastAsia="en-US"/>
        </w:rPr>
      </w:pPr>
      <w:r>
        <w:rPr>
          <w:rFonts w:eastAsia="Calibri"/>
          <w:sz w:val="23"/>
          <w:szCs w:val="23"/>
          <w:lang w:eastAsia="en-US"/>
        </w:rPr>
        <w:t>ДДС скорой медицинской помощи является подразделением территориального уровня Министерства здравоохранения Российской Федерации, располагается, на территории обслуживаемого муниципального образования, непосредственно подчиняется начальнику станции скорой помощи, подчинена руководителю ЕДДС муниципального образования.</w:t>
      </w:r>
    </w:p>
    <w:p>
      <w:pPr>
        <w:pStyle w:val="Normal"/>
        <w:tabs>
          <w:tab w:val="clear" w:pos="708"/>
          <w:tab w:val="left" w:pos="1134" w:leader="none"/>
        </w:tabs>
        <w:ind w:firstLine="567"/>
        <w:jc w:val="both"/>
        <w:rPr>
          <w:rFonts w:eastAsia="Calibri"/>
          <w:sz w:val="23"/>
          <w:szCs w:val="23"/>
          <w:lang w:eastAsia="en-US"/>
        </w:rPr>
      </w:pPr>
      <w:r>
        <w:rPr>
          <w:rFonts w:eastAsia="Calibri"/>
          <w:sz w:val="23"/>
          <w:szCs w:val="23"/>
          <w:lang w:eastAsia="en-US"/>
        </w:rPr>
        <w:t>На ДДС скорой медицинской помощи возлагаются следующие основные задачи:</w:t>
      </w:r>
    </w:p>
    <w:p>
      <w:pPr>
        <w:pStyle w:val="Normal"/>
        <w:numPr>
          <w:ilvl w:val="0"/>
          <w:numId w:val="10"/>
        </w:numPr>
        <w:tabs>
          <w:tab w:val="clear" w:pos="708"/>
          <w:tab w:val="left" w:pos="284" w:leader="none"/>
          <w:tab w:val="left" w:pos="1134" w:leader="none"/>
        </w:tabs>
        <w:spacing w:before="0" w:after="0"/>
        <w:ind w:firstLine="567" w:start="0"/>
        <w:contextualSpacing/>
        <w:jc w:val="both"/>
        <w:rPr>
          <w:rFonts w:eastAsia="Calibri"/>
          <w:sz w:val="23"/>
          <w:szCs w:val="23"/>
          <w:lang w:eastAsia="en-US"/>
        </w:rPr>
      </w:pPr>
      <w:r>
        <w:rPr>
          <w:rFonts w:eastAsia="Calibri"/>
          <w:sz w:val="23"/>
          <w:szCs w:val="23"/>
          <w:lang w:eastAsia="en-US"/>
        </w:rPr>
        <w:t xml:space="preserve">в режиме повседневной работы - организация и оказание скорой медицинской помощи заболевшим и пострадавшим на месте происшествия и во время их транспортировки </w:t>
        <w:br/>
        <w:t>в стационары.</w:t>
      </w:r>
    </w:p>
    <w:p>
      <w:pPr>
        <w:pStyle w:val="Normal"/>
        <w:numPr>
          <w:ilvl w:val="0"/>
          <w:numId w:val="10"/>
        </w:numPr>
        <w:tabs>
          <w:tab w:val="clear" w:pos="708"/>
          <w:tab w:val="left" w:pos="284" w:leader="none"/>
          <w:tab w:val="left" w:pos="1134" w:leader="none"/>
        </w:tabs>
        <w:spacing w:before="0" w:after="0"/>
        <w:ind w:firstLine="567" w:start="0"/>
        <w:contextualSpacing/>
        <w:jc w:val="both"/>
        <w:rPr>
          <w:rFonts w:eastAsia="Calibri"/>
          <w:sz w:val="23"/>
          <w:szCs w:val="23"/>
          <w:lang w:eastAsia="en-US"/>
        </w:rPr>
      </w:pPr>
      <w:r>
        <w:rPr>
          <w:rFonts w:eastAsia="Calibri"/>
          <w:sz w:val="23"/>
          <w:szCs w:val="23"/>
          <w:lang w:eastAsia="en-US"/>
        </w:rPr>
        <w:t>в режиме чрезвычайной ситуации - по указанию окружного Территориального центра медицины катастроф направляет в зону чрезвычайной ситуации выездные бригады скорой медицинской помощи согласно плану работы по ликвидации медико-санитарных последствий чрезвычайный ситуаций.</w:t>
      </w:r>
    </w:p>
    <w:p>
      <w:pPr>
        <w:pStyle w:val="Normal"/>
        <w:tabs>
          <w:tab w:val="clear" w:pos="708"/>
          <w:tab w:val="left" w:pos="284" w:leader="none"/>
          <w:tab w:val="left" w:pos="1134" w:leader="none"/>
        </w:tabs>
        <w:spacing w:before="0" w:after="0"/>
        <w:ind w:firstLine="567"/>
        <w:contextualSpacing/>
        <w:jc w:val="both"/>
        <w:rPr>
          <w:rFonts w:eastAsia="Calibri"/>
          <w:sz w:val="23"/>
          <w:szCs w:val="23"/>
          <w:lang w:eastAsia="en-US"/>
        </w:rPr>
      </w:pPr>
      <w:r>
        <w:rPr>
          <w:rFonts w:eastAsia="Calibri"/>
          <w:sz w:val="23"/>
          <w:szCs w:val="23"/>
          <w:lang w:eastAsia="en-US"/>
        </w:rPr>
        <w:t>Сопряжение Системы-112 с АРМ Службы скорой медицинской помощи реализовано посредством информационного взаимодействия (сопряжения) с ПК АДИС.</w:t>
      </w:r>
    </w:p>
    <w:p>
      <w:pPr>
        <w:pStyle w:val="Normal"/>
        <w:tabs>
          <w:tab w:val="clear" w:pos="708"/>
          <w:tab w:val="left" w:pos="284" w:leader="none"/>
          <w:tab w:val="left" w:pos="1134" w:leader="none"/>
        </w:tabs>
        <w:spacing w:before="0" w:after="0"/>
        <w:ind w:firstLine="567"/>
        <w:contextualSpacing/>
        <w:jc w:val="both"/>
        <w:rPr>
          <w:rFonts w:eastAsia="Calibri"/>
          <w:sz w:val="23"/>
          <w:szCs w:val="23"/>
          <w:lang w:eastAsia="en-US"/>
        </w:rPr>
      </w:pPr>
      <w:r>
        <w:rPr>
          <w:rFonts w:eastAsia="Calibri"/>
          <w:sz w:val="23"/>
          <w:szCs w:val="23"/>
          <w:lang w:eastAsia="en-US"/>
        </w:rPr>
      </w:r>
    </w:p>
    <w:p>
      <w:pPr>
        <w:pStyle w:val="Normal"/>
        <w:keepNext w:val="true"/>
        <w:widowControl w:val="false"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pacing w:before="0" w:after="0"/>
        <w:ind w:firstLine="567"/>
        <w:contextualSpacing/>
        <w:outlineLvl w:val="1"/>
        <w:rPr>
          <w:b/>
          <w:bCs/>
          <w:sz w:val="23"/>
          <w:szCs w:val="23"/>
        </w:rPr>
      </w:pPr>
      <w:bookmarkStart w:id="33" w:name="_Toc1128677"/>
      <w:r>
        <w:rPr>
          <w:b/>
          <w:bCs/>
          <w:sz w:val="23"/>
          <w:szCs w:val="23"/>
        </w:rPr>
        <w:t>3.9. Аварийная служба газовой сети</w:t>
      </w:r>
      <w:bookmarkEnd w:id="33"/>
      <w:r>
        <w:rPr>
          <w:b/>
          <w:bCs/>
          <w:sz w:val="23"/>
          <w:szCs w:val="23"/>
        </w:rPr>
        <w:t xml:space="preserve"> </w:t>
      </w:r>
    </w:p>
    <w:p>
      <w:pPr>
        <w:pStyle w:val="Normal"/>
        <w:tabs>
          <w:tab w:val="clear" w:pos="708"/>
          <w:tab w:val="left" w:pos="1134" w:leader="none"/>
        </w:tabs>
        <w:ind w:firstLine="567"/>
        <w:jc w:val="both"/>
        <w:rPr>
          <w:rFonts w:eastAsia="Calibri"/>
          <w:sz w:val="23"/>
          <w:szCs w:val="23"/>
          <w:lang w:eastAsia="en-US"/>
        </w:rPr>
      </w:pPr>
      <w:r>
        <w:rPr>
          <w:rFonts w:eastAsia="Calibri"/>
          <w:sz w:val="23"/>
          <w:szCs w:val="23"/>
          <w:lang w:eastAsia="en-US"/>
        </w:rPr>
        <w:t>ДДС аварийной службы газовой сети является территориальным подразделением эксплуатационного управления Республики Тыва, располагается, на территории обслуживаемого муниципального образования, подчиняется начальнику управления, непосредственно подчинена начальнику дежурной службы.</w:t>
      </w:r>
    </w:p>
    <w:p>
      <w:pPr>
        <w:pStyle w:val="Normal"/>
        <w:tabs>
          <w:tab w:val="clear" w:pos="708"/>
          <w:tab w:val="left" w:pos="1134" w:leader="none"/>
        </w:tabs>
        <w:ind w:firstLine="567"/>
        <w:jc w:val="both"/>
        <w:rPr>
          <w:rFonts w:eastAsia="Calibri"/>
          <w:sz w:val="23"/>
          <w:szCs w:val="23"/>
          <w:lang w:eastAsia="en-US"/>
        </w:rPr>
      </w:pPr>
      <w:r>
        <w:rPr>
          <w:rFonts w:eastAsia="Calibri"/>
          <w:sz w:val="23"/>
          <w:szCs w:val="23"/>
          <w:lang w:eastAsia="en-US"/>
        </w:rPr>
        <w:t>На ДДС газовой сети возложены следующие основные задачи:</w:t>
      </w:r>
    </w:p>
    <w:p>
      <w:pPr>
        <w:pStyle w:val="Normal"/>
        <w:numPr>
          <w:ilvl w:val="0"/>
          <w:numId w:val="10"/>
        </w:numPr>
        <w:tabs>
          <w:tab w:val="clear" w:pos="708"/>
          <w:tab w:val="left" w:pos="284" w:leader="none"/>
          <w:tab w:val="left" w:pos="1134" w:leader="none"/>
        </w:tabs>
        <w:spacing w:before="0" w:after="0"/>
        <w:ind w:firstLine="567" w:start="0"/>
        <w:contextualSpacing/>
        <w:jc w:val="both"/>
        <w:rPr>
          <w:rFonts w:eastAsia="Calibri"/>
          <w:sz w:val="23"/>
          <w:szCs w:val="23"/>
          <w:lang w:eastAsia="en-US"/>
        </w:rPr>
      </w:pPr>
      <w:r>
        <w:rPr>
          <w:rFonts w:eastAsia="Calibri"/>
          <w:sz w:val="23"/>
          <w:szCs w:val="23"/>
          <w:lang w:eastAsia="en-US"/>
        </w:rPr>
        <w:t>прием заявок от граждан о возникновении аварийной ситуации на газовом оборудовании, газопроводах;</w:t>
      </w:r>
    </w:p>
    <w:p>
      <w:pPr>
        <w:pStyle w:val="Normal"/>
        <w:numPr>
          <w:ilvl w:val="0"/>
          <w:numId w:val="10"/>
        </w:numPr>
        <w:tabs>
          <w:tab w:val="clear" w:pos="708"/>
          <w:tab w:val="left" w:pos="284" w:leader="none"/>
          <w:tab w:val="left" w:pos="1134" w:leader="none"/>
        </w:tabs>
        <w:spacing w:before="0" w:after="0"/>
        <w:ind w:firstLine="567" w:start="0"/>
        <w:contextualSpacing/>
        <w:jc w:val="both"/>
        <w:rPr>
          <w:rFonts w:eastAsia="Calibri"/>
          <w:sz w:val="23"/>
          <w:szCs w:val="23"/>
          <w:lang w:eastAsia="en-US"/>
        </w:rPr>
      </w:pPr>
      <w:r>
        <w:rPr>
          <w:rFonts w:eastAsia="Calibri"/>
          <w:sz w:val="23"/>
          <w:szCs w:val="23"/>
          <w:lang w:eastAsia="en-US"/>
        </w:rPr>
        <w:t>оперативное реагирование на заявки для локализации и ликвидации аварий, повреждений, неисправностей газового оборудования и газопроводов.</w:t>
      </w:r>
    </w:p>
    <w:p>
      <w:pPr>
        <w:pStyle w:val="Normal"/>
        <w:tabs>
          <w:tab w:val="clear" w:pos="708"/>
          <w:tab w:val="left" w:pos="284" w:leader="none"/>
          <w:tab w:val="left" w:pos="1134" w:leader="none"/>
        </w:tabs>
        <w:spacing w:before="0" w:after="0"/>
        <w:ind w:firstLine="567"/>
        <w:contextualSpacing/>
        <w:jc w:val="both"/>
        <w:rPr>
          <w:rFonts w:eastAsia="Calibri"/>
          <w:sz w:val="23"/>
          <w:szCs w:val="23"/>
          <w:lang w:eastAsia="en-US"/>
        </w:rPr>
      </w:pPr>
      <w:r>
        <w:rPr>
          <w:rFonts w:eastAsia="Calibri"/>
          <w:sz w:val="23"/>
          <w:szCs w:val="23"/>
          <w:lang w:eastAsia="en-US"/>
        </w:rPr>
      </w:r>
    </w:p>
    <w:p>
      <w:pPr>
        <w:pStyle w:val="Normal"/>
        <w:keepNext w:val="true"/>
        <w:widowControl w:val="false"/>
        <w:numPr>
          <w:ilvl w:val="0"/>
          <w:numId w:val="0"/>
        </w:numPr>
        <w:tabs>
          <w:tab w:val="clear" w:pos="708"/>
          <w:tab w:val="left" w:pos="284" w:leader="none"/>
          <w:tab w:val="left" w:pos="1276" w:leader="none"/>
        </w:tabs>
        <w:spacing w:before="0" w:after="0"/>
        <w:ind w:firstLine="567"/>
        <w:contextualSpacing/>
        <w:outlineLvl w:val="1"/>
        <w:rPr>
          <w:b/>
          <w:bCs/>
          <w:sz w:val="23"/>
          <w:szCs w:val="23"/>
        </w:rPr>
      </w:pPr>
      <w:bookmarkStart w:id="34" w:name="_Toc1128678"/>
      <w:r>
        <w:rPr>
          <w:b/>
          <w:bCs/>
          <w:sz w:val="23"/>
          <w:szCs w:val="23"/>
        </w:rPr>
        <w:t>3.10. Служба «Антитеррор»</w:t>
      </w:r>
      <w:bookmarkEnd w:id="34"/>
    </w:p>
    <w:p>
      <w:pPr>
        <w:pStyle w:val="Normal"/>
        <w:tabs>
          <w:tab w:val="clear" w:pos="708"/>
          <w:tab w:val="left" w:pos="1134" w:leader="none"/>
        </w:tabs>
        <w:ind w:firstLine="567"/>
        <w:jc w:val="both"/>
        <w:rPr>
          <w:rFonts w:eastAsia="Calibri"/>
          <w:sz w:val="23"/>
          <w:szCs w:val="23"/>
          <w:lang w:eastAsia="en-US"/>
        </w:rPr>
      </w:pPr>
      <w:r>
        <w:rPr>
          <w:rFonts w:eastAsia="Calibri"/>
          <w:sz w:val="23"/>
          <w:szCs w:val="23"/>
          <w:lang w:eastAsia="en-US"/>
        </w:rPr>
        <w:t>ДДС службы «Антитеррор» является подразделением антитеррористической комиссии Республики Тыва.</w:t>
      </w:r>
    </w:p>
    <w:p>
      <w:pPr>
        <w:pStyle w:val="Normal"/>
        <w:tabs>
          <w:tab w:val="clear" w:pos="708"/>
          <w:tab w:val="left" w:pos="1134" w:leader="none"/>
        </w:tabs>
        <w:ind w:firstLine="567"/>
        <w:jc w:val="both"/>
        <w:rPr>
          <w:rFonts w:eastAsia="Calibri"/>
          <w:sz w:val="23"/>
          <w:szCs w:val="23"/>
          <w:lang w:eastAsia="en-US"/>
        </w:rPr>
      </w:pPr>
      <w:r>
        <w:rPr>
          <w:rFonts w:eastAsia="Calibri"/>
          <w:sz w:val="23"/>
          <w:szCs w:val="23"/>
          <w:lang w:eastAsia="en-US"/>
        </w:rPr>
        <w:t>На ДДС службы «Антитеррор» возложены следующие основные задачи:</w:t>
      </w:r>
    </w:p>
    <w:p>
      <w:pPr>
        <w:pStyle w:val="Normal"/>
        <w:numPr>
          <w:ilvl w:val="0"/>
          <w:numId w:val="16"/>
        </w:numPr>
        <w:tabs>
          <w:tab w:val="clear" w:pos="708"/>
          <w:tab w:val="left" w:pos="284" w:leader="none"/>
          <w:tab w:val="left" w:pos="1134" w:leader="none"/>
        </w:tabs>
        <w:spacing w:before="0" w:after="0"/>
        <w:ind w:firstLine="567" w:start="0"/>
        <w:contextualSpacing/>
        <w:jc w:val="both"/>
        <w:rPr>
          <w:rFonts w:eastAsia="Calibri"/>
          <w:sz w:val="23"/>
          <w:szCs w:val="23"/>
          <w:lang w:eastAsia="en-US"/>
        </w:rPr>
      </w:pPr>
      <w:r>
        <w:rPr>
          <w:rFonts w:eastAsia="Calibri"/>
          <w:sz w:val="23"/>
          <w:szCs w:val="23"/>
          <w:lang w:eastAsia="en-US"/>
        </w:rPr>
        <w:t>прием заявок от граждан о фактах подготовки или проведения террористических актов;</w:t>
      </w:r>
    </w:p>
    <w:p>
      <w:pPr>
        <w:pStyle w:val="Normal"/>
        <w:numPr>
          <w:ilvl w:val="0"/>
          <w:numId w:val="16"/>
        </w:numPr>
        <w:tabs>
          <w:tab w:val="clear" w:pos="708"/>
          <w:tab w:val="left" w:pos="284" w:leader="none"/>
          <w:tab w:val="left" w:pos="1134" w:leader="none"/>
        </w:tabs>
        <w:spacing w:before="0" w:after="0"/>
        <w:ind w:firstLine="567" w:start="0"/>
        <w:contextualSpacing/>
        <w:jc w:val="both"/>
        <w:rPr>
          <w:rFonts w:eastAsia="Calibri"/>
          <w:sz w:val="23"/>
          <w:szCs w:val="23"/>
          <w:lang w:eastAsia="en-US"/>
        </w:rPr>
      </w:pPr>
      <w:r>
        <w:rPr>
          <w:rFonts w:eastAsia="Calibri"/>
          <w:sz w:val="23"/>
          <w:szCs w:val="23"/>
          <w:lang w:eastAsia="en-US"/>
        </w:rPr>
        <w:t>оперативное реагирование на заявки, координация действий ЭОС.</w:t>
      </w:r>
    </w:p>
    <w:p>
      <w:pPr>
        <w:pStyle w:val="Normal"/>
        <w:tabs>
          <w:tab w:val="clear" w:pos="708"/>
          <w:tab w:val="left" w:pos="284" w:leader="none"/>
          <w:tab w:val="left" w:pos="1134" w:leader="none"/>
        </w:tabs>
        <w:spacing w:before="0" w:after="0"/>
        <w:ind w:firstLine="567"/>
        <w:contextualSpacing/>
        <w:jc w:val="both"/>
        <w:rPr>
          <w:rFonts w:eastAsia="Calibri"/>
          <w:sz w:val="23"/>
          <w:szCs w:val="23"/>
          <w:lang w:eastAsia="en-US"/>
        </w:rPr>
      </w:pPr>
      <w:r>
        <w:rPr>
          <w:rFonts w:eastAsia="Calibri"/>
          <w:sz w:val="23"/>
          <w:szCs w:val="23"/>
          <w:lang w:eastAsia="en-US"/>
        </w:rPr>
      </w:r>
    </w:p>
    <w:p>
      <w:pPr>
        <w:pStyle w:val="Normal"/>
        <w:keepNext w:val="true"/>
        <w:numPr>
          <w:ilvl w:val="0"/>
          <w:numId w:val="0"/>
        </w:numPr>
        <w:ind w:firstLine="567"/>
        <w:outlineLvl w:val="1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3.11. Региональный Центр управления в кризисных ситуациях МЧС России</w:t>
      </w:r>
    </w:p>
    <w:p>
      <w:pPr>
        <w:pStyle w:val="Normal"/>
        <w:tabs>
          <w:tab w:val="clear" w:pos="708"/>
          <w:tab w:val="left" w:pos="1134" w:leader="none"/>
        </w:tabs>
        <w:ind w:firstLine="567"/>
        <w:jc w:val="both"/>
        <w:rPr>
          <w:sz w:val="23"/>
          <w:szCs w:val="23"/>
          <w:lang w:eastAsia="ja-JP"/>
        </w:rPr>
      </w:pPr>
      <w:r>
        <w:rPr>
          <w:sz w:val="23"/>
          <w:szCs w:val="23"/>
          <w:lang w:eastAsia="ja-JP"/>
        </w:rPr>
        <w:t xml:space="preserve">Региональный ЦУКС МЧС России является органом повседневного управления РСЧС </w:t>
        <w:br/>
        <w:t xml:space="preserve">и предназначен для обеспечения реализации функций территориальных органов МЧС России </w:t>
        <w:br/>
        <w:t xml:space="preserve">по управлению и координации деятельности сил и средств РСЧС на территории </w:t>
      </w:r>
      <w:r>
        <w:rPr>
          <w:rFonts w:eastAsia="Calibri"/>
          <w:sz w:val="23"/>
          <w:szCs w:val="23"/>
          <w:lang w:eastAsia="en-US"/>
        </w:rPr>
        <w:t>Республики Тыва</w:t>
      </w:r>
      <w:r>
        <w:rPr>
          <w:sz w:val="23"/>
          <w:szCs w:val="23"/>
          <w:lang w:eastAsia="ja-JP"/>
        </w:rPr>
        <w:t>.</w:t>
      </w:r>
    </w:p>
    <w:p>
      <w:pPr>
        <w:pStyle w:val="Normal"/>
        <w:tabs>
          <w:tab w:val="clear" w:pos="708"/>
          <w:tab w:val="left" w:pos="1134" w:leader="none"/>
        </w:tabs>
        <w:ind w:firstLine="567"/>
        <w:jc w:val="both"/>
        <w:rPr>
          <w:sz w:val="23"/>
          <w:szCs w:val="23"/>
          <w:lang w:eastAsia="ja-JP"/>
        </w:rPr>
      </w:pPr>
      <w:r>
        <w:rPr>
          <w:sz w:val="23"/>
          <w:szCs w:val="23"/>
          <w:lang w:eastAsia="ja-JP"/>
        </w:rPr>
        <w:t>Основные задачи регионального ЦУКС МЧС России:</w:t>
      </w:r>
    </w:p>
    <w:p>
      <w:pPr>
        <w:pStyle w:val="Normal"/>
        <w:numPr>
          <w:ilvl w:val="0"/>
          <w:numId w:val="11"/>
        </w:numPr>
        <w:tabs>
          <w:tab w:val="clear" w:pos="708"/>
          <w:tab w:val="left" w:pos="1134" w:leader="none"/>
        </w:tabs>
        <w:ind w:firstLine="567" w:start="0"/>
        <w:jc w:val="both"/>
        <w:rPr>
          <w:sz w:val="23"/>
          <w:szCs w:val="23"/>
          <w:lang w:eastAsia="ja-JP"/>
        </w:rPr>
      </w:pPr>
      <w:r>
        <w:rPr>
          <w:sz w:val="23"/>
          <w:szCs w:val="23"/>
          <w:lang w:eastAsia="ja-JP"/>
        </w:rPr>
        <w:t>сбор, обработка и представление органам управления РСЧС оперативной информации о ЧС, организация мониторинга и прогнозирования ЧС, а также учет сил и средств, ресурсов, задействованных для ликвидации ЧС;</w:t>
      </w:r>
    </w:p>
    <w:p>
      <w:pPr>
        <w:pStyle w:val="Normal"/>
        <w:numPr>
          <w:ilvl w:val="0"/>
          <w:numId w:val="11"/>
        </w:numPr>
        <w:tabs>
          <w:tab w:val="clear" w:pos="708"/>
          <w:tab w:val="left" w:pos="1134" w:leader="none"/>
        </w:tabs>
        <w:ind w:firstLine="567" w:start="0"/>
        <w:jc w:val="both"/>
        <w:rPr>
          <w:sz w:val="23"/>
          <w:szCs w:val="23"/>
          <w:lang w:eastAsia="ja-JP"/>
        </w:rPr>
      </w:pPr>
      <w:r>
        <w:rPr>
          <w:sz w:val="23"/>
          <w:szCs w:val="23"/>
          <w:lang w:eastAsia="ja-JP"/>
        </w:rPr>
        <w:t xml:space="preserve">оперативное управление действиями подразделений при выполнении мероприятий </w:t>
        <w:br/>
        <w:t>по экстренному предупреждению и ликвидации ЧС;</w:t>
      </w:r>
    </w:p>
    <w:p>
      <w:pPr>
        <w:pStyle w:val="Normal"/>
        <w:numPr>
          <w:ilvl w:val="0"/>
          <w:numId w:val="11"/>
        </w:numPr>
        <w:tabs>
          <w:tab w:val="clear" w:pos="708"/>
          <w:tab w:val="left" w:pos="1134" w:leader="none"/>
        </w:tabs>
        <w:ind w:firstLine="567" w:start="0"/>
        <w:jc w:val="both"/>
        <w:rPr>
          <w:sz w:val="23"/>
          <w:szCs w:val="23"/>
          <w:lang w:eastAsia="ja-JP"/>
        </w:rPr>
      </w:pPr>
      <w:r>
        <w:rPr>
          <w:sz w:val="23"/>
          <w:szCs w:val="23"/>
          <w:lang w:eastAsia="ja-JP"/>
        </w:rPr>
        <w:t>координация деятельности органов повседневного управления РСЧС при угрозе возникновения ЧС;</w:t>
      </w:r>
    </w:p>
    <w:p>
      <w:pPr>
        <w:pStyle w:val="Normal"/>
        <w:numPr>
          <w:ilvl w:val="0"/>
          <w:numId w:val="11"/>
        </w:numPr>
        <w:tabs>
          <w:tab w:val="clear" w:pos="708"/>
          <w:tab w:val="left" w:pos="1134" w:leader="none"/>
        </w:tabs>
        <w:ind w:firstLine="567" w:start="0"/>
        <w:jc w:val="both"/>
        <w:rPr>
          <w:sz w:val="23"/>
          <w:szCs w:val="23"/>
          <w:lang w:eastAsia="ja-JP"/>
        </w:rPr>
      </w:pPr>
      <w:r>
        <w:rPr>
          <w:sz w:val="23"/>
          <w:szCs w:val="23"/>
          <w:lang w:eastAsia="ja-JP"/>
        </w:rPr>
        <w:t xml:space="preserve">обеспечение управления силами и средствами, предназначенными для предупреждения и ликвидации чрезвычайных ситуаций на территории </w:t>
      </w:r>
      <w:r>
        <w:rPr>
          <w:rFonts w:eastAsia="Calibri"/>
          <w:sz w:val="23"/>
          <w:szCs w:val="23"/>
          <w:lang w:eastAsia="en-US"/>
        </w:rPr>
        <w:t>Республики Тыва</w:t>
      </w:r>
      <w:r>
        <w:rPr>
          <w:sz w:val="23"/>
          <w:szCs w:val="23"/>
          <w:lang w:eastAsia="ja-JP"/>
        </w:rPr>
        <w:t>;</w:t>
      </w:r>
    </w:p>
    <w:p>
      <w:pPr>
        <w:pStyle w:val="Normal"/>
        <w:numPr>
          <w:ilvl w:val="0"/>
          <w:numId w:val="11"/>
        </w:numPr>
        <w:tabs>
          <w:tab w:val="clear" w:pos="708"/>
          <w:tab w:val="left" w:pos="1134" w:leader="none"/>
        </w:tabs>
        <w:ind w:firstLine="567" w:start="0"/>
        <w:jc w:val="both"/>
        <w:rPr>
          <w:sz w:val="23"/>
          <w:szCs w:val="23"/>
          <w:lang w:eastAsia="ja-JP"/>
        </w:rPr>
      </w:pPr>
      <w:r>
        <w:rPr>
          <w:sz w:val="23"/>
          <w:szCs w:val="23"/>
          <w:lang w:eastAsia="ja-JP"/>
        </w:rPr>
        <w:t xml:space="preserve">сбор, обработка, обмен и выдача информации в области защиты населения </w:t>
        <w:br/>
        <w:t>и территорий от чрезвычайных ситуаций;</w:t>
      </w:r>
    </w:p>
    <w:p>
      <w:pPr>
        <w:pStyle w:val="Normal"/>
        <w:numPr>
          <w:ilvl w:val="0"/>
          <w:numId w:val="11"/>
        </w:numPr>
        <w:tabs>
          <w:tab w:val="clear" w:pos="708"/>
          <w:tab w:val="left" w:pos="1134" w:leader="none"/>
        </w:tabs>
        <w:ind w:firstLine="567" w:start="0"/>
        <w:jc w:val="both"/>
        <w:rPr>
          <w:sz w:val="23"/>
          <w:szCs w:val="23"/>
          <w:lang w:eastAsia="ja-JP"/>
        </w:rPr>
      </w:pPr>
      <w:r>
        <w:rPr>
          <w:sz w:val="23"/>
          <w:szCs w:val="23"/>
          <w:lang w:eastAsia="ja-JP"/>
        </w:rPr>
        <w:t xml:space="preserve">осуществление своевременного оповещения и информирования населения </w:t>
        <w:br/>
        <w:t xml:space="preserve">о чрезвычайных ситуациях в местах массового пребывания людей, а также об опасностях, возникающих при ведении военных действий или вследствие этих действий на территории </w:t>
      </w:r>
      <w:r>
        <w:rPr>
          <w:rFonts w:eastAsia="Calibri"/>
          <w:sz w:val="23"/>
          <w:szCs w:val="23"/>
          <w:lang w:eastAsia="en-US"/>
        </w:rPr>
        <w:t>Республики Тыва</w:t>
      </w:r>
      <w:r>
        <w:rPr>
          <w:sz w:val="23"/>
          <w:szCs w:val="23"/>
          <w:lang w:eastAsia="ja-JP"/>
        </w:rPr>
        <w:t>;</w:t>
      </w:r>
    </w:p>
    <w:p>
      <w:pPr>
        <w:pStyle w:val="Normal"/>
        <w:numPr>
          <w:ilvl w:val="0"/>
          <w:numId w:val="11"/>
        </w:numPr>
        <w:tabs>
          <w:tab w:val="clear" w:pos="708"/>
          <w:tab w:val="left" w:pos="1134" w:leader="none"/>
        </w:tabs>
        <w:ind w:firstLine="567" w:start="0"/>
        <w:jc w:val="both"/>
        <w:rPr>
          <w:sz w:val="23"/>
          <w:szCs w:val="23"/>
          <w:lang w:eastAsia="ja-JP"/>
        </w:rPr>
      </w:pPr>
      <w:r>
        <w:rPr>
          <w:sz w:val="23"/>
          <w:szCs w:val="23"/>
          <w:lang w:eastAsia="ja-JP"/>
        </w:rPr>
        <w:t xml:space="preserve">обеспечение управления силами и средствами, предназначенными и выделяемыми для борьбы с пожарами, возникшими при ведении военных действий или вследствие этих действий на территории </w:t>
      </w:r>
      <w:r>
        <w:rPr>
          <w:rFonts w:eastAsia="Calibri"/>
          <w:sz w:val="23"/>
          <w:szCs w:val="23"/>
          <w:lang w:eastAsia="en-US"/>
        </w:rPr>
        <w:t>Республики Тыва</w:t>
      </w:r>
      <w:r>
        <w:rPr>
          <w:sz w:val="23"/>
          <w:szCs w:val="23"/>
          <w:lang w:eastAsia="ja-JP"/>
        </w:rPr>
        <w:t>;</w:t>
      </w:r>
    </w:p>
    <w:p>
      <w:pPr>
        <w:pStyle w:val="Normal"/>
        <w:numPr>
          <w:ilvl w:val="0"/>
          <w:numId w:val="11"/>
        </w:numPr>
        <w:tabs>
          <w:tab w:val="clear" w:pos="708"/>
          <w:tab w:val="left" w:pos="1134" w:leader="none"/>
        </w:tabs>
        <w:ind w:firstLine="567" w:start="0"/>
        <w:jc w:val="both"/>
        <w:rPr>
          <w:sz w:val="23"/>
          <w:szCs w:val="23"/>
          <w:lang w:eastAsia="ja-JP"/>
        </w:rPr>
      </w:pPr>
      <w:r>
        <w:rPr>
          <w:sz w:val="23"/>
          <w:szCs w:val="23"/>
          <w:lang w:eastAsia="ja-JP"/>
        </w:rPr>
        <w:t>осуществление функций пункта управления Главного управления МЧС России Республики Тыва;</w:t>
      </w:r>
    </w:p>
    <w:p>
      <w:pPr>
        <w:pStyle w:val="Normal"/>
        <w:numPr>
          <w:ilvl w:val="0"/>
          <w:numId w:val="11"/>
        </w:numPr>
        <w:tabs>
          <w:tab w:val="clear" w:pos="708"/>
          <w:tab w:val="left" w:pos="1134" w:leader="none"/>
        </w:tabs>
        <w:ind w:firstLine="567" w:start="0"/>
        <w:jc w:val="both"/>
        <w:rPr>
          <w:sz w:val="23"/>
          <w:szCs w:val="23"/>
          <w:lang w:eastAsia="ja-JP"/>
        </w:rPr>
      </w:pPr>
      <w:r>
        <w:rPr>
          <w:sz w:val="23"/>
          <w:szCs w:val="23"/>
          <w:lang w:eastAsia="ja-JP"/>
        </w:rPr>
        <w:t xml:space="preserve">организация повседневного управления деятельностью единых дежурно-диспетчерских служб муниципальных районов и городских округов области и взаимодействия </w:t>
        <w:br/>
        <w:t xml:space="preserve">с дежурно-диспетчерскими службами органов исполнительной власти </w:t>
      </w:r>
      <w:r>
        <w:rPr>
          <w:rFonts w:eastAsia="Calibri"/>
          <w:sz w:val="23"/>
          <w:szCs w:val="23"/>
          <w:lang w:eastAsia="en-US"/>
        </w:rPr>
        <w:t>Республики Тыва</w:t>
      </w:r>
      <w:r>
        <w:rPr>
          <w:sz w:val="23"/>
          <w:szCs w:val="23"/>
          <w:lang w:eastAsia="ja-JP"/>
        </w:rPr>
        <w:t xml:space="preserve">, территориальных органов федеральных органов исполнительной власти, учреждений </w:t>
        <w:br/>
        <w:t>и организаций области;</w:t>
      </w:r>
    </w:p>
    <w:p>
      <w:pPr>
        <w:pStyle w:val="Normal"/>
        <w:numPr>
          <w:ilvl w:val="0"/>
          <w:numId w:val="11"/>
        </w:numPr>
        <w:tabs>
          <w:tab w:val="clear" w:pos="708"/>
          <w:tab w:val="left" w:pos="1134" w:leader="none"/>
        </w:tabs>
        <w:ind w:firstLine="567" w:start="0"/>
        <w:jc w:val="both"/>
        <w:rPr>
          <w:sz w:val="23"/>
          <w:szCs w:val="23"/>
          <w:lang w:eastAsia="ja-JP"/>
        </w:rPr>
      </w:pPr>
      <w:r>
        <w:rPr>
          <w:sz w:val="23"/>
          <w:szCs w:val="23"/>
          <w:lang w:eastAsia="ja-JP"/>
        </w:rPr>
        <w:t xml:space="preserve">реализация государственной политики в области защиты населения и территорий </w:t>
        <w:br/>
        <w:t xml:space="preserve">от чрезвычайных ситуаций, обеспечения пожарной безопасности и безопасности людей на водных объектах на территории </w:t>
      </w:r>
      <w:r>
        <w:rPr>
          <w:rFonts w:eastAsia="Calibri"/>
          <w:sz w:val="23"/>
          <w:szCs w:val="23"/>
          <w:lang w:eastAsia="en-US"/>
        </w:rPr>
        <w:t>Республики Тыва</w:t>
      </w:r>
      <w:r>
        <w:rPr>
          <w:sz w:val="23"/>
          <w:szCs w:val="23"/>
          <w:lang w:eastAsia="ja-JP"/>
        </w:rPr>
        <w:t xml:space="preserve"> в пределах установленных полномочий; </w:t>
      </w:r>
    </w:p>
    <w:p>
      <w:pPr>
        <w:pStyle w:val="Normal"/>
        <w:numPr>
          <w:ilvl w:val="0"/>
          <w:numId w:val="11"/>
        </w:numPr>
        <w:tabs>
          <w:tab w:val="clear" w:pos="708"/>
          <w:tab w:val="left" w:pos="1134" w:leader="none"/>
        </w:tabs>
        <w:ind w:firstLine="567" w:start="0"/>
        <w:jc w:val="both"/>
        <w:rPr>
          <w:sz w:val="23"/>
          <w:szCs w:val="23"/>
          <w:lang w:eastAsia="ja-JP"/>
        </w:rPr>
      </w:pPr>
      <w:r>
        <w:rPr>
          <w:sz w:val="23"/>
          <w:szCs w:val="23"/>
          <w:lang w:eastAsia="ja-JP"/>
        </w:rPr>
        <w:t>осуществление контроля наличия и готовности сил и средств оперативного реагирования Главного управления, его подчиненных органов управления;</w:t>
      </w:r>
    </w:p>
    <w:p>
      <w:pPr>
        <w:pStyle w:val="Normal"/>
        <w:numPr>
          <w:ilvl w:val="0"/>
          <w:numId w:val="11"/>
        </w:numPr>
        <w:tabs>
          <w:tab w:val="clear" w:pos="708"/>
          <w:tab w:val="left" w:pos="1134" w:leader="none"/>
        </w:tabs>
        <w:ind w:firstLine="567" w:start="0"/>
        <w:jc w:val="both"/>
        <w:rPr>
          <w:sz w:val="23"/>
          <w:szCs w:val="23"/>
          <w:lang w:eastAsia="ja-JP"/>
        </w:rPr>
      </w:pPr>
      <w:r>
        <w:rPr>
          <w:sz w:val="23"/>
          <w:szCs w:val="23"/>
          <w:lang w:eastAsia="ja-JP"/>
        </w:rPr>
        <w:t xml:space="preserve">сбор, обработка и представление вышестоящим, взаимодействующим и нижестоящим органам управления РСЧС оперативной информации о чрезвычайных ситуациях, прогнозной информации о тенденциях их развития и последствиях, задействованных силах, средствах </w:t>
        <w:br/>
        <w:t>и ресурсах;</w:t>
      </w:r>
    </w:p>
    <w:p>
      <w:pPr>
        <w:pStyle w:val="Normal"/>
        <w:numPr>
          <w:ilvl w:val="0"/>
          <w:numId w:val="11"/>
        </w:numPr>
        <w:tabs>
          <w:tab w:val="clear" w:pos="708"/>
          <w:tab w:val="left" w:pos="1134" w:leader="none"/>
        </w:tabs>
        <w:ind w:firstLine="567" w:start="0"/>
        <w:jc w:val="both"/>
        <w:rPr>
          <w:sz w:val="23"/>
          <w:szCs w:val="23"/>
          <w:lang w:eastAsia="ja-JP"/>
        </w:rPr>
      </w:pPr>
      <w:r>
        <w:rPr>
          <w:sz w:val="23"/>
          <w:szCs w:val="23"/>
          <w:lang w:eastAsia="ja-JP"/>
        </w:rPr>
        <w:t>оперативное управление, в пределах предоставленных полномочий, действиями подчинённых подразделений при выполнении мероприятий по предупреждению и ликвидации ЧС;</w:t>
      </w:r>
    </w:p>
    <w:p>
      <w:pPr>
        <w:pStyle w:val="Normal"/>
        <w:numPr>
          <w:ilvl w:val="0"/>
          <w:numId w:val="11"/>
        </w:numPr>
        <w:tabs>
          <w:tab w:val="clear" w:pos="708"/>
          <w:tab w:val="left" w:pos="1134" w:leader="none"/>
        </w:tabs>
        <w:ind w:firstLine="567" w:start="0"/>
        <w:jc w:val="both"/>
        <w:rPr>
          <w:sz w:val="23"/>
          <w:szCs w:val="23"/>
          <w:lang w:eastAsia="ja-JP"/>
        </w:rPr>
      </w:pPr>
      <w:r>
        <w:rPr>
          <w:sz w:val="23"/>
          <w:szCs w:val="23"/>
          <w:lang w:eastAsia="ja-JP"/>
        </w:rPr>
        <w:t xml:space="preserve">обеспечение оповещения и информирование населения о прогнозируемых </w:t>
        <w:br/>
        <w:t>и возникших ЧС мирного и военного времени, пожарах, мерах по обеспечению безопасности населения и территорий, приемах и способах защиты;</w:t>
      </w:r>
    </w:p>
    <w:p>
      <w:pPr>
        <w:pStyle w:val="Normal"/>
        <w:numPr>
          <w:ilvl w:val="0"/>
          <w:numId w:val="11"/>
        </w:numPr>
        <w:tabs>
          <w:tab w:val="clear" w:pos="708"/>
          <w:tab w:val="left" w:pos="1134" w:leader="none"/>
        </w:tabs>
        <w:ind w:firstLine="567" w:start="0"/>
        <w:jc w:val="both"/>
        <w:rPr>
          <w:sz w:val="23"/>
          <w:szCs w:val="23"/>
          <w:lang w:eastAsia="ja-JP"/>
        </w:rPr>
      </w:pPr>
      <w:r>
        <w:rPr>
          <w:sz w:val="23"/>
          <w:szCs w:val="23"/>
          <w:lang w:eastAsia="ja-JP"/>
        </w:rPr>
        <w:t>координация деятельности взаимодействующих ведомственных дежурно-диспетчерских служб при угрозе или возникновении ЧС;</w:t>
      </w:r>
    </w:p>
    <w:p>
      <w:pPr>
        <w:pStyle w:val="Normal"/>
        <w:numPr>
          <w:ilvl w:val="0"/>
          <w:numId w:val="11"/>
        </w:numPr>
        <w:tabs>
          <w:tab w:val="clear" w:pos="708"/>
          <w:tab w:val="left" w:pos="1134" w:leader="none"/>
        </w:tabs>
        <w:ind w:firstLine="567" w:start="0"/>
        <w:jc w:val="both"/>
        <w:rPr>
          <w:sz w:val="23"/>
          <w:szCs w:val="23"/>
          <w:lang w:eastAsia="ja-JP"/>
        </w:rPr>
      </w:pPr>
      <w:r>
        <w:rPr>
          <w:sz w:val="23"/>
          <w:szCs w:val="23"/>
          <w:lang w:eastAsia="ja-JP"/>
        </w:rPr>
        <w:t>информационное обеспечение работы координационных и постоянно действующих органов управления РСЧС области;</w:t>
      </w:r>
    </w:p>
    <w:p>
      <w:pPr>
        <w:pStyle w:val="Normal"/>
        <w:numPr>
          <w:ilvl w:val="0"/>
          <w:numId w:val="11"/>
        </w:numPr>
        <w:tabs>
          <w:tab w:val="clear" w:pos="708"/>
          <w:tab w:val="left" w:pos="1276" w:leader="none"/>
        </w:tabs>
        <w:ind w:firstLine="567" w:start="0"/>
        <w:jc w:val="both"/>
        <w:rPr>
          <w:sz w:val="23"/>
          <w:szCs w:val="23"/>
          <w:lang w:eastAsia="ja-JP"/>
        </w:rPr>
      </w:pPr>
      <w:r>
        <w:rPr>
          <w:sz w:val="23"/>
          <w:szCs w:val="23"/>
          <w:lang w:eastAsia="ja-JP"/>
        </w:rPr>
        <w:t xml:space="preserve">осуществление мероприятий по информированию населения о возникших </w:t>
        <w:br/>
        <w:t>и прогнозируемых чрезвычайных ситуациях, и пожарах, и по пропаганде безопасности жизнедеятельности.</w:t>
      </w:r>
    </w:p>
    <w:p>
      <w:pPr>
        <w:pStyle w:val="Normal"/>
        <w:tabs>
          <w:tab w:val="clear" w:pos="708"/>
          <w:tab w:val="left" w:pos="1134" w:leader="none"/>
        </w:tabs>
        <w:ind w:firstLine="567"/>
        <w:jc w:val="both"/>
        <w:rPr>
          <w:sz w:val="23"/>
          <w:szCs w:val="23"/>
          <w:lang w:eastAsia="ja-JP"/>
        </w:rPr>
      </w:pPr>
      <w:r>
        <w:rPr>
          <w:sz w:val="23"/>
          <w:szCs w:val="23"/>
          <w:lang w:eastAsia="ja-JP"/>
        </w:rPr>
        <w:t>Региональный ЦУКС МЧС России интегрирован в Систему-112 путём установки в нем АРМ Системы-112.</w:t>
      </w:r>
    </w:p>
    <w:p>
      <w:pPr>
        <w:pStyle w:val="Normal"/>
        <w:tabs>
          <w:tab w:val="clear" w:pos="708"/>
          <w:tab w:val="left" w:pos="1134" w:leader="none"/>
        </w:tabs>
        <w:ind w:firstLine="567"/>
        <w:jc w:val="both"/>
        <w:rPr>
          <w:sz w:val="23"/>
          <w:szCs w:val="23"/>
          <w:lang w:eastAsia="ja-JP"/>
        </w:rPr>
      </w:pPr>
      <w:r>
        <w:rPr>
          <w:sz w:val="23"/>
          <w:szCs w:val="23"/>
          <w:lang w:eastAsia="ja-JP"/>
        </w:rPr>
      </w:r>
    </w:p>
    <w:p>
      <w:pPr>
        <w:pStyle w:val="Normal"/>
        <w:keepNext w:val="true"/>
        <w:widowControl w:val="false"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pacing w:before="0" w:after="0"/>
        <w:ind w:firstLine="567"/>
        <w:contextualSpacing/>
        <w:outlineLvl w:val="1"/>
        <w:rPr>
          <w:b/>
          <w:bCs/>
          <w:sz w:val="23"/>
          <w:szCs w:val="23"/>
        </w:rPr>
      </w:pPr>
      <w:bookmarkStart w:id="35" w:name="_Toc1128680"/>
      <w:r>
        <w:rPr>
          <w:b/>
          <w:bCs/>
          <w:sz w:val="23"/>
          <w:szCs w:val="23"/>
        </w:rPr>
        <w:t>3.12. Тувинский поисково-спасательный отряд (ПСС)</w:t>
      </w:r>
    </w:p>
    <w:p>
      <w:pPr>
        <w:pStyle w:val="Normal"/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Основными задачами поисково-спасательных формирований ПСС МЧС России являются:</w:t>
      </w:r>
    </w:p>
    <w:p>
      <w:pPr>
        <w:pStyle w:val="ListParagraph"/>
        <w:numPr>
          <w:ilvl w:val="0"/>
          <w:numId w:val="22"/>
        </w:numPr>
        <w:ind w:firstLine="567" w:start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поддержание в постоянной готовности органов управления, сил и средств поисково-спасательных формирований к выполнению задач по предназначению;</w:t>
      </w:r>
    </w:p>
    <w:p>
      <w:pPr>
        <w:pStyle w:val="ListParagraph"/>
        <w:numPr>
          <w:ilvl w:val="0"/>
          <w:numId w:val="22"/>
        </w:numPr>
        <w:ind w:firstLine="567" w:start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контроль за готовностью обслуживаемых объектов и территорий к проведению на них работ по ликвидации чрезвычайных ситуаций;</w:t>
      </w:r>
    </w:p>
    <w:p>
      <w:pPr>
        <w:pStyle w:val="ListParagraph"/>
        <w:numPr>
          <w:ilvl w:val="0"/>
          <w:numId w:val="22"/>
        </w:numPr>
        <w:ind w:firstLine="567" w:start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организация и проведение поисково-спасательных работ в чрезвычайных ситуациях природного и техногенного характера.</w:t>
      </w:r>
    </w:p>
    <w:p>
      <w:pPr>
        <w:pStyle w:val="Normal"/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В целях решения возлагаемых задач поисково-спасательные формирования ПСС МЧС России:</w:t>
      </w:r>
    </w:p>
    <w:p>
      <w:pPr>
        <w:pStyle w:val="ListParagraph"/>
        <w:numPr>
          <w:ilvl w:val="0"/>
          <w:numId w:val="23"/>
        </w:numPr>
        <w:ind w:firstLine="567" w:start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создают необходимую материально-техническую базу;</w:t>
      </w:r>
    </w:p>
    <w:p>
      <w:pPr>
        <w:pStyle w:val="ListParagraph"/>
        <w:numPr>
          <w:ilvl w:val="0"/>
          <w:numId w:val="23"/>
        </w:numPr>
        <w:ind w:firstLine="567" w:start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разрабатывают оперативные документы по вопросам организации и проведения поисково-спасательных работ в соответствии с предназначением;</w:t>
      </w:r>
    </w:p>
    <w:p>
      <w:pPr>
        <w:pStyle w:val="ListParagraph"/>
        <w:numPr>
          <w:ilvl w:val="0"/>
          <w:numId w:val="23"/>
        </w:numPr>
        <w:ind w:firstLine="567" w:start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осуществляют подготовку, переподготовку, повышение квалификации штатных сотрудников поисково-спасательных формирований ПСС МЧС России;</w:t>
      </w:r>
    </w:p>
    <w:p>
      <w:pPr>
        <w:pStyle w:val="ListParagraph"/>
        <w:numPr>
          <w:ilvl w:val="0"/>
          <w:numId w:val="23"/>
        </w:numPr>
        <w:ind w:firstLine="567" w:start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готовят спасателей и поисково-спасательные формирования к аттестации на проведение аварийно-спасательных работ;</w:t>
      </w:r>
    </w:p>
    <w:p>
      <w:pPr>
        <w:pStyle w:val="ListParagraph"/>
        <w:numPr>
          <w:ilvl w:val="0"/>
          <w:numId w:val="23"/>
        </w:numPr>
        <w:ind w:firstLine="567" w:start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осуществляют мероприятия по реабилитации, социальной и правовой защите работников поисково-спасательных формирований ПСС МЧС России и членов их семей;</w:t>
      </w:r>
    </w:p>
    <w:p>
      <w:pPr>
        <w:pStyle w:val="ListParagraph"/>
        <w:numPr>
          <w:ilvl w:val="0"/>
          <w:numId w:val="23"/>
        </w:numPr>
        <w:ind w:firstLine="567" w:start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обмениваются опытом работы с другими, в том числе международными спасательными службами и формированиями;</w:t>
      </w:r>
    </w:p>
    <w:p>
      <w:pPr>
        <w:pStyle w:val="ListParagraph"/>
        <w:numPr>
          <w:ilvl w:val="0"/>
          <w:numId w:val="23"/>
        </w:numPr>
        <w:ind w:firstLine="567" w:start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участвуют, при необходимости, в разработке органами исполнительной власти субъектов Российской Федерации планов предупреждения и ликвидации чрезвычайных ситуаций;</w:t>
      </w:r>
    </w:p>
    <w:p>
      <w:pPr>
        <w:pStyle w:val="ListParagraph"/>
        <w:numPr>
          <w:ilvl w:val="0"/>
          <w:numId w:val="23"/>
        </w:numPr>
        <w:ind w:firstLine="567" w:start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пропагандируют знания в области защиты населения и территорий от чрезвычайных ситуаций;</w:t>
      </w:r>
    </w:p>
    <w:p>
      <w:pPr>
        <w:pStyle w:val="ListParagraph"/>
        <w:numPr>
          <w:ilvl w:val="0"/>
          <w:numId w:val="23"/>
        </w:numPr>
        <w:ind w:firstLine="567" w:start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участвуют в подготовке спасателей общественных аварийно-спасательных формирований (спасателей-общественников);</w:t>
      </w:r>
    </w:p>
    <w:p>
      <w:pPr>
        <w:pStyle w:val="ListParagraph"/>
        <w:numPr>
          <w:ilvl w:val="0"/>
          <w:numId w:val="23"/>
        </w:numPr>
        <w:ind w:firstLine="567" w:start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участвуют в подготовке населения к действиям в условиях чрезвычайных ситуаций.</w:t>
      </w:r>
    </w:p>
    <w:p>
      <w:pPr>
        <w:pStyle w:val="Normal"/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Полный перечень задач и функций, возлагаемых на конкретные ПСФ, определяется приказом МЧС России в соответствии с их полномочиями и закрепляется в уставах указанных формирований.</w:t>
      </w:r>
    </w:p>
    <w:p>
      <w:pPr>
        <w:pStyle w:val="Normal"/>
        <w:ind w:firstLine="567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</w:r>
    </w:p>
    <w:p>
      <w:pPr>
        <w:pStyle w:val="Normal"/>
        <w:keepNext w:val="true"/>
        <w:widowControl w:val="false"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pacing w:before="0" w:after="0"/>
        <w:ind w:firstLine="567"/>
        <w:contextualSpacing/>
        <w:outlineLvl w:val="1"/>
        <w:rPr>
          <w:b/>
          <w:bCs/>
          <w:sz w:val="23"/>
          <w:szCs w:val="23"/>
        </w:rPr>
      </w:pPr>
      <w:bookmarkStart w:id="36" w:name="_Toc1128680"/>
      <w:r>
        <w:rPr>
          <w:b/>
          <w:bCs/>
          <w:sz w:val="23"/>
          <w:szCs w:val="23"/>
        </w:rPr>
        <w:t>3.13. Общие сведения об автоматизируемых процессах</w:t>
      </w:r>
      <w:bookmarkEnd w:id="36"/>
    </w:p>
    <w:p>
      <w:pPr>
        <w:pStyle w:val="Normal"/>
        <w:tabs>
          <w:tab w:val="clear" w:pos="708"/>
          <w:tab w:val="left" w:pos="1134" w:leader="none"/>
        </w:tabs>
        <w:ind w:firstLine="567"/>
        <w:jc w:val="both"/>
        <w:rPr>
          <w:rFonts w:eastAsia="Calibri"/>
          <w:sz w:val="23"/>
          <w:szCs w:val="23"/>
          <w:lang w:eastAsia="en-US"/>
        </w:rPr>
      </w:pPr>
      <w:r>
        <w:rPr>
          <w:rFonts w:eastAsia="Calibri"/>
          <w:sz w:val="23"/>
          <w:szCs w:val="23"/>
          <w:lang w:eastAsia="en-US"/>
        </w:rPr>
        <w:t>Прием и обработка вызовов (сообщений о происшествиях) в системе-112 включает:</w:t>
      </w:r>
    </w:p>
    <w:p>
      <w:pPr>
        <w:pStyle w:val="Normal"/>
        <w:numPr>
          <w:ilvl w:val="0"/>
          <w:numId w:val="17"/>
        </w:numPr>
        <w:tabs>
          <w:tab w:val="clear" w:pos="708"/>
          <w:tab w:val="left" w:pos="1134" w:leader="none"/>
        </w:tabs>
        <w:ind w:firstLine="567" w:start="0"/>
        <w:jc w:val="both"/>
        <w:rPr>
          <w:rFonts w:eastAsia="Calibri"/>
          <w:sz w:val="23"/>
          <w:szCs w:val="23"/>
          <w:lang w:eastAsia="en-US"/>
        </w:rPr>
      </w:pPr>
      <w:r>
        <w:rPr>
          <w:rFonts w:eastAsia="Calibri"/>
          <w:sz w:val="23"/>
          <w:szCs w:val="23"/>
          <w:lang w:eastAsia="en-US"/>
        </w:rPr>
        <w:t>диалог с заявителем, анализ и передачу характеристик происшествия (при необходимости перенаправление вызовов (сообщений о происшествиях) в дежурно-диспетчерские службы соответствующих экстренных оперативных служб для непосредственного реагирования;</w:t>
      </w:r>
    </w:p>
    <w:p>
      <w:pPr>
        <w:pStyle w:val="Normal"/>
        <w:numPr>
          <w:ilvl w:val="0"/>
          <w:numId w:val="17"/>
        </w:numPr>
        <w:tabs>
          <w:tab w:val="clear" w:pos="708"/>
          <w:tab w:val="left" w:pos="1134" w:leader="none"/>
        </w:tabs>
        <w:ind w:firstLine="567" w:start="0"/>
        <w:jc w:val="both"/>
        <w:rPr>
          <w:rFonts w:eastAsia="Calibri"/>
          <w:sz w:val="23"/>
          <w:szCs w:val="23"/>
          <w:lang w:eastAsia="en-US"/>
        </w:rPr>
      </w:pPr>
      <w:r>
        <w:rPr>
          <w:rFonts w:eastAsia="Calibri"/>
          <w:sz w:val="23"/>
          <w:szCs w:val="23"/>
          <w:lang w:eastAsia="en-US"/>
        </w:rPr>
        <w:t xml:space="preserve">контроль за реагированием на происшествие, анализ и ввод в базу данных информации, полученной по результатам реагирования, уточнение и корректировку действий привлеченных дежурно-диспетчерских служб экстренных оперативных служб, информирование взаимодействующих дежурно-диспетчерских служб экстренных оперативных служб </w:t>
        <w:br/>
        <w:t>об оперативной обстановке, о принятых и реализуемых мерах;</w:t>
      </w:r>
    </w:p>
    <w:p>
      <w:pPr>
        <w:pStyle w:val="Normal"/>
        <w:numPr>
          <w:ilvl w:val="0"/>
          <w:numId w:val="17"/>
        </w:numPr>
        <w:tabs>
          <w:tab w:val="clear" w:pos="708"/>
          <w:tab w:val="left" w:pos="1134" w:leader="none"/>
        </w:tabs>
        <w:ind w:firstLine="567" w:start="0"/>
        <w:jc w:val="both"/>
        <w:rPr>
          <w:rFonts w:eastAsia="Calibri"/>
          <w:sz w:val="23"/>
          <w:szCs w:val="23"/>
          <w:lang w:eastAsia="en-US"/>
        </w:rPr>
      </w:pPr>
      <w:r>
        <w:rPr>
          <w:rFonts w:eastAsia="Calibri"/>
          <w:sz w:val="23"/>
          <w:szCs w:val="23"/>
          <w:lang w:eastAsia="en-US"/>
        </w:rPr>
        <w:t>размещение в информационной системе данных о ходе и об окончании мероприятий по экстренному реагированию на принятый вызов (сообщение о происшествии).</w:t>
      </w:r>
    </w:p>
    <w:p>
      <w:pPr>
        <w:pStyle w:val="Normal"/>
        <w:tabs>
          <w:tab w:val="clear" w:pos="708"/>
          <w:tab w:val="left" w:pos="1134" w:leader="none"/>
        </w:tabs>
        <w:ind w:firstLine="567"/>
        <w:jc w:val="both"/>
        <w:rPr>
          <w:rFonts w:eastAsia="Calibri"/>
          <w:sz w:val="23"/>
          <w:szCs w:val="23"/>
          <w:lang w:eastAsia="en-US"/>
        </w:rPr>
      </w:pPr>
      <w:r>
        <w:rPr>
          <w:rFonts w:eastAsia="Calibri"/>
          <w:sz w:val="23"/>
          <w:szCs w:val="23"/>
          <w:lang w:eastAsia="en-US"/>
        </w:rPr>
        <w:t xml:space="preserve">Приём вызовов (сообщений о происшествиях) осуществляется операторами ЦОВ, РЦОВ и ЕДДС по признаку территориальной принадлежности к их зоне ответственности. Все обращения в систему-112 регистрируются и, при необходимости, направляются дежурным диспетчерам соответствующих ДДС. </w:t>
      </w:r>
    </w:p>
    <w:p>
      <w:pPr>
        <w:pStyle w:val="Normal"/>
        <w:tabs>
          <w:tab w:val="clear" w:pos="708"/>
          <w:tab w:val="left" w:pos="1134" w:leader="none"/>
        </w:tabs>
        <w:ind w:firstLine="567"/>
        <w:jc w:val="both"/>
        <w:rPr>
          <w:rFonts w:eastAsia="Calibri"/>
          <w:sz w:val="23"/>
          <w:szCs w:val="23"/>
          <w:lang w:eastAsia="en-US"/>
        </w:rPr>
      </w:pPr>
      <w:r>
        <w:rPr>
          <w:rFonts w:eastAsia="Calibri"/>
          <w:sz w:val="23"/>
          <w:szCs w:val="23"/>
          <w:lang w:eastAsia="en-US"/>
        </w:rPr>
        <w:t xml:space="preserve">Взаимодействие операторов ЦОВ, РЦОВ и ЕДДС с диспетчерами ДДС производится согласно регламенту информационного обмена и включает значительный объем как голосовой, так и текстовой информации. </w:t>
      </w:r>
    </w:p>
    <w:p>
      <w:pPr>
        <w:pStyle w:val="Normal"/>
        <w:tabs>
          <w:tab w:val="clear" w:pos="708"/>
          <w:tab w:val="left" w:pos="1134" w:leader="none"/>
        </w:tabs>
        <w:ind w:firstLine="567"/>
        <w:jc w:val="both"/>
        <w:rPr>
          <w:rFonts w:eastAsia="Calibri"/>
          <w:sz w:val="23"/>
          <w:szCs w:val="23"/>
          <w:lang w:eastAsia="en-US"/>
        </w:rPr>
      </w:pPr>
      <w:r>
        <w:rPr>
          <w:rFonts w:eastAsia="Calibri"/>
          <w:sz w:val="23"/>
          <w:szCs w:val="23"/>
          <w:lang w:eastAsia="en-US"/>
        </w:rPr>
        <w:t xml:space="preserve">Диспетчеры ДДС при получении сообщений о происшествии выполняют меры </w:t>
        <w:br/>
        <w:t>по реагированию в соответствии с внутренними инструкциями и вводят в информационную систему (Систему-112) уточненные данные по происшествию и информацию по реагированию на него.</w:t>
      </w:r>
    </w:p>
    <w:p>
      <w:pPr>
        <w:pStyle w:val="Normal"/>
        <w:tabs>
          <w:tab w:val="clear" w:pos="708"/>
          <w:tab w:val="left" w:pos="1134" w:leader="none"/>
        </w:tabs>
        <w:ind w:firstLine="567"/>
        <w:jc w:val="both"/>
        <w:rPr>
          <w:rFonts w:eastAsia="Calibri"/>
          <w:sz w:val="23"/>
          <w:szCs w:val="23"/>
          <w:lang w:eastAsia="en-US"/>
        </w:rPr>
      </w:pPr>
      <w:r>
        <w:rPr>
          <w:rFonts w:eastAsia="Calibri"/>
          <w:sz w:val="23"/>
          <w:szCs w:val="23"/>
          <w:lang w:eastAsia="en-US"/>
        </w:rPr>
        <w:t>Возможность вызова экстренных оперативных служб по единому номеру «112» предоставляется круглосуточно, без выходных.</w:t>
      </w:r>
    </w:p>
    <w:p>
      <w:pPr>
        <w:pStyle w:val="Normal"/>
        <w:tabs>
          <w:tab w:val="clear" w:pos="708"/>
          <w:tab w:val="left" w:pos="1134" w:leader="none"/>
        </w:tabs>
        <w:ind w:firstLine="567"/>
        <w:jc w:val="both"/>
        <w:rPr>
          <w:rFonts w:eastAsia="Calibri"/>
          <w:sz w:val="23"/>
          <w:szCs w:val="23"/>
          <w:lang w:eastAsia="en-US"/>
        </w:rPr>
      </w:pPr>
      <w:r>
        <w:rPr>
          <w:rFonts w:eastAsia="Calibri"/>
          <w:sz w:val="23"/>
          <w:szCs w:val="23"/>
          <w:lang w:eastAsia="en-US"/>
        </w:rPr>
        <w:t>В общем виде процесс обработки вызова экстренных оперативных служб по единому номеру «112» включает в себя следующие технологические операции:</w:t>
      </w:r>
    </w:p>
    <w:p>
      <w:pPr>
        <w:pStyle w:val="Normal"/>
        <w:numPr>
          <w:ilvl w:val="0"/>
          <w:numId w:val="18"/>
        </w:numPr>
        <w:tabs>
          <w:tab w:val="clear" w:pos="708"/>
          <w:tab w:val="left" w:pos="1134" w:leader="none"/>
        </w:tabs>
        <w:ind w:firstLine="567" w:start="0"/>
        <w:jc w:val="both"/>
        <w:rPr>
          <w:rFonts w:eastAsia="Calibri"/>
          <w:sz w:val="23"/>
          <w:szCs w:val="23"/>
          <w:lang w:eastAsia="en-US"/>
        </w:rPr>
      </w:pPr>
      <w:r>
        <w:rPr>
          <w:rFonts w:eastAsia="Calibri"/>
          <w:sz w:val="23"/>
          <w:szCs w:val="23"/>
          <w:lang w:eastAsia="en-US"/>
        </w:rPr>
        <w:t>приём и регистрация вызова (сообщения о происшествии) о происшествии и принятие решения о задействовании ДДС оператором;</w:t>
      </w:r>
    </w:p>
    <w:p>
      <w:pPr>
        <w:pStyle w:val="Normal"/>
        <w:numPr>
          <w:ilvl w:val="0"/>
          <w:numId w:val="18"/>
        </w:numPr>
        <w:tabs>
          <w:tab w:val="clear" w:pos="708"/>
          <w:tab w:val="left" w:pos="1134" w:leader="none"/>
        </w:tabs>
        <w:ind w:firstLine="567" w:start="0"/>
        <w:jc w:val="both"/>
        <w:rPr>
          <w:rFonts w:eastAsia="Calibri"/>
          <w:sz w:val="23"/>
          <w:szCs w:val="23"/>
          <w:lang w:eastAsia="en-US"/>
        </w:rPr>
      </w:pPr>
      <w:r>
        <w:rPr>
          <w:rFonts w:eastAsia="Calibri"/>
          <w:sz w:val="23"/>
          <w:szCs w:val="23"/>
          <w:lang w:eastAsia="en-US"/>
        </w:rPr>
        <w:t xml:space="preserve">передача оператором унифицированной карточки информационного обмена </w:t>
        <w:br/>
        <w:t>в Системе-112 в задействуемые ДДС, по необходимости подключение диспетчеров к разговору или переадресация вызова;</w:t>
      </w:r>
    </w:p>
    <w:p>
      <w:pPr>
        <w:pStyle w:val="Normal"/>
        <w:numPr>
          <w:ilvl w:val="0"/>
          <w:numId w:val="18"/>
        </w:numPr>
        <w:tabs>
          <w:tab w:val="clear" w:pos="708"/>
          <w:tab w:val="left" w:pos="1134" w:leader="none"/>
        </w:tabs>
        <w:ind w:firstLine="567" w:start="0"/>
        <w:jc w:val="both"/>
        <w:rPr>
          <w:rFonts w:eastAsia="Calibri"/>
          <w:sz w:val="23"/>
          <w:szCs w:val="23"/>
          <w:lang w:eastAsia="en-US"/>
        </w:rPr>
      </w:pPr>
      <w:r>
        <w:rPr>
          <w:rFonts w:eastAsia="Calibri"/>
          <w:sz w:val="23"/>
          <w:szCs w:val="23"/>
          <w:lang w:eastAsia="en-US"/>
        </w:rPr>
        <w:t>при необходимости уточнение оператором или диспетчером у заявителя информации по происшествию и принятие диспетчером решений по реагированию на происшествие;</w:t>
      </w:r>
    </w:p>
    <w:p>
      <w:pPr>
        <w:pStyle w:val="Normal"/>
        <w:numPr>
          <w:ilvl w:val="0"/>
          <w:numId w:val="18"/>
        </w:numPr>
        <w:tabs>
          <w:tab w:val="clear" w:pos="708"/>
          <w:tab w:val="left" w:pos="1134" w:leader="none"/>
        </w:tabs>
        <w:ind w:firstLine="567" w:start="0"/>
        <w:jc w:val="both"/>
        <w:rPr>
          <w:rFonts w:eastAsia="Calibri"/>
          <w:sz w:val="23"/>
          <w:szCs w:val="23"/>
          <w:lang w:eastAsia="en-US"/>
        </w:rPr>
      </w:pPr>
      <w:r>
        <w:rPr>
          <w:rFonts w:eastAsia="Calibri"/>
          <w:sz w:val="23"/>
          <w:szCs w:val="23"/>
          <w:lang w:eastAsia="en-US"/>
        </w:rPr>
        <w:t>направление сил и средств ДДС диспетчером на место происшествия для уточнения полученной информации, оказания помощи и ликвидации происшествия;</w:t>
      </w:r>
    </w:p>
    <w:p>
      <w:pPr>
        <w:pStyle w:val="Normal"/>
        <w:numPr>
          <w:ilvl w:val="0"/>
          <w:numId w:val="18"/>
        </w:numPr>
        <w:tabs>
          <w:tab w:val="clear" w:pos="708"/>
          <w:tab w:val="left" w:pos="1134" w:leader="none"/>
        </w:tabs>
        <w:ind w:firstLine="567" w:start="0"/>
        <w:jc w:val="both"/>
        <w:rPr>
          <w:rFonts w:eastAsia="Calibri"/>
          <w:sz w:val="23"/>
          <w:szCs w:val="23"/>
          <w:lang w:eastAsia="en-US"/>
        </w:rPr>
      </w:pPr>
      <w:r>
        <w:rPr>
          <w:rFonts w:eastAsia="Calibri"/>
          <w:sz w:val="23"/>
          <w:szCs w:val="23"/>
          <w:lang w:eastAsia="en-US"/>
        </w:rPr>
        <w:t xml:space="preserve">оказание помощи и ликвидация происшествия дежурными силами ДДС, завершение реагирования, закрытие унифицированной карточки информационного обмена в Системе-112 диспетчером, после проведения контроля - оператором. </w:t>
      </w:r>
    </w:p>
    <w:p>
      <w:pPr>
        <w:pStyle w:val="Normal"/>
        <w:tabs>
          <w:tab w:val="clear" w:pos="708"/>
          <w:tab w:val="left" w:pos="1134" w:leader="none"/>
        </w:tabs>
        <w:ind w:firstLine="567"/>
        <w:jc w:val="both"/>
        <w:rPr>
          <w:rFonts w:eastAsia="Calibri"/>
          <w:sz w:val="23"/>
          <w:szCs w:val="23"/>
          <w:lang w:eastAsia="en-US"/>
        </w:rPr>
      </w:pPr>
      <w:r>
        <w:rPr>
          <w:rFonts w:eastAsia="Calibri"/>
          <w:sz w:val="23"/>
          <w:szCs w:val="23"/>
          <w:lang w:eastAsia="en-US"/>
        </w:rPr>
        <w:t xml:space="preserve">Оператор, принимающий вызов, в программе регистрирует сведения о вызове </w:t>
        <w:br/>
        <w:t xml:space="preserve">и о происшествии. Для получения необходимых сведений оператор задает уточняющие вопросы. </w:t>
      </w:r>
    </w:p>
    <w:p>
      <w:pPr>
        <w:pStyle w:val="Normal"/>
        <w:tabs>
          <w:tab w:val="clear" w:pos="708"/>
          <w:tab w:val="left" w:pos="1134" w:leader="none"/>
        </w:tabs>
        <w:ind w:firstLine="567"/>
        <w:jc w:val="both"/>
        <w:rPr>
          <w:rFonts w:eastAsia="Calibri"/>
          <w:sz w:val="23"/>
          <w:szCs w:val="23"/>
          <w:lang w:eastAsia="en-US"/>
        </w:rPr>
      </w:pPr>
      <w:r>
        <w:rPr>
          <w:rFonts w:eastAsia="Calibri"/>
          <w:sz w:val="23"/>
          <w:szCs w:val="23"/>
          <w:lang w:eastAsia="en-US"/>
        </w:rPr>
        <w:t xml:space="preserve">Получаемые от заявителя сведения оператор сверяет с данными об абонентском устройстве, с которого осуществляется вызов, и об абоненте, полученными от оператора связи, а также </w:t>
        <w:br/>
        <w:t>с адресными данными геоинформационной системы.</w:t>
      </w:r>
    </w:p>
    <w:p>
      <w:pPr>
        <w:pStyle w:val="Normal"/>
        <w:tabs>
          <w:tab w:val="clear" w:pos="708"/>
          <w:tab w:val="left" w:pos="1134" w:leader="none"/>
        </w:tabs>
        <w:ind w:firstLine="567"/>
        <w:jc w:val="both"/>
        <w:rPr>
          <w:rFonts w:eastAsia="Calibri"/>
          <w:sz w:val="23"/>
          <w:szCs w:val="23"/>
          <w:lang w:eastAsia="en-US"/>
        </w:rPr>
      </w:pPr>
      <w:r>
        <w:rPr>
          <w:rFonts w:eastAsia="Calibri"/>
          <w:sz w:val="23"/>
          <w:szCs w:val="23"/>
          <w:lang w:eastAsia="en-US"/>
        </w:rPr>
        <w:t>В ходе приёма заявления оператор принимает решение о привлечении ДДС для оказания помощи заявителю, об оказании психологической помощи, помощи переводчика. В случае соответствия происшествия определенным критериям может приниматься решение о передаче информации по команде для присвоения данному происшествию статуса ЧС. Указанные решения оператор принимает самостоятельно на основании инструкций или рекомендаций соответствующего диспетчера. Подключение ДДС производится непосредственно в ходе приема заявления или сразу после его окончания путем автоматизированной передачи необходимой информации о происшествии в ДДС (на АРМ диспетчера), организации конференцсвязи, перевода вызова на ДДС.</w:t>
      </w:r>
    </w:p>
    <w:p>
      <w:pPr>
        <w:pStyle w:val="Normal"/>
        <w:tabs>
          <w:tab w:val="clear" w:pos="708"/>
          <w:tab w:val="left" w:pos="1134" w:leader="none"/>
        </w:tabs>
        <w:ind w:firstLine="567"/>
        <w:jc w:val="both"/>
        <w:rPr>
          <w:rFonts w:eastAsia="Calibri"/>
          <w:sz w:val="23"/>
          <w:szCs w:val="23"/>
          <w:lang w:eastAsia="en-US"/>
        </w:rPr>
      </w:pPr>
      <w:r>
        <w:rPr>
          <w:rFonts w:eastAsia="Calibri"/>
          <w:sz w:val="23"/>
          <w:szCs w:val="23"/>
          <w:lang w:eastAsia="en-US"/>
        </w:rPr>
        <w:t xml:space="preserve">После принятия диспетчером решения о направлении к заявителю (на место происшествия) сил и средств соответствующей ДДС для экстренной оперативной помощи диспетчер или оператор сообщают об этом заявителю, выдают ему рекомендации о необходимых действиях </w:t>
        <w:br/>
        <w:t>до прибытия помощи и завершают телефонный вызов для обеспечения готовности к принятию следующего вызова.</w:t>
      </w:r>
    </w:p>
    <w:p>
      <w:pPr>
        <w:pStyle w:val="Normal"/>
        <w:tabs>
          <w:tab w:val="clear" w:pos="708"/>
          <w:tab w:val="left" w:pos="1134" w:leader="none"/>
        </w:tabs>
        <w:ind w:firstLine="567"/>
        <w:jc w:val="both"/>
        <w:rPr>
          <w:rFonts w:eastAsia="Calibri"/>
          <w:sz w:val="23"/>
          <w:szCs w:val="23"/>
          <w:lang w:eastAsia="en-US"/>
        </w:rPr>
      </w:pPr>
      <w:r>
        <w:rPr>
          <w:rFonts w:eastAsia="Calibri"/>
          <w:sz w:val="23"/>
          <w:szCs w:val="23"/>
          <w:lang w:eastAsia="en-US"/>
        </w:rPr>
        <w:t>На всех последующих этапах обслуживания вызова происходит отслеживание изменения обстановки и статуса реагирования на чрезвычайную ситуацию. Закрытие унифицированной карточки информационного обмена в системе-112 происходит после завершения реагирования всех привлеченных по данному происшествию ДДС.</w:t>
      </w:r>
    </w:p>
    <w:p>
      <w:pPr>
        <w:pStyle w:val="Normal"/>
        <w:tabs>
          <w:tab w:val="clear" w:pos="708"/>
          <w:tab w:val="left" w:pos="1134" w:leader="none"/>
        </w:tabs>
        <w:ind w:firstLine="567"/>
        <w:jc w:val="both"/>
        <w:rPr>
          <w:rFonts w:eastAsia="Calibri"/>
          <w:sz w:val="23"/>
          <w:szCs w:val="23"/>
          <w:lang w:eastAsia="en-US"/>
        </w:rPr>
      </w:pPr>
      <w:r>
        <w:rPr>
          <w:rFonts w:eastAsia="Calibri"/>
          <w:sz w:val="23"/>
          <w:szCs w:val="23"/>
          <w:lang w:eastAsia="en-US"/>
        </w:rPr>
      </w:r>
    </w:p>
    <w:p>
      <w:pPr>
        <w:pStyle w:val="Heading2"/>
        <w:numPr>
          <w:ilvl w:val="0"/>
          <w:numId w:val="0"/>
        </w:numPr>
        <w:spacing w:lineRule="auto" w:line="240" w:before="0" w:after="0"/>
        <w:ind w:firstLine="567" w:start="0"/>
        <w:rPr>
          <w:rFonts w:eastAsia="Calibri"/>
          <w:sz w:val="23"/>
          <w:szCs w:val="23"/>
        </w:rPr>
      </w:pPr>
      <w:r>
        <w:rPr>
          <w:rFonts w:eastAsia="Calibri"/>
          <w:sz w:val="23"/>
          <w:szCs w:val="23"/>
        </w:rPr>
        <w:t>3.14. Целевые показатели функционирования системы</w:t>
      </w:r>
    </w:p>
    <w:p>
      <w:pPr>
        <w:pStyle w:val="Normal"/>
        <w:tabs>
          <w:tab w:val="clear" w:pos="708"/>
          <w:tab w:val="left" w:pos="284" w:leader="none"/>
          <w:tab w:val="left" w:pos="1134" w:leader="none"/>
        </w:tabs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Система-112 функционирует в режиме 24/7/365 (24 часа в сутки, 7 дней в неделю, круглый год, в том числе выходные и праздничные дни) и находится в постоянной готовности к обеспечению экстренного реагирования на вызовы от населения и сообщения о происшествиях, возникающих на территориях муниципальных образований и </w:t>
      </w:r>
      <w:r>
        <w:rPr>
          <w:rFonts w:eastAsia="Calibri"/>
          <w:sz w:val="23"/>
          <w:szCs w:val="23"/>
          <w:lang w:eastAsia="en-US"/>
        </w:rPr>
        <w:t>Республики Тыва</w:t>
      </w:r>
      <w:r>
        <w:rPr>
          <w:sz w:val="23"/>
          <w:szCs w:val="23"/>
        </w:rPr>
        <w:t xml:space="preserve"> в целом.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</w:r>
      <w:bookmarkStart w:id="37" w:name="__RefHeading__24575_1998837372"/>
      <w:bookmarkStart w:id="38" w:name="_Ref548291"/>
      <w:bookmarkStart w:id="39" w:name="_Toc473899645"/>
      <w:bookmarkStart w:id="40" w:name="_Ref453897864"/>
      <w:bookmarkStart w:id="41" w:name="_Toc1128681"/>
      <w:bookmarkStart w:id="42" w:name="__RefHeading__24575_1998837372"/>
      <w:bookmarkStart w:id="43" w:name="_Ref548291"/>
      <w:bookmarkStart w:id="44" w:name="_Toc473899645"/>
      <w:bookmarkStart w:id="45" w:name="_Ref453897864"/>
      <w:bookmarkStart w:id="46" w:name="_Toc1128681"/>
      <w:bookmarkEnd w:id="42"/>
      <w:bookmarkEnd w:id="43"/>
      <w:bookmarkEnd w:id="44"/>
      <w:bookmarkEnd w:id="45"/>
      <w:bookmarkEnd w:id="46"/>
    </w:p>
    <w:p>
      <w:pPr>
        <w:pStyle w:val="Heading1"/>
        <w:keepNext w:val="false"/>
        <w:keepLines w:val="false"/>
        <w:widowControl w:val="false"/>
        <w:numPr>
          <w:ilvl w:val="0"/>
          <w:numId w:val="7"/>
        </w:numPr>
        <w:tabs>
          <w:tab w:val="clear" w:pos="708"/>
          <w:tab w:val="left" w:pos="1134" w:leader="none"/>
        </w:tabs>
        <w:spacing w:lineRule="auto" w:line="240" w:before="0" w:after="0"/>
        <w:ind w:firstLine="567"/>
        <w:rPr>
          <w:sz w:val="23"/>
          <w:szCs w:val="23"/>
        </w:rPr>
      </w:pPr>
      <w:bookmarkStart w:id="47" w:name="_Toc100127714"/>
      <w:bookmarkStart w:id="48" w:name="_Ref548291"/>
      <w:bookmarkStart w:id="49" w:name="_Toc473899645"/>
      <w:bookmarkStart w:id="50" w:name="__RefHeading__24579_1998837372"/>
      <w:bookmarkStart w:id="51" w:name="_Toc795058"/>
      <w:bookmarkStart w:id="52" w:name="_Toc473899651"/>
      <w:bookmarkStart w:id="53" w:name="_Ref445461688"/>
      <w:bookmarkEnd w:id="47"/>
      <w:bookmarkEnd w:id="48"/>
      <w:bookmarkEnd w:id="49"/>
      <w:bookmarkEnd w:id="50"/>
      <w:r>
        <w:rPr>
          <w:sz w:val="23"/>
          <w:szCs w:val="23"/>
        </w:rPr>
        <w:t>Состав и содержание услуг сопровождению системы</w:t>
      </w:r>
      <w:bookmarkEnd w:id="51"/>
      <w:bookmarkEnd w:id="52"/>
      <w:bookmarkEnd w:id="53"/>
    </w:p>
    <w:p>
      <w:pPr>
        <w:pStyle w:val="Heading2"/>
        <w:keepNext w:val="false"/>
        <w:keepLines w:val="false"/>
        <w:widowControl w:val="false"/>
        <w:numPr>
          <w:ilvl w:val="1"/>
          <w:numId w:val="7"/>
        </w:numPr>
        <w:tabs>
          <w:tab w:val="clear" w:pos="708"/>
          <w:tab w:val="left" w:pos="1134" w:leader="none"/>
        </w:tabs>
        <w:spacing w:lineRule="auto" w:line="240" w:before="0" w:after="0"/>
        <w:ind w:firstLine="567" w:start="0"/>
        <w:rPr>
          <w:sz w:val="23"/>
          <w:szCs w:val="23"/>
        </w:rPr>
      </w:pPr>
      <w:bookmarkStart w:id="54" w:name="_Toc795059"/>
      <w:r>
        <w:rPr>
          <w:sz w:val="23"/>
          <w:szCs w:val="23"/>
        </w:rPr>
        <w:t>Общие сведения</w:t>
      </w:r>
      <w:bookmarkEnd w:id="54"/>
    </w:p>
    <w:p>
      <w:pPr>
        <w:pStyle w:val="Style23"/>
        <w:keepNext w:val="false"/>
        <w:widowControl w:val="false"/>
        <w:tabs>
          <w:tab w:val="clear" w:pos="708"/>
          <w:tab w:val="left" w:pos="1134" w:leader="none"/>
        </w:tabs>
        <w:spacing w:lineRule="auto" w:line="240" w:before="0" w:after="0"/>
        <w:ind w:firstLine="567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 xml:space="preserve">Услуги по техническому сопровождению СПО-112 Системы-112 в соответствии с условиями </w:t>
      </w:r>
      <w:r>
        <w:rPr>
          <w:rFonts w:cs="Times New Roman"/>
          <w:sz w:val="23"/>
          <w:szCs w:val="23"/>
        </w:rPr>
        <w:t>Договора</w:t>
      </w:r>
      <w:r>
        <w:rPr>
          <w:rFonts w:cs="Times New Roman"/>
          <w:sz w:val="23"/>
          <w:szCs w:val="23"/>
        </w:rPr>
        <w:t xml:space="preserve"> являются не тарифицируемыми.</w:t>
      </w:r>
      <w:bookmarkStart w:id="55" w:name="_Оформление_заголовков"/>
      <w:bookmarkEnd w:id="55"/>
    </w:p>
    <w:p>
      <w:pPr>
        <w:pStyle w:val="Normal"/>
        <w:tabs>
          <w:tab w:val="clear" w:pos="708"/>
          <w:tab w:val="left" w:pos="1134" w:leader="none"/>
        </w:tabs>
        <w:ind w:firstLine="567"/>
        <w:jc w:val="both"/>
        <w:rPr>
          <w:rFonts w:eastAsia="Calibri"/>
          <w:sz w:val="23"/>
          <w:szCs w:val="23"/>
          <w:lang w:eastAsia="en-US"/>
        </w:rPr>
      </w:pPr>
      <w:r>
        <w:rPr>
          <w:rFonts w:eastAsia="Calibri"/>
          <w:sz w:val="23"/>
          <w:szCs w:val="23"/>
          <w:lang w:eastAsia="en-US"/>
        </w:rPr>
        <w:t>В рамках настоящей услуги в интересах Республики Тыва должно быть обеспечено выполнение функций СПО-112 Системы-112, в том числе:</w:t>
      </w:r>
    </w:p>
    <w:p>
      <w:pPr>
        <w:pStyle w:val="Normal"/>
        <w:numPr>
          <w:ilvl w:val="0"/>
          <w:numId w:val="19"/>
        </w:numPr>
        <w:tabs>
          <w:tab w:val="clear" w:pos="708"/>
          <w:tab w:val="left" w:pos="284" w:leader="none"/>
          <w:tab w:val="left" w:pos="1134" w:leader="none"/>
        </w:tabs>
        <w:spacing w:before="0" w:after="0"/>
        <w:ind w:firstLine="567" w:start="0"/>
        <w:contextualSpacing/>
        <w:jc w:val="both"/>
        <w:rPr>
          <w:rFonts w:eastAsia="Calibri"/>
          <w:sz w:val="23"/>
          <w:szCs w:val="23"/>
          <w:lang w:eastAsia="en-US"/>
        </w:rPr>
      </w:pPr>
      <w:r>
        <w:rPr>
          <w:rFonts w:eastAsia="Calibri"/>
          <w:sz w:val="23"/>
          <w:szCs w:val="23"/>
          <w:lang w:eastAsia="en-US"/>
        </w:rPr>
        <w:t xml:space="preserve">прием и обработка вызовов </w:t>
      </w:r>
      <w:r>
        <w:rPr>
          <w:sz w:val="23"/>
          <w:szCs w:val="23"/>
        </w:rPr>
        <w:t>и коротких текстовых сообщений (SMS)</w:t>
      </w:r>
      <w:r>
        <w:rPr>
          <w:rFonts w:eastAsia="Calibri"/>
          <w:sz w:val="23"/>
          <w:szCs w:val="23"/>
          <w:lang w:eastAsia="en-US"/>
        </w:rPr>
        <w:t xml:space="preserve">, поступающих </w:t>
        <w:br/>
        <w:t>на единый номер «112» от населения через операторов связи, расположенных на территории Республики Тыва;</w:t>
      </w:r>
    </w:p>
    <w:p>
      <w:pPr>
        <w:pStyle w:val="Normal"/>
        <w:numPr>
          <w:ilvl w:val="0"/>
          <w:numId w:val="19"/>
        </w:numPr>
        <w:tabs>
          <w:tab w:val="clear" w:pos="708"/>
          <w:tab w:val="left" w:pos="284" w:leader="none"/>
          <w:tab w:val="left" w:pos="1134" w:leader="none"/>
        </w:tabs>
        <w:spacing w:before="0" w:after="0"/>
        <w:ind w:firstLine="567" w:start="0"/>
        <w:contextualSpacing/>
        <w:jc w:val="both"/>
        <w:rPr>
          <w:rFonts w:eastAsia="Calibri"/>
          <w:sz w:val="23"/>
          <w:szCs w:val="23"/>
          <w:lang w:eastAsia="en-US"/>
        </w:rPr>
      </w:pPr>
      <w:r>
        <w:rPr>
          <w:rFonts w:eastAsia="Calibri"/>
          <w:sz w:val="23"/>
          <w:szCs w:val="23"/>
          <w:lang w:eastAsia="en-US"/>
        </w:rPr>
        <w:t>передача в дежурно-диспетчерские службы экстренных оперативных служб сообщений о вызовах с возможностью подключения их диспетчеров к разговорам с позвонившим лицом;</w:t>
      </w:r>
    </w:p>
    <w:p>
      <w:pPr>
        <w:pStyle w:val="Normal"/>
        <w:numPr>
          <w:ilvl w:val="0"/>
          <w:numId w:val="19"/>
        </w:numPr>
        <w:tabs>
          <w:tab w:val="clear" w:pos="708"/>
          <w:tab w:val="left" w:pos="284" w:leader="none"/>
          <w:tab w:val="left" w:pos="1134" w:leader="none"/>
        </w:tabs>
        <w:spacing w:before="0" w:after="0"/>
        <w:ind w:firstLine="567" w:start="0"/>
        <w:contextualSpacing/>
        <w:jc w:val="both"/>
        <w:rPr>
          <w:rFonts w:eastAsia="Calibri"/>
          <w:sz w:val="23"/>
          <w:szCs w:val="23"/>
          <w:lang w:eastAsia="en-US"/>
        </w:rPr>
      </w:pPr>
      <w:r>
        <w:rPr>
          <w:rFonts w:eastAsia="Calibri"/>
          <w:sz w:val="23"/>
          <w:szCs w:val="23"/>
          <w:lang w:eastAsia="en-US"/>
        </w:rPr>
        <w:t>координацию действий ДДС при реагировании на вызовы;</w:t>
      </w:r>
    </w:p>
    <w:p>
      <w:pPr>
        <w:pStyle w:val="Normal"/>
        <w:numPr>
          <w:ilvl w:val="0"/>
          <w:numId w:val="19"/>
        </w:numPr>
        <w:tabs>
          <w:tab w:val="clear" w:pos="708"/>
          <w:tab w:val="left" w:pos="284" w:leader="none"/>
          <w:tab w:val="left" w:pos="1134" w:leader="none"/>
        </w:tabs>
        <w:spacing w:before="0" w:after="0"/>
        <w:ind w:firstLine="567" w:start="0"/>
        <w:contextualSpacing/>
        <w:jc w:val="both"/>
        <w:rPr>
          <w:rFonts w:eastAsia="Calibri"/>
          <w:sz w:val="23"/>
          <w:szCs w:val="23"/>
          <w:lang w:eastAsia="en-US"/>
        </w:rPr>
      </w:pPr>
      <w:r>
        <w:rPr>
          <w:rFonts w:eastAsia="Calibri"/>
          <w:sz w:val="23"/>
          <w:szCs w:val="23"/>
          <w:lang w:eastAsia="en-US"/>
        </w:rPr>
        <w:t>прием всех вызовов, поступающих через УОЭВОС в соответствии с Приказом Минкомсвязи России «Об утверждении правил применения оборудования узлов обслуживания вызовов экстренных оперативных служб» № 346 от 15.09.2015;</w:t>
      </w:r>
    </w:p>
    <w:p>
      <w:pPr>
        <w:pStyle w:val="Normal"/>
        <w:numPr>
          <w:ilvl w:val="0"/>
          <w:numId w:val="19"/>
        </w:numPr>
        <w:tabs>
          <w:tab w:val="clear" w:pos="708"/>
          <w:tab w:val="left" w:pos="284" w:leader="none"/>
          <w:tab w:val="left" w:pos="1134" w:leader="none"/>
        </w:tabs>
        <w:spacing w:before="0" w:after="0"/>
        <w:ind w:firstLine="567" w:start="0"/>
        <w:contextualSpacing/>
        <w:jc w:val="both"/>
        <w:rPr>
          <w:rFonts w:eastAsia="Calibri"/>
          <w:sz w:val="23"/>
          <w:szCs w:val="23"/>
          <w:lang w:eastAsia="en-US"/>
        </w:rPr>
      </w:pPr>
      <w:r>
        <w:rPr>
          <w:rFonts w:eastAsia="Calibri"/>
          <w:sz w:val="23"/>
          <w:szCs w:val="23"/>
          <w:lang w:eastAsia="en-US"/>
        </w:rPr>
        <w:t>интеграция и информационное взаимодействие с системой «ЭРА-ГЛОНАСС»;</w:t>
      </w:r>
    </w:p>
    <w:p>
      <w:pPr>
        <w:pStyle w:val="Normal"/>
        <w:numPr>
          <w:ilvl w:val="0"/>
          <w:numId w:val="19"/>
        </w:numPr>
        <w:tabs>
          <w:tab w:val="clear" w:pos="708"/>
          <w:tab w:val="left" w:pos="284" w:leader="none"/>
          <w:tab w:val="left" w:pos="1134" w:leader="none"/>
        </w:tabs>
        <w:spacing w:before="0" w:after="0"/>
        <w:ind w:firstLine="567" w:start="0"/>
        <w:contextualSpacing/>
        <w:jc w:val="both"/>
        <w:rPr>
          <w:rFonts w:eastAsia="Calibri"/>
          <w:sz w:val="23"/>
          <w:szCs w:val="23"/>
          <w:lang w:eastAsia="en-US"/>
        </w:rPr>
      </w:pPr>
      <w:r>
        <w:rPr>
          <w:rFonts w:eastAsia="Calibri"/>
          <w:sz w:val="23"/>
          <w:szCs w:val="23"/>
          <w:lang w:eastAsia="en-US"/>
        </w:rPr>
        <w:t>интеграция и информационное взаимодействие с системой ПК АДИС;</w:t>
      </w:r>
    </w:p>
    <w:p>
      <w:pPr>
        <w:pStyle w:val="Normal"/>
        <w:numPr>
          <w:ilvl w:val="0"/>
          <w:numId w:val="19"/>
        </w:numPr>
        <w:tabs>
          <w:tab w:val="clear" w:pos="708"/>
          <w:tab w:val="left" w:pos="284" w:leader="none"/>
          <w:tab w:val="left" w:pos="1134" w:leader="none"/>
        </w:tabs>
        <w:spacing w:before="0" w:after="0"/>
        <w:ind w:firstLine="567" w:start="0"/>
        <w:contextualSpacing/>
        <w:jc w:val="both"/>
        <w:rPr>
          <w:rFonts w:eastAsia="Calibri"/>
          <w:sz w:val="23"/>
          <w:szCs w:val="23"/>
          <w:lang w:eastAsia="en-US"/>
        </w:rPr>
      </w:pPr>
      <w:bookmarkStart w:id="56" w:name="_Hlk179827746"/>
      <w:r>
        <w:rPr>
          <w:rFonts w:eastAsia="Calibri"/>
          <w:sz w:val="23"/>
          <w:szCs w:val="23"/>
          <w:lang w:eastAsia="en-US"/>
        </w:rPr>
        <w:t xml:space="preserve">интеграция и информационное взаимодействие с </w:t>
      </w:r>
      <w:bookmarkEnd w:id="56"/>
      <w:r>
        <w:rPr>
          <w:rFonts w:eastAsia="Calibri"/>
          <w:sz w:val="23"/>
          <w:szCs w:val="23"/>
          <w:lang w:eastAsia="en-US"/>
        </w:rPr>
        <w:t>«СОДЧ ИСОД МВД РФ»;</w:t>
      </w:r>
    </w:p>
    <w:p>
      <w:pPr>
        <w:pStyle w:val="Normal"/>
        <w:numPr>
          <w:ilvl w:val="0"/>
          <w:numId w:val="19"/>
        </w:numPr>
        <w:tabs>
          <w:tab w:val="clear" w:pos="708"/>
          <w:tab w:val="left" w:pos="284" w:leader="none"/>
          <w:tab w:val="left" w:pos="1134" w:leader="none"/>
        </w:tabs>
        <w:spacing w:before="0" w:after="0"/>
        <w:ind w:firstLine="567" w:start="0"/>
        <w:contextualSpacing/>
        <w:jc w:val="both"/>
        <w:rPr>
          <w:rFonts w:eastAsia="Calibri"/>
          <w:sz w:val="23"/>
          <w:szCs w:val="23"/>
          <w:lang w:eastAsia="en-US"/>
        </w:rPr>
      </w:pPr>
      <w:r>
        <w:rPr>
          <w:rFonts w:eastAsia="Calibri"/>
          <w:sz w:val="23"/>
          <w:szCs w:val="23"/>
          <w:lang w:eastAsia="en-US"/>
        </w:rPr>
        <w:t>интеграция и информационное взаимодействие с «МНИС ГЛОНАСС»;</w:t>
      </w:r>
    </w:p>
    <w:p>
      <w:pPr>
        <w:pStyle w:val="Normal"/>
        <w:numPr>
          <w:ilvl w:val="0"/>
          <w:numId w:val="19"/>
        </w:numPr>
        <w:tabs>
          <w:tab w:val="clear" w:pos="708"/>
          <w:tab w:val="left" w:pos="284" w:leader="none"/>
          <w:tab w:val="left" w:pos="1134" w:leader="none"/>
        </w:tabs>
        <w:spacing w:before="0" w:after="0"/>
        <w:ind w:firstLine="567" w:start="0"/>
        <w:contextualSpacing/>
        <w:jc w:val="both"/>
        <w:rPr>
          <w:rFonts w:eastAsia="Calibri"/>
          <w:sz w:val="23"/>
          <w:szCs w:val="23"/>
          <w:lang w:eastAsia="en-US"/>
        </w:rPr>
      </w:pPr>
      <w:r>
        <w:rPr>
          <w:rFonts w:eastAsia="Calibri"/>
          <w:sz w:val="23"/>
          <w:szCs w:val="23"/>
          <w:lang w:eastAsia="en-US"/>
        </w:rPr>
        <w:t xml:space="preserve">интеграция и информационное взаимодействие с операторами связи </w:t>
        <w:br/>
        <w:t xml:space="preserve">в рамках передачи данных в соответствии с Приказом Минцифры России от 09.03.2022 № 180 «Об утверждении Порядка предоставления и объема информации, необходимой для обеспечения реагирования по вызову или сообщению о происшествии по единому номеру вызова экстренных оперативных служб «112», в том числе Правил определения места нахождения пользовательского оборудования (оконечного оборудования), с которого были осуществлены вызов или передача сообщения о происшествии по единому номеру вызова экстренных оперативных служб «112»: </w:t>
      </w:r>
      <w:r>
        <w:rPr>
          <w:color w:val="000000"/>
          <w:sz w:val="23"/>
          <w:szCs w:val="23"/>
        </w:rPr>
        <w:t>ПАО «Мобильные телесистемы»</w:t>
      </w:r>
      <w:r>
        <w:rPr>
          <w:rFonts w:eastAsia="Calibri"/>
          <w:sz w:val="23"/>
          <w:szCs w:val="23"/>
          <w:lang w:eastAsia="en-US"/>
        </w:rPr>
        <w:t>, ПАО «Вымпелком», ООО «Т2Мобайл», ПАО «Мегафон», ПАО «Ростелеком».</w:t>
      </w:r>
    </w:p>
    <w:p>
      <w:pPr>
        <w:pStyle w:val="Normal"/>
        <w:numPr>
          <w:ilvl w:val="0"/>
          <w:numId w:val="19"/>
        </w:numPr>
        <w:tabs>
          <w:tab w:val="clear" w:pos="708"/>
          <w:tab w:val="left" w:pos="284" w:leader="none"/>
          <w:tab w:val="left" w:pos="1134" w:leader="none"/>
        </w:tabs>
        <w:spacing w:before="0" w:after="0"/>
        <w:ind w:firstLine="567" w:start="0"/>
        <w:contextualSpacing/>
        <w:jc w:val="both"/>
        <w:rPr>
          <w:rFonts w:eastAsia="Calibri"/>
          <w:sz w:val="23"/>
          <w:szCs w:val="23"/>
          <w:lang w:eastAsia="en-US"/>
        </w:rPr>
      </w:pPr>
      <w:r>
        <w:rPr>
          <w:rFonts w:eastAsia="Calibri"/>
          <w:sz w:val="23"/>
          <w:szCs w:val="23"/>
          <w:lang w:eastAsia="en-US"/>
        </w:rPr>
        <w:t>прохождения вызова в рамках межсубъектовой интеграции с Система-112 смежных субъектов Российской Федерации: Республика Алтай, Республика Хакасия, Республика Бурятия, Красноярский край, Иркутская область;</w:t>
      </w:r>
    </w:p>
    <w:p>
      <w:pPr>
        <w:pStyle w:val="basictext1"/>
        <w:numPr>
          <w:ilvl w:val="0"/>
          <w:numId w:val="11"/>
        </w:numPr>
        <w:tabs>
          <w:tab w:val="clear" w:pos="708"/>
          <w:tab w:val="left" w:pos="1134" w:leader="none"/>
        </w:tabs>
        <w:spacing w:lineRule="auto" w:line="240" w:before="0" w:after="0"/>
        <w:ind w:firstLine="567" w:start="0"/>
        <w:rPr>
          <w:sz w:val="23"/>
          <w:szCs w:val="23"/>
        </w:rPr>
      </w:pPr>
      <w:r>
        <w:rPr>
          <w:sz w:val="23"/>
          <w:szCs w:val="23"/>
        </w:rPr>
        <w:t>предоставление обновления версий СПО-112 в порядке и сроки, установленные в пункте 4.1.1 настоящего Технического задания.</w:t>
      </w:r>
    </w:p>
    <w:p>
      <w:pPr>
        <w:pStyle w:val="Normal"/>
        <w:tabs>
          <w:tab w:val="clear" w:pos="708"/>
          <w:tab w:val="left" w:pos="1134" w:leader="none"/>
        </w:tabs>
        <w:ind w:firstLine="567"/>
        <w:jc w:val="both"/>
        <w:rPr>
          <w:rFonts w:eastAsia="Calibri"/>
          <w:sz w:val="23"/>
          <w:szCs w:val="23"/>
          <w:lang w:eastAsia="en-US"/>
        </w:rPr>
      </w:pPr>
      <w:r>
        <w:rPr>
          <w:rFonts w:eastAsia="Calibri"/>
          <w:sz w:val="23"/>
          <w:szCs w:val="23"/>
          <w:lang w:eastAsia="en-US"/>
        </w:rPr>
      </w:r>
    </w:p>
    <w:p>
      <w:pPr>
        <w:pStyle w:val="Normal"/>
        <w:tabs>
          <w:tab w:val="clear" w:pos="708"/>
          <w:tab w:val="left" w:pos="1134" w:leader="none"/>
        </w:tabs>
        <w:ind w:firstLine="567"/>
        <w:jc w:val="both"/>
        <w:rPr>
          <w:rFonts w:eastAsia="Calibri"/>
          <w:sz w:val="23"/>
          <w:szCs w:val="23"/>
          <w:lang w:eastAsia="en-US"/>
        </w:rPr>
      </w:pPr>
      <w:r>
        <w:rPr>
          <w:rFonts w:eastAsia="Calibri"/>
          <w:sz w:val="23"/>
          <w:szCs w:val="23"/>
          <w:lang w:eastAsia="en-US"/>
        </w:rPr>
        <w:t>Под круглосуточным техническим сопровождением СПО-112 Системы-112 подразумевается организация Исполнителем службы технической поддержки с порядком обращений, описанном в п. 4.2-4.10 настоящего Технического задания.</w:t>
      </w:r>
    </w:p>
    <w:p>
      <w:pPr>
        <w:pStyle w:val="Style23"/>
        <w:keepNext w:val="false"/>
        <w:widowControl w:val="false"/>
        <w:tabs>
          <w:tab w:val="clear" w:pos="708"/>
          <w:tab w:val="left" w:pos="1134" w:leader="none"/>
        </w:tabs>
        <w:spacing w:lineRule="auto" w:line="240" w:before="0" w:after="0"/>
        <w:ind w:firstLine="567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>Для достижения целей оказания услуг Исполнитель обязан иметь:</w:t>
      </w:r>
    </w:p>
    <w:p>
      <w:pPr>
        <w:pStyle w:val="Style23"/>
        <w:keepNext w:val="false"/>
        <w:widowControl w:val="false"/>
        <w:tabs>
          <w:tab w:val="clear" w:pos="708"/>
          <w:tab w:val="left" w:pos="1134" w:leader="none"/>
        </w:tabs>
        <w:spacing w:lineRule="auto" w:line="240" w:before="0" w:after="0"/>
        <w:ind w:firstLine="567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>-</w:t>
        <w:tab/>
        <w:t>круглосуточную службу технической поддержки, доступную для конечного Заказчика не менее чем по трем каналам связи (электронная почта, телефон, СУИ);</w:t>
      </w:r>
    </w:p>
    <w:p>
      <w:pPr>
        <w:pStyle w:val="Style23"/>
        <w:keepNext w:val="false"/>
        <w:widowControl w:val="false"/>
        <w:tabs>
          <w:tab w:val="clear" w:pos="708"/>
          <w:tab w:val="left" w:pos="1134" w:leader="none"/>
        </w:tabs>
        <w:spacing w:lineRule="auto" w:line="240" w:before="0" w:after="0"/>
        <w:ind w:firstLine="567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>-</w:t>
        <w:tab/>
        <w:t>рабочий базовый комплект оборудования с установленным на нем СПО-112, указанным в пункте 1.1 настоящего Технического задания, либо круглосуточный неограниченный доступ к такому комплекту для моделирования возникших проблем и неисправностей, поиска путей их решения. Наличие такого комплекта должно быть подтверждено документально по запросу Заказчика в течение 3 (трех) рабочих дней с момента его поступления. Подтверждающими соблюдение настоящего требованиями документами являются: договор пользования на данный рабочий базовый комплект или выписка из бухгалтерского учета о наличии данного комплекта на балансе Исполнителя.</w:t>
      </w:r>
    </w:p>
    <w:p>
      <w:pPr>
        <w:pStyle w:val="Style23"/>
        <w:keepNext w:val="false"/>
        <w:widowControl w:val="false"/>
        <w:tabs>
          <w:tab w:val="clear" w:pos="708"/>
          <w:tab w:val="left" w:pos="1134" w:leader="none"/>
        </w:tabs>
        <w:spacing w:lineRule="auto" w:line="240" w:before="0" w:after="0"/>
        <w:ind w:firstLine="567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>Рабочий базовый комплект также должен быть использован Исполнителем для проведения тестирования вносимых в СПО-112 изменений, в том числе модификации и (или) адаптации СПО-112, актуализации/обновления версий СПО-112. Перед установкой новой версии СПО-112 Заказчику Исполнитель с использованием вышеуказанного рабочего базового комплекта обязан провести для Заказчика демонстрацию работоспособности вносимых изменений.</w:t>
      </w:r>
    </w:p>
    <w:p>
      <w:pPr>
        <w:pStyle w:val="Style23"/>
        <w:keepNext w:val="false"/>
        <w:widowControl w:val="false"/>
        <w:tabs>
          <w:tab w:val="clear" w:pos="708"/>
          <w:tab w:val="left" w:pos="1134" w:leader="none"/>
        </w:tabs>
        <w:spacing w:lineRule="auto" w:line="240" w:before="0" w:after="0"/>
        <w:ind w:firstLine="567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>- ПТК УД, который соответствует требованиям, установленным в пункте 1.3 настоящего Технического задания;</w:t>
      </w:r>
    </w:p>
    <w:p>
      <w:pPr>
        <w:pStyle w:val="Style23"/>
        <w:keepNext w:val="false"/>
        <w:widowControl w:val="false"/>
        <w:tabs>
          <w:tab w:val="clear" w:pos="708"/>
          <w:tab w:val="left" w:pos="1134" w:leader="none"/>
        </w:tabs>
        <w:spacing w:lineRule="auto" w:line="240" w:before="0" w:after="0"/>
        <w:ind w:firstLine="567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>- СУИ, которая соответствует требованиям, установленным в пункте 4.2 настоящего Технического задания.</w:t>
      </w:r>
    </w:p>
    <w:p>
      <w:pPr>
        <w:pStyle w:val="Style23"/>
        <w:keepNext w:val="false"/>
        <w:widowControl w:val="false"/>
        <w:tabs>
          <w:tab w:val="clear" w:pos="708"/>
          <w:tab w:val="left" w:pos="1134" w:leader="none"/>
        </w:tabs>
        <w:spacing w:lineRule="auto" w:line="240" w:before="0" w:after="0"/>
        <w:ind w:firstLine="567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</w:r>
    </w:p>
    <w:p>
      <w:pPr>
        <w:pStyle w:val="Style23"/>
        <w:keepNext w:val="false"/>
        <w:widowControl w:val="false"/>
        <w:tabs>
          <w:tab w:val="clear" w:pos="708"/>
          <w:tab w:val="left" w:pos="1134" w:leader="none"/>
        </w:tabs>
        <w:spacing w:lineRule="auto" w:line="240" w:before="0" w:after="0"/>
        <w:ind w:firstLine="567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>В зону ответственности Исполнителя не входят работы по доработке, модификации, адаптации и(или) настройке сторонних автоматизированных систем, перечисленных в настоящем пункте Технического задания.</w:t>
      </w:r>
    </w:p>
    <w:p>
      <w:pPr>
        <w:pStyle w:val="Style23"/>
        <w:keepNext w:val="false"/>
        <w:widowControl w:val="false"/>
        <w:tabs>
          <w:tab w:val="clear" w:pos="708"/>
          <w:tab w:val="left" w:pos="1134" w:leader="none"/>
        </w:tabs>
        <w:spacing w:lineRule="auto" w:line="240" w:before="0" w:after="0"/>
        <w:ind w:firstLine="567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</w:r>
    </w:p>
    <w:p>
      <w:pPr>
        <w:pStyle w:val="Style23"/>
        <w:keepNext w:val="false"/>
        <w:widowControl w:val="false"/>
        <w:numPr>
          <w:ilvl w:val="2"/>
          <w:numId w:val="7"/>
        </w:numPr>
        <w:spacing w:lineRule="auto" w:line="240" w:before="0" w:after="0"/>
        <w:ind w:firstLine="567" w:start="0"/>
        <w:outlineLvl w:val="2"/>
        <w:rPr>
          <w:rFonts w:cs="Times New Roman"/>
          <w:sz w:val="23"/>
          <w:szCs w:val="23"/>
        </w:rPr>
      </w:pPr>
      <w:bookmarkStart w:id="57" w:name="_Hlk189054523"/>
      <w:r>
        <w:rPr>
          <w:b/>
          <w:sz w:val="23"/>
          <w:szCs w:val="23"/>
        </w:rPr>
        <w:t>Управление обновлениями специального программного обеспечения</w:t>
      </w:r>
    </w:p>
    <w:p>
      <w:pPr>
        <w:pStyle w:val="ListParagraph"/>
        <w:numPr>
          <w:ilvl w:val="3"/>
          <w:numId w:val="7"/>
        </w:numPr>
        <w:spacing w:before="0" w:after="0"/>
        <w:ind w:firstLine="567" w:start="0"/>
        <w:contextualSpacing w:val="false"/>
        <w:jc w:val="both"/>
        <w:outlineLvl w:val="2"/>
        <w:rPr>
          <w:b/>
          <w:sz w:val="23"/>
          <w:szCs w:val="23"/>
        </w:rPr>
      </w:pPr>
      <w:r>
        <w:rPr>
          <w:b/>
          <w:sz w:val="23"/>
          <w:szCs w:val="23"/>
        </w:rPr>
        <w:t>Предоставление плановых модифицированных версий СПО, предназначенных для совершенствования его функциональности и повышения его рабочих характеристик</w:t>
      </w:r>
    </w:p>
    <w:p>
      <w:pPr>
        <w:pStyle w:val="NormalWeb"/>
        <w:spacing w:beforeAutospacing="0" w:before="0" w:afterAutospacing="0" w:after="0"/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Под данным видом услуги понимается предоставление Заказчику модифицированных версий СПО-112 Системы-112, включающей в себя дополнения/совершенствования функциональности и сопровождаемости СПО. Данные изменения могут приводить к предоставлению Заказчику новых функциональных возможностей.</w:t>
      </w:r>
    </w:p>
    <w:p>
      <w:pPr>
        <w:pStyle w:val="NormalWeb"/>
        <w:spacing w:beforeAutospacing="0" w:before="0" w:afterAutospacing="0" w:after="0"/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Модификация СПО в целях обеспечения цикла полного технического сопровождения должна быть реализована с учетом существующей архитектуры СПО и в рамках ограничений, установленных структурой программного продукта.</w:t>
      </w:r>
    </w:p>
    <w:p>
      <w:pPr>
        <w:pStyle w:val="NormalWeb"/>
        <w:spacing w:beforeAutospacing="0" w:before="0" w:afterAutospacing="0" w:after="0"/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С целью надлежащего оказания данного вида услуг Исполнитель или привлекаемый им соисполнитель должен(ны) выполнять следующие действия:</w:t>
      </w:r>
    </w:p>
    <w:p>
      <w:pPr>
        <w:pStyle w:val="NormalWeb"/>
        <w:numPr>
          <w:ilvl w:val="0"/>
          <w:numId w:val="24"/>
        </w:numPr>
        <w:spacing w:beforeAutospacing="0" w:before="0" w:afterAutospacing="0" w:after="0"/>
        <w:ind w:firstLine="709" w:start="0"/>
        <w:jc w:val="both"/>
        <w:rPr>
          <w:sz w:val="23"/>
          <w:szCs w:val="23"/>
        </w:rPr>
      </w:pPr>
      <w:r>
        <w:rPr>
          <w:sz w:val="23"/>
          <w:szCs w:val="23"/>
        </w:rPr>
        <w:t>организовать взаимодействие с производителями СПО-112 по вопросам относительно планов выпуска плановых модифицированных версий СПО-112 не реже одного раза в месяц (срок может быть изменен по согласованию с Заказчиком);</w:t>
      </w:r>
    </w:p>
    <w:p>
      <w:pPr>
        <w:pStyle w:val="NormalWeb"/>
        <w:numPr>
          <w:ilvl w:val="0"/>
          <w:numId w:val="24"/>
        </w:numPr>
        <w:spacing w:beforeAutospacing="0" w:before="0" w:afterAutospacing="0" w:after="0"/>
        <w:ind w:firstLine="709" w:start="0"/>
        <w:jc w:val="both"/>
        <w:rPr>
          <w:sz w:val="23"/>
          <w:szCs w:val="23"/>
        </w:rPr>
      </w:pPr>
      <w:r>
        <w:rPr>
          <w:sz w:val="23"/>
          <w:szCs w:val="23"/>
        </w:rPr>
        <w:t>провести оценку совместимости плановой модифицированной версии СПО-112 с текущей программной средой и аппаратным обеспечением Системы-112;</w:t>
      </w:r>
    </w:p>
    <w:p>
      <w:pPr>
        <w:pStyle w:val="NormalWeb"/>
        <w:numPr>
          <w:ilvl w:val="0"/>
          <w:numId w:val="24"/>
        </w:numPr>
        <w:spacing w:beforeAutospacing="0" w:before="0" w:afterAutospacing="0" w:after="0"/>
        <w:ind w:firstLine="709" w:start="0"/>
        <w:jc w:val="both"/>
        <w:rPr>
          <w:sz w:val="23"/>
          <w:szCs w:val="23"/>
        </w:rPr>
      </w:pPr>
      <w:r>
        <w:rPr>
          <w:sz w:val="23"/>
          <w:szCs w:val="23"/>
        </w:rPr>
        <w:t>обеспечить за свой счет приобретение плановых модифицированных версий СПО-112 в течение 25 (двадцати пяти) календарных дней с момента получения от производителя СПО-112 информации о выпуске плановой модифицированной версии СПО-112.</w:t>
      </w:r>
    </w:p>
    <w:p>
      <w:pPr>
        <w:pStyle w:val="NormalWeb"/>
        <w:spacing w:beforeAutospacing="0" w:before="0" w:afterAutospacing="0" w:after="0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В случае, если информация о выпуске плановой модифицированной версии СПО-112 получена Исполнителем в течение исполнения последнего отчетного периода по </w:t>
      </w:r>
      <w:r>
        <w:rPr>
          <w:sz w:val="23"/>
          <w:szCs w:val="23"/>
        </w:rPr>
        <w:t>Договору</w:t>
      </w:r>
      <w:r>
        <w:rPr>
          <w:sz w:val="23"/>
          <w:szCs w:val="23"/>
        </w:rPr>
        <w:t>, то Исполнитель обязан обеспечить её приобретение и установку (в т.ч. исполнение мероприятий, предусмотренных в нижеперечисленных пунктах настоящего раздела) в сроки, не превышающие сроки оказания услуг по отчетному периоду, а также выполнить следующие мероприятия:</w:t>
      </w:r>
    </w:p>
    <w:p>
      <w:pPr>
        <w:pStyle w:val="ListParagraph"/>
        <w:numPr>
          <w:ilvl w:val="0"/>
          <w:numId w:val="24"/>
        </w:numPr>
        <w:spacing w:before="0" w:after="0"/>
        <w:ind w:firstLine="709" w:start="0"/>
        <w:contextualSpacing w:val="false"/>
        <w:jc w:val="both"/>
        <w:rPr>
          <w:sz w:val="23"/>
          <w:szCs w:val="23"/>
        </w:rPr>
      </w:pPr>
      <w:r>
        <w:rPr>
          <w:sz w:val="23"/>
          <w:szCs w:val="23"/>
        </w:rPr>
        <w:t>организовать для Заказчика демонстрацию функционирования плановых модифицированных версий СПО-112 в порядке, предусмотренном в пункте 4.1 настоящего Технического задания;</w:t>
      </w:r>
    </w:p>
    <w:p>
      <w:pPr>
        <w:pStyle w:val="NormalWeb"/>
        <w:numPr>
          <w:ilvl w:val="0"/>
          <w:numId w:val="24"/>
        </w:numPr>
        <w:spacing w:beforeAutospacing="0" w:before="0" w:afterAutospacing="0" w:after="0"/>
        <w:ind w:firstLine="709" w:start="0"/>
        <w:jc w:val="both"/>
        <w:rPr>
          <w:sz w:val="23"/>
          <w:szCs w:val="23"/>
        </w:rPr>
      </w:pPr>
      <w:r>
        <w:rPr>
          <w:sz w:val="23"/>
          <w:szCs w:val="23"/>
        </w:rPr>
        <w:t>разработать и направить на согласование Заказчику План внедрения плановой модифицированной версии СПО-112 (далее – План);</w:t>
      </w:r>
    </w:p>
    <w:p>
      <w:pPr>
        <w:pStyle w:val="NormalWeb"/>
        <w:numPr>
          <w:ilvl w:val="0"/>
          <w:numId w:val="24"/>
        </w:numPr>
        <w:spacing w:beforeAutospacing="0" w:before="0" w:afterAutospacing="0" w:after="0"/>
        <w:ind w:firstLine="709" w:start="0"/>
        <w:jc w:val="both"/>
        <w:rPr>
          <w:sz w:val="23"/>
          <w:szCs w:val="23"/>
        </w:rPr>
      </w:pPr>
      <w:r>
        <w:rPr>
          <w:sz w:val="23"/>
          <w:szCs w:val="23"/>
        </w:rPr>
        <w:t>осуществить установку плановой модифицированной версии в соответствии с согласованным Сторонами Планом. Исполнитель производит установку плановых модифицированных версий СПО-112 на серверах и АРМ Заказчика.</w:t>
      </w:r>
    </w:p>
    <w:p>
      <w:pPr>
        <w:pStyle w:val="NormalWeb"/>
        <w:numPr>
          <w:ilvl w:val="0"/>
          <w:numId w:val="24"/>
        </w:numPr>
        <w:spacing w:beforeAutospacing="0" w:before="0" w:afterAutospacing="0" w:after="0"/>
        <w:ind w:firstLine="709" w:start="0"/>
        <w:jc w:val="both"/>
        <w:rPr>
          <w:sz w:val="23"/>
          <w:szCs w:val="23"/>
        </w:rPr>
      </w:pPr>
      <w:r>
        <w:rPr>
          <w:sz w:val="23"/>
          <w:szCs w:val="23"/>
        </w:rPr>
        <w:t>передать Заказчику пакет обновленной документации на плановую модифицированную версию СПО-112;</w:t>
      </w:r>
    </w:p>
    <w:p>
      <w:pPr>
        <w:pStyle w:val="NormalWeb"/>
        <w:numPr>
          <w:ilvl w:val="0"/>
          <w:numId w:val="24"/>
        </w:numPr>
        <w:spacing w:beforeAutospacing="0" w:before="0" w:afterAutospacing="0" w:after="0"/>
        <w:ind w:firstLine="709" w:start="0"/>
        <w:jc w:val="both"/>
        <w:rPr>
          <w:sz w:val="23"/>
          <w:szCs w:val="23"/>
        </w:rPr>
      </w:pPr>
      <w:r>
        <w:rPr>
          <w:sz w:val="23"/>
          <w:szCs w:val="23"/>
        </w:rPr>
        <w:t>провести для операторского и диспетчерского персонала инструктаж о новых функциональных возможностях (дополнениях/совершенствованиях) в работе СПО-112. Порядок и сроки проведения инструктажа согласуются с Заказчиком.</w:t>
      </w:r>
    </w:p>
    <w:p>
      <w:pPr>
        <w:pStyle w:val="NormalWeb"/>
        <w:spacing w:beforeAutospacing="0" w:before="0" w:afterAutospacing="0" w:after="0"/>
        <w:jc w:val="both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ListParagraph"/>
        <w:numPr>
          <w:ilvl w:val="3"/>
          <w:numId w:val="27"/>
        </w:numPr>
        <w:spacing w:before="0" w:after="0"/>
        <w:ind w:firstLine="709" w:start="0"/>
        <w:contextualSpacing w:val="false"/>
        <w:jc w:val="both"/>
        <w:outlineLvl w:val="2"/>
        <w:rPr>
          <w:b/>
          <w:sz w:val="23"/>
          <w:szCs w:val="23"/>
        </w:rPr>
      </w:pPr>
      <w:bookmarkStart w:id="58" w:name="_Hlk189498348"/>
      <w:bookmarkEnd w:id="58"/>
      <w:r>
        <w:rPr>
          <w:b/>
          <w:sz w:val="23"/>
          <w:szCs w:val="23"/>
        </w:rPr>
        <w:t>Предоставление внеплановых модифицированных версий СПО</w:t>
      </w:r>
    </w:p>
    <w:p>
      <w:pPr>
        <w:pStyle w:val="ListParagraph"/>
        <w:ind w:firstLine="709" w:start="0"/>
        <w:jc w:val="both"/>
        <w:rPr>
          <w:sz w:val="23"/>
          <w:szCs w:val="23"/>
        </w:rPr>
      </w:pPr>
      <w:r>
        <w:rPr>
          <w:sz w:val="23"/>
          <w:szCs w:val="23"/>
        </w:rPr>
        <w:t>Под данным видом услуги понимается предоставление Заказчику модифицированных версий СПО-112 Системы-112, сформированных с целью устранения дефектов, ошибок, сбоев в работе СПО.</w:t>
      </w:r>
    </w:p>
    <w:p>
      <w:pPr>
        <w:pStyle w:val="ListParagraph"/>
        <w:ind w:firstLine="709" w:start="0"/>
        <w:jc w:val="both"/>
        <w:rPr>
          <w:sz w:val="23"/>
          <w:szCs w:val="23"/>
        </w:rPr>
      </w:pPr>
      <w:r>
        <w:rPr>
          <w:sz w:val="23"/>
          <w:szCs w:val="23"/>
        </w:rPr>
        <w:t>Модифицированные версии СПО-112 формируются Исполнителем или привлекаемый им соисполнителем по результатам рассмотрения обращений о проблемах в работе СПО-112, созданным Заказчиком с использованием одного из трех каналом связи (электронная почта, телефон, СУИ). Основной целью выпуска данных модифицированных версий является модификация СПО-112 для устранения выявленной(ых) проблем(ы) в его работе.</w:t>
      </w:r>
    </w:p>
    <w:p>
      <w:pPr>
        <w:pStyle w:val="ListParagraph"/>
        <w:ind w:firstLine="709" w:start="0"/>
        <w:jc w:val="both"/>
        <w:rPr>
          <w:sz w:val="23"/>
          <w:szCs w:val="23"/>
        </w:rPr>
      </w:pPr>
      <w:r>
        <w:rPr>
          <w:sz w:val="23"/>
          <w:szCs w:val="23"/>
        </w:rPr>
        <w:t>При формировании модифицированной версии СПО-112 Исполнитель или привлекаемый им соисполнитель должен(ны) самостоятельно оценить объем и трудоемкость модификации, а также определить влияние вносимых изменений на целостность и бесперебойность функционирования программных компонентов СПО-112, в том числе его интеграционных модулей. Количество модификаций, предоставляемых Исполнителем не ограничено и зависит от результатов, проведенного им анализа обращений Заказчика о проблеме(ах) в работе СПО-112.</w:t>
      </w:r>
    </w:p>
    <w:p>
      <w:pPr>
        <w:pStyle w:val="ListParagraph"/>
        <w:ind w:firstLine="709" w:start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Сроки выпуска модифицированных версий СПО-112 устанавливаются в зависимости от </w:t>
      </w:r>
      <w:bookmarkStart w:id="59" w:name="_Hlk189058858"/>
      <w:r>
        <w:rPr>
          <w:sz w:val="23"/>
          <w:szCs w:val="23"/>
        </w:rPr>
        <w:t>степени приоритета обращения согласно параметрам, установленным в пункте 4.3 настоящего Технического задания.</w:t>
      </w:r>
      <w:bookmarkEnd w:id="57"/>
      <w:bookmarkEnd w:id="59"/>
    </w:p>
    <w:p>
      <w:pPr>
        <w:pStyle w:val="StandardWW"/>
        <w:spacing w:before="0" w:after="0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cs="Times New Roman" w:ascii="Times New Roman" w:hAnsi="Times New Roman"/>
          <w:sz w:val="23"/>
          <w:szCs w:val="23"/>
        </w:rPr>
        <w:t>Этапы процесса предоставления внеплановых модифицированных версий СПО-112:</w:t>
      </w:r>
    </w:p>
    <w:tbl>
      <w:tblPr>
        <w:tblW w:w="10060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000" w:noHBand="0" w:noVBand="0" w:firstColumn="0" w:lastRow="0" w:lastColumn="0" w:firstRow="0"/>
      </w:tblPr>
      <w:tblGrid>
        <w:gridCol w:w="2689"/>
        <w:gridCol w:w="4252"/>
        <w:gridCol w:w="3119"/>
      </w:tblGrid>
      <w:tr>
        <w:trPr/>
        <w:tc>
          <w:tcPr>
            <w:tcW w:w="26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andardWW"/>
              <w:spacing w:before="0" w:after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Вводные данные</w:t>
            </w:r>
          </w:p>
        </w:tc>
        <w:tc>
          <w:tcPr>
            <w:tcW w:w="42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andardWW"/>
              <w:spacing w:before="0" w:after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Действия, совершаемые Исполнителем</w:t>
            </w:r>
          </w:p>
        </w:tc>
        <w:tc>
          <w:tcPr>
            <w:tcW w:w="31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andardWW"/>
              <w:spacing w:before="0" w:after="0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Выходные данные</w:t>
            </w:r>
          </w:p>
        </w:tc>
      </w:tr>
      <w:tr>
        <w:trPr/>
        <w:tc>
          <w:tcPr>
            <w:tcW w:w="26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andardWW"/>
              <w:spacing w:before="0"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Обращение о проблеме в работе СПО. Обращение создается Заказчиком с использованием одного из трех каналов связи (электронная почта, телефон, СУИ)</w:t>
            </w:r>
          </w:p>
        </w:tc>
        <w:tc>
          <w:tcPr>
            <w:tcW w:w="42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andardWW"/>
              <w:spacing w:before="0"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Анализ дефектов (ошибок, сбоев) в работе СПО.</w:t>
            </w:r>
          </w:p>
          <w:p>
            <w:pPr>
              <w:pStyle w:val="StandardWW"/>
              <w:spacing w:before="0"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Исполнитель в рамках анализа дефекта (ошибки, сбоя) должен:</w:t>
            </w:r>
          </w:p>
          <w:p>
            <w:pPr>
              <w:pStyle w:val="StandardWW"/>
              <w:numPr>
                <w:ilvl w:val="0"/>
                <w:numId w:val="25"/>
              </w:numPr>
              <w:spacing w:before="0" w:after="0"/>
              <w:ind w:hanging="0" w:star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Проверить наличие дефекта (ошибки, сбоя), при необходимости продублировать её на тестовой среде (рабочий базовый комплект п. 4.1 настоящего ТЗ);</w:t>
            </w:r>
          </w:p>
          <w:p>
            <w:pPr>
              <w:pStyle w:val="StandardWW"/>
              <w:numPr>
                <w:ilvl w:val="0"/>
                <w:numId w:val="25"/>
              </w:numPr>
              <w:spacing w:before="0" w:after="0"/>
              <w:ind w:hanging="0" w:star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Разработать вариант(ы) реализации модификации СПО-112;</w:t>
            </w:r>
          </w:p>
          <w:p>
            <w:pPr>
              <w:pStyle w:val="StandardWW"/>
              <w:numPr>
                <w:ilvl w:val="0"/>
                <w:numId w:val="25"/>
              </w:numPr>
              <w:spacing w:before="0" w:after="0"/>
              <w:ind w:hanging="0" w:star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Провести ведомственное согласование внутри структурных подразделений Исполнителя, Соисполнителя (при наличии) вариант(ов) модификации и утвердить итоговый вариант.</w:t>
            </w:r>
          </w:p>
        </w:tc>
        <w:tc>
          <w:tcPr>
            <w:tcW w:w="31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andardWW"/>
              <w:spacing w:before="0"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Подтверждение (не подтверждение) ошибки или дефекта.</w:t>
            </w:r>
          </w:p>
          <w:p>
            <w:pPr>
              <w:pStyle w:val="StandardWW"/>
              <w:spacing w:before="0"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  <w:p>
            <w:pPr>
              <w:pStyle w:val="StandardWW"/>
              <w:spacing w:before="0"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При подтверждении – выбор итогового варианта модификации СПО-112.</w:t>
            </w:r>
          </w:p>
        </w:tc>
      </w:tr>
      <w:tr>
        <w:trPr/>
        <w:tc>
          <w:tcPr>
            <w:tcW w:w="26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andardWW"/>
              <w:spacing w:before="0"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Принятые предложения о модификации СПО-112</w:t>
            </w:r>
          </w:p>
        </w:tc>
        <w:tc>
          <w:tcPr>
            <w:tcW w:w="42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andardWW"/>
              <w:spacing w:before="0"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Реализация модификации СПО-112.</w:t>
            </w:r>
          </w:p>
          <w:p>
            <w:pPr>
              <w:pStyle w:val="StandardWW"/>
              <w:spacing w:before="0"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При выполнении действий по модификации СПО-112 Исполнитель, соисполнитель (при наличии) разрабатывает и тестирует конкретную(ые) модификацию(и) СПО-112.</w:t>
            </w:r>
          </w:p>
          <w:p>
            <w:pPr>
              <w:pStyle w:val="StandardWW"/>
              <w:spacing w:before="0"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Тестирование модификации осуществляется Исполнителем с использование рабочего базового комплекта (п. 4.1 настоящего ТЗ).</w:t>
            </w:r>
          </w:p>
        </w:tc>
        <w:tc>
          <w:tcPr>
            <w:tcW w:w="31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andardWW"/>
              <w:spacing w:before="0"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Реализованные и задокументированные изменения (при необходимости внесения данных изменений в эксплуатационную документацию)</w:t>
            </w:r>
          </w:p>
        </w:tc>
      </w:tr>
      <w:tr>
        <w:trPr/>
        <w:tc>
          <w:tcPr>
            <w:tcW w:w="26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andardWW"/>
              <w:spacing w:before="0"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Проведенные модификации СПО-112, их документирование</w:t>
            </w:r>
          </w:p>
        </w:tc>
        <w:tc>
          <w:tcPr>
            <w:tcW w:w="42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andardWW"/>
              <w:spacing w:before="0"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Завершение тестирования модификации(й) СПО-112 и подтверждение его(их) соответствия по устранению дефекта (ошибки, сбоя)</w:t>
            </w:r>
          </w:p>
        </w:tc>
        <w:tc>
          <w:tcPr>
            <w:tcW w:w="31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andardWW"/>
              <w:spacing w:before="0"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Информирование Заказчика о выпуске внеплановой модифицированной версии СПО-112</w:t>
            </w:r>
          </w:p>
        </w:tc>
      </w:tr>
      <w:tr>
        <w:trPr/>
        <w:tc>
          <w:tcPr>
            <w:tcW w:w="26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andardWW"/>
              <w:spacing w:before="0"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Установка модифицированной версии</w:t>
            </w:r>
          </w:p>
        </w:tc>
        <w:tc>
          <w:tcPr>
            <w:tcW w:w="42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andardWW"/>
              <w:spacing w:before="0"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Исполнитель производит установку модифицированных версий СПО-112 на серверах и АРМ Заказчика, также Исполнитель может предоставить дистрибутив и инструкции для обновления СПО-112 АРМ силами и средствами Заказчика. Заказчик предоставляет доступ к серверам для установки модифицированных версий СПО-112. Доступ обеспечивается с использованием криптографических средств защиты информации в порядке, предусмотренном в пункте 1.3 настоящего ТЗ.</w:t>
            </w:r>
          </w:p>
          <w:p>
            <w:pPr>
              <w:pStyle w:val="StandardWW"/>
              <w:spacing w:before="0"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  <w:p>
            <w:pPr>
              <w:pStyle w:val="StandardWW"/>
              <w:spacing w:before="0"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При необходимости Исполнитель дополнительно разрабатывает Миграционный план для обеспечения бесперебойного функционирования СПО-112.</w:t>
            </w:r>
          </w:p>
        </w:tc>
        <w:tc>
          <w:tcPr>
            <w:tcW w:w="31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andardWW"/>
              <w:spacing w:before="0"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Информирование Заказчика об устранении дефекта (ошибки, сбоя) в работе СПО-112.</w:t>
            </w:r>
          </w:p>
          <w:p>
            <w:pPr>
              <w:pStyle w:val="StandardWW"/>
              <w:spacing w:before="0"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Предоставление обновленной эксплуатационной документации в составе модифицированной версии СПО-112 (при необходимости).</w:t>
            </w:r>
          </w:p>
        </w:tc>
      </w:tr>
      <w:tr>
        <w:trPr/>
        <w:tc>
          <w:tcPr>
            <w:tcW w:w="26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andardWW"/>
              <w:spacing w:before="0"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Техническое сопровождение модифицированной версии СПО-112</w:t>
            </w:r>
          </w:p>
        </w:tc>
        <w:tc>
          <w:tcPr>
            <w:tcW w:w="42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andardWW"/>
              <w:spacing w:before="0"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Исполнитель в течение общего срока оказания услуг осуществляет техническое сопровождение сервисов и компонентов СПО-112, в которых используются установленные им внеплановые модифицированные версии СПО-112</w:t>
            </w:r>
          </w:p>
        </w:tc>
        <w:tc>
          <w:tcPr>
            <w:tcW w:w="31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andardWW"/>
              <w:spacing w:before="0"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Оказание Заказчику услуги полного технического сопровождения в порядке, предусмотренном настоящим ТЗ</w:t>
            </w:r>
          </w:p>
        </w:tc>
      </w:tr>
    </w:tbl>
    <w:p>
      <w:pPr>
        <w:pStyle w:val="Style23"/>
        <w:keepNext w:val="false"/>
        <w:widowControl w:val="false"/>
        <w:tabs>
          <w:tab w:val="clear" w:pos="708"/>
          <w:tab w:val="left" w:pos="1134" w:leader="none"/>
        </w:tabs>
        <w:spacing w:lineRule="auto" w:line="240" w:before="0" w:after="0"/>
        <w:ind w:firstLine="567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</w:r>
    </w:p>
    <w:p>
      <w:pPr>
        <w:pStyle w:val="Heading2"/>
        <w:keepNext w:val="false"/>
        <w:keepLines w:val="false"/>
        <w:widowControl w:val="false"/>
        <w:numPr>
          <w:ilvl w:val="1"/>
          <w:numId w:val="26"/>
        </w:numPr>
        <w:spacing w:lineRule="auto" w:line="240" w:before="0" w:after="0"/>
        <w:ind w:firstLine="709" w:start="0"/>
        <w:rPr>
          <w:sz w:val="23"/>
          <w:szCs w:val="23"/>
        </w:rPr>
      </w:pPr>
      <w:bookmarkStart w:id="60" w:name="_Toc795060"/>
      <w:r>
        <w:rPr>
          <w:sz w:val="23"/>
          <w:szCs w:val="23"/>
        </w:rPr>
        <w:t>Регистрация обращений</w:t>
      </w:r>
      <w:bookmarkEnd w:id="60"/>
    </w:p>
    <w:p>
      <w:pPr>
        <w:pStyle w:val="Style23"/>
        <w:keepNext w:val="false"/>
        <w:widowControl w:val="false"/>
        <w:tabs>
          <w:tab w:val="clear" w:pos="708"/>
          <w:tab w:val="left" w:pos="1134" w:leader="none"/>
        </w:tabs>
        <w:spacing w:lineRule="auto" w:line="240" w:before="0" w:after="0"/>
        <w:ind w:firstLine="567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>Для разрешения заявок пользователей, связанных со сбоями подсистем и остановкой процессов автоматизации системы-112, с оказанием консультационных услуг по использованию функциональных возможностей системы, Исполнитель организует работу службы технической поддержки, в задачу которой входят следующие обязанности:</w:t>
      </w:r>
    </w:p>
    <w:p>
      <w:pPr>
        <w:pStyle w:val="Style24"/>
        <w:widowControl w:val="false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40" w:before="0" w:after="0"/>
        <w:ind w:firstLine="567"/>
        <w:rPr>
          <w:rFonts w:cs="Times New Roman"/>
          <w:sz w:val="23"/>
          <w:szCs w:val="23"/>
          <w:lang w:eastAsia="ru-RU"/>
        </w:rPr>
      </w:pPr>
      <w:r>
        <w:rPr>
          <w:rFonts w:cs="Times New Roman"/>
          <w:sz w:val="23"/>
          <w:szCs w:val="23"/>
          <w:lang w:eastAsia="ru-RU"/>
        </w:rPr>
        <w:t>прием по «горячей» телефонной линии в случае критической ситуации (24 часа в сутки, 7 дней в неделю, включая выходные и праздничные дни, установленные РФ);</w:t>
      </w:r>
    </w:p>
    <w:p>
      <w:pPr>
        <w:pStyle w:val="Style24"/>
        <w:widowControl w:val="false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40" w:before="0" w:after="0"/>
        <w:ind w:firstLine="567"/>
        <w:rPr>
          <w:rFonts w:cs="Times New Roman"/>
          <w:sz w:val="23"/>
          <w:szCs w:val="23"/>
          <w:lang w:eastAsia="ru-RU"/>
        </w:rPr>
      </w:pPr>
      <w:r>
        <w:rPr>
          <w:rFonts w:cs="Times New Roman"/>
          <w:sz w:val="23"/>
          <w:szCs w:val="23"/>
          <w:lang w:eastAsia="ru-RU"/>
        </w:rPr>
        <w:t>прием и учет (регистрации) заявок осуществляется через портал Исполнителя;</w:t>
      </w:r>
    </w:p>
    <w:p>
      <w:pPr>
        <w:pStyle w:val="Style24"/>
        <w:widowControl w:val="false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40" w:before="0" w:after="0"/>
        <w:ind w:firstLine="567"/>
        <w:rPr>
          <w:rFonts w:cs="Times New Roman"/>
          <w:sz w:val="23"/>
          <w:szCs w:val="23"/>
          <w:lang w:eastAsia="ru-RU"/>
        </w:rPr>
      </w:pPr>
      <w:r>
        <w:rPr>
          <w:rFonts w:cs="Times New Roman"/>
          <w:sz w:val="23"/>
          <w:szCs w:val="23"/>
          <w:lang w:eastAsia="ru-RU"/>
        </w:rPr>
        <w:t>обработка заявок, их классификация и последующая маршрутизация (передача иным специалистам) при невозможности их оперативного разрешения;</w:t>
      </w:r>
    </w:p>
    <w:p>
      <w:pPr>
        <w:pStyle w:val="Style24"/>
        <w:widowControl w:val="false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40" w:before="0" w:after="0"/>
        <w:ind w:firstLine="567"/>
        <w:rPr>
          <w:rFonts w:cs="Times New Roman"/>
          <w:sz w:val="23"/>
          <w:szCs w:val="23"/>
          <w:lang w:eastAsia="ru-RU"/>
        </w:rPr>
      </w:pPr>
      <w:r>
        <w:rPr>
          <w:rFonts w:cs="Times New Roman"/>
          <w:sz w:val="23"/>
          <w:szCs w:val="23"/>
          <w:lang w:eastAsia="ru-RU"/>
        </w:rPr>
        <w:t>контроль состояния выполнения заявок и своевременное уведомление о решении заявленных проблем;</w:t>
      </w:r>
    </w:p>
    <w:p>
      <w:pPr>
        <w:pStyle w:val="Style24"/>
        <w:widowControl w:val="false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40" w:before="0" w:after="0"/>
        <w:ind w:firstLine="567"/>
        <w:rPr>
          <w:rFonts w:cs="Times New Roman"/>
          <w:sz w:val="23"/>
          <w:szCs w:val="23"/>
          <w:lang w:eastAsia="ru-RU"/>
        </w:rPr>
      </w:pPr>
      <w:r>
        <w:rPr>
          <w:rFonts w:cs="Times New Roman"/>
          <w:sz w:val="23"/>
          <w:szCs w:val="23"/>
          <w:lang w:eastAsia="ru-RU"/>
        </w:rPr>
        <w:t>обновление на новые версии СПО-112, вышедшие в течение срока технического сопровождения в случаях, предусмотренных подпунктом 4.1.1 настоящего Технического задания;</w:t>
      </w:r>
    </w:p>
    <w:p>
      <w:pPr>
        <w:pStyle w:val="Style24"/>
        <w:widowControl w:val="false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40" w:before="0" w:after="0"/>
        <w:ind w:firstLine="567"/>
        <w:rPr>
          <w:rFonts w:cs="Times New Roman"/>
          <w:sz w:val="23"/>
          <w:szCs w:val="23"/>
          <w:lang w:eastAsia="ru-RU"/>
        </w:rPr>
      </w:pPr>
      <w:r>
        <w:rPr>
          <w:rFonts w:cs="Times New Roman"/>
          <w:sz w:val="23"/>
          <w:szCs w:val="23"/>
          <w:lang w:eastAsia="ru-RU"/>
        </w:rPr>
        <w:t>консультирование по вопросам использования СПО-112, УСПО-112 при выполнении типовых операций представителя Заказчика, а также предоставление стандартной эксплуатационной документации и информации о работе систем.</w:t>
      </w:r>
    </w:p>
    <w:p>
      <w:pPr>
        <w:pStyle w:val="Style23"/>
        <w:keepNext w:val="false"/>
        <w:widowControl w:val="false"/>
        <w:tabs>
          <w:tab w:val="clear" w:pos="708"/>
          <w:tab w:val="left" w:pos="1134" w:leader="none"/>
        </w:tabs>
        <w:spacing w:lineRule="auto" w:line="240" w:before="0" w:after="0"/>
        <w:ind w:firstLine="567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>Работа службы технической поддержки обеспечивается в СУИ Исполнителя.</w:t>
      </w:r>
    </w:p>
    <w:p>
      <w:pPr>
        <w:pStyle w:val="Style23"/>
        <w:keepNext w:val="false"/>
        <w:widowControl w:val="false"/>
        <w:tabs>
          <w:tab w:val="clear" w:pos="708"/>
          <w:tab w:val="left" w:pos="1134" w:leader="none"/>
        </w:tabs>
        <w:spacing w:lineRule="auto" w:line="240" w:before="0" w:after="0"/>
        <w:ind w:firstLine="567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 xml:space="preserve">Доступ к СУИ должен быть предоставлен Исполнителем в течение 1 (одного) рабочего дня с момента подписания </w:t>
      </w:r>
      <w:r>
        <w:rPr>
          <w:rFonts w:cs="Times New Roman"/>
          <w:sz w:val="23"/>
          <w:szCs w:val="23"/>
        </w:rPr>
        <w:t>Договора</w:t>
      </w:r>
      <w:r>
        <w:rPr>
          <w:rFonts w:cs="Times New Roman"/>
          <w:sz w:val="23"/>
          <w:szCs w:val="23"/>
        </w:rPr>
        <w:t xml:space="preserve"> и поддерживаться Исполнителем в течение всего срока действия оказания услуг. </w:t>
      </w:r>
    </w:p>
    <w:p>
      <w:pPr>
        <w:pStyle w:val="Style23"/>
        <w:keepNext w:val="false"/>
        <w:widowControl w:val="false"/>
        <w:tabs>
          <w:tab w:val="clear" w:pos="708"/>
          <w:tab w:val="left" w:pos="1134" w:leader="none"/>
        </w:tabs>
        <w:spacing w:lineRule="auto" w:line="240" w:before="0" w:after="0"/>
        <w:ind w:firstLine="567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>СУИ должна обеспечивать следующий функционал:</w:t>
      </w:r>
    </w:p>
    <w:p>
      <w:pPr>
        <w:pStyle w:val="Style23"/>
        <w:keepNext w:val="false"/>
        <w:widowControl w:val="false"/>
        <w:tabs>
          <w:tab w:val="clear" w:pos="708"/>
          <w:tab w:val="left" w:pos="1134" w:leader="none"/>
        </w:tabs>
        <w:spacing w:lineRule="auto" w:line="240" w:before="0" w:after="0"/>
        <w:ind w:firstLine="567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>- аутентификация пользователей Заказчика, реализованная путём ввода логина и пароля;</w:t>
      </w:r>
    </w:p>
    <w:p>
      <w:pPr>
        <w:pStyle w:val="Style23"/>
        <w:keepNext w:val="false"/>
        <w:widowControl w:val="false"/>
        <w:tabs>
          <w:tab w:val="clear" w:pos="708"/>
          <w:tab w:val="left" w:pos="1134" w:leader="none"/>
        </w:tabs>
        <w:spacing w:lineRule="auto" w:line="240" w:before="0" w:after="0"/>
        <w:ind w:firstLine="567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>- возможность выставления Заказчиком критичности обращения в соответствии с п. 4.3 настоящего Технического задания;</w:t>
      </w:r>
    </w:p>
    <w:p>
      <w:pPr>
        <w:pStyle w:val="Style23"/>
        <w:keepNext w:val="false"/>
        <w:widowControl w:val="false"/>
        <w:tabs>
          <w:tab w:val="clear" w:pos="708"/>
          <w:tab w:val="left" w:pos="1134" w:leader="none"/>
        </w:tabs>
        <w:spacing w:lineRule="auto" w:line="240" w:before="0" w:after="0"/>
        <w:ind w:firstLine="567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>- возможность указания в созданном обращении почтовых адресов Заказчика для поступления на них уведомлений о смене статуса и критичности обращения, а также при появлении новых комментариев;</w:t>
      </w:r>
    </w:p>
    <w:p>
      <w:pPr>
        <w:pStyle w:val="Style23"/>
        <w:keepNext w:val="false"/>
        <w:widowControl w:val="false"/>
        <w:tabs>
          <w:tab w:val="clear" w:pos="708"/>
          <w:tab w:val="left" w:pos="1134" w:leader="none"/>
        </w:tabs>
        <w:spacing w:lineRule="auto" w:line="240" w:before="0" w:after="0"/>
        <w:ind w:firstLine="567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 xml:space="preserve">- поступление уведомления о смене статуса обращения и новых комментариев к нему </w:t>
        <w:br/>
        <w:t>на указанный Заказчиком адрес электронной почты;</w:t>
      </w:r>
    </w:p>
    <w:p>
      <w:pPr>
        <w:pStyle w:val="Style23"/>
        <w:keepNext w:val="false"/>
        <w:widowControl w:val="false"/>
        <w:tabs>
          <w:tab w:val="clear" w:pos="708"/>
          <w:tab w:val="left" w:pos="1134" w:leader="none"/>
        </w:tabs>
        <w:spacing w:lineRule="auto" w:line="240" w:before="0" w:after="0"/>
        <w:ind w:firstLine="567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>- возможность ответа на комментарии в созданном обращении напрямую из письма-уведомления на электронной почте;</w:t>
      </w:r>
    </w:p>
    <w:p>
      <w:pPr>
        <w:pStyle w:val="Style23"/>
        <w:keepNext w:val="false"/>
        <w:widowControl w:val="false"/>
        <w:tabs>
          <w:tab w:val="clear" w:pos="708"/>
          <w:tab w:val="left" w:pos="1134" w:leader="none"/>
        </w:tabs>
        <w:spacing w:lineRule="auto" w:line="240" w:before="0" w:after="0"/>
        <w:ind w:firstLine="567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>- каждому обращению должен присваиваться уникальный номер;</w:t>
      </w:r>
    </w:p>
    <w:p>
      <w:pPr>
        <w:pStyle w:val="Style23"/>
        <w:keepNext w:val="false"/>
        <w:widowControl w:val="false"/>
        <w:tabs>
          <w:tab w:val="clear" w:pos="708"/>
          <w:tab w:val="left" w:pos="1134" w:leader="none"/>
        </w:tabs>
        <w:spacing w:lineRule="auto" w:line="240" w:before="0" w:after="0"/>
        <w:ind w:firstLine="567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>- при организации доступа к электронной системе учета обращений через сеть Интернет должен использоваться протокол HTTPs;</w:t>
      </w:r>
    </w:p>
    <w:p>
      <w:pPr>
        <w:pStyle w:val="Style23"/>
        <w:keepNext w:val="false"/>
        <w:widowControl w:val="false"/>
        <w:tabs>
          <w:tab w:val="clear" w:pos="708"/>
          <w:tab w:val="left" w:pos="1134" w:leader="none"/>
        </w:tabs>
        <w:spacing w:lineRule="auto" w:line="240" w:before="0" w:after="0"/>
        <w:ind w:firstLine="567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>- корректная работа через мобильный браузер.</w:t>
      </w:r>
    </w:p>
    <w:p>
      <w:pPr>
        <w:pStyle w:val="Style23"/>
        <w:keepNext w:val="false"/>
        <w:widowControl w:val="false"/>
        <w:tabs>
          <w:tab w:val="clear" w:pos="708"/>
          <w:tab w:val="left" w:pos="1134" w:leader="none"/>
        </w:tabs>
        <w:spacing w:lineRule="auto" w:line="240" w:before="0" w:after="0"/>
        <w:ind w:firstLine="567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 xml:space="preserve">Для обеспечения максимальной эффективности информационной и технической поддержки проблемы запросы делятся по приоритетам, </w:t>
      </w:r>
      <w:r>
        <w:rPr>
          <w:rFonts w:cs="Times New Roman"/>
          <w:sz w:val="23"/>
          <w:szCs w:val="23"/>
        </w:rPr>
        <w:fldChar w:fldCharType="begin"/>
      </w:r>
      <w:r>
        <w:rPr>
          <w:sz w:val="23"/>
          <w:szCs w:val="23"/>
          <w:rFonts w:cs="Times New Roman"/>
        </w:rPr>
        <w:instrText xml:space="preserve"> REF _Ref547691 \h </w:instrText>
      </w:r>
      <w:r>
        <w:rPr>
          <w:sz w:val="23"/>
          <w:szCs w:val="23"/>
          <w:rFonts w:cs="Times New Roman"/>
        </w:rPr>
        <w:fldChar w:fldCharType="separate"/>
      </w:r>
      <w:r>
        <w:rPr>
          <w:sz w:val="23"/>
          <w:szCs w:val="23"/>
          <w:rFonts w:cs="Times New Roman"/>
        </w:rPr>
        <w:t xml:space="preserve">Таблица </w:t>
      </w:r>
      <w:r>
        <w:rPr>
          <w:sz w:val="23"/>
          <w:szCs w:val="23"/>
          <w:rFonts w:cs="Times New Roman"/>
        </w:rPr>
        <w:fldChar w:fldCharType="end"/>
      </w:r>
      <w:r>
        <w:rPr>
          <w:rFonts w:cs="Times New Roman"/>
          <w:sz w:val="23"/>
          <w:szCs w:val="23"/>
        </w:rPr>
        <w:t>.</w:t>
      </w:r>
    </w:p>
    <w:p>
      <w:pPr>
        <w:pStyle w:val="Heading2"/>
        <w:keepNext w:val="false"/>
        <w:keepLines w:val="false"/>
        <w:widowControl w:val="false"/>
        <w:numPr>
          <w:ilvl w:val="1"/>
          <w:numId w:val="26"/>
        </w:numPr>
        <w:tabs>
          <w:tab w:val="clear" w:pos="708"/>
          <w:tab w:val="left" w:pos="1134" w:leader="none"/>
        </w:tabs>
        <w:spacing w:lineRule="auto" w:line="240" w:before="0" w:after="0"/>
        <w:ind w:firstLine="567" w:start="0"/>
        <w:rPr>
          <w:sz w:val="23"/>
          <w:szCs w:val="23"/>
        </w:rPr>
      </w:pPr>
      <w:bookmarkStart w:id="61" w:name="_Toc795061"/>
      <w:r>
        <w:rPr>
          <w:sz w:val="23"/>
          <w:szCs w:val="23"/>
        </w:rPr>
        <w:t>Приоритеты обращений</w:t>
      </w:r>
      <w:bookmarkEnd w:id="61"/>
    </w:p>
    <w:p>
      <w:pPr>
        <w:pStyle w:val="Style23"/>
        <w:keepNext w:val="false"/>
        <w:widowControl w:val="false"/>
        <w:tabs>
          <w:tab w:val="clear" w:pos="708"/>
          <w:tab w:val="left" w:pos="1134" w:leader="none"/>
        </w:tabs>
        <w:spacing w:lineRule="auto" w:line="240" w:before="0" w:after="0"/>
        <w:ind w:firstLine="567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>Приоритет устанавливается сотрудником Заказчика, в зависимости от влияния возникшей проблемы на функционирование Системы-112.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sz w:val="23"/>
          <w:szCs w:val="23"/>
        </w:rPr>
      </w:pPr>
      <w:bookmarkStart w:id="62" w:name="_Ref547691"/>
      <w:r>
        <w:rPr>
          <w:sz w:val="23"/>
          <w:szCs w:val="23"/>
        </w:rPr>
        <w:t xml:space="preserve">Таблица </w:t>
      </w:r>
      <w:bookmarkEnd w:id="62"/>
      <w:r>
        <w:rPr>
          <w:sz w:val="23"/>
          <w:szCs w:val="23"/>
        </w:rPr>
        <w:t>2 – Перечень заявок пользователей по уровням приоритета</w:t>
      </w:r>
    </w:p>
    <w:tbl>
      <w:tblPr>
        <w:tblW w:w="10171" w:type="dxa"/>
        <w:jc w:val="center"/>
        <w:tblInd w:w="0" w:type="dxa"/>
        <w:tblLayout w:type="fixed"/>
        <w:tblCellMar>
          <w:top w:w="0" w:type="dxa"/>
          <w:start w:w="5" w:type="dxa"/>
          <w:bottom w:w="0" w:type="dxa"/>
          <w:end w:w="5" w:type="dxa"/>
        </w:tblCellMar>
        <w:tblLook w:val="04a0" w:noHBand="0" w:noVBand="1" w:firstColumn="1" w:lastRow="0" w:lastColumn="0" w:firstRow="1"/>
      </w:tblPr>
      <w:tblGrid>
        <w:gridCol w:w="2292"/>
        <w:gridCol w:w="7878"/>
      </w:tblGrid>
      <w:tr>
        <w:trPr>
          <w:tblHeader w:val="true"/>
          <w:trHeight w:val="593" w:hRule="atLeast"/>
        </w:trPr>
        <w:tc>
          <w:tcPr>
            <w:tcW w:w="2292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BodyText"/>
              <w:widowControl w:val="false"/>
              <w:spacing w:before="0" w:after="0"/>
              <w:ind w:start="105"/>
              <w:jc w:val="center"/>
              <w:rPr>
                <w:b/>
                <w:color w:val="auto"/>
                <w:sz w:val="23"/>
                <w:szCs w:val="23"/>
              </w:rPr>
            </w:pPr>
            <w:r>
              <w:rPr>
                <w:b/>
                <w:color w:val="auto"/>
                <w:sz w:val="23"/>
                <w:szCs w:val="23"/>
              </w:rPr>
              <w:t>Степень приоритета запроса/проблемы</w:t>
            </w:r>
          </w:p>
        </w:tc>
        <w:tc>
          <w:tcPr>
            <w:tcW w:w="7878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  <w:end w:val="single" w:sz="4" w:space="0" w:color="000001"/>
            </w:tcBorders>
            <w:shd w:color="auto" w:fill="auto" w:val="clear"/>
            <w:vAlign w:val="center"/>
          </w:tcPr>
          <w:p>
            <w:pPr>
              <w:pStyle w:val="BodyText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center"/>
              <w:rPr>
                <w:b/>
                <w:color w:val="auto"/>
                <w:sz w:val="23"/>
                <w:szCs w:val="23"/>
              </w:rPr>
            </w:pPr>
            <w:r>
              <w:rPr>
                <w:b/>
                <w:color w:val="auto"/>
                <w:sz w:val="23"/>
                <w:szCs w:val="23"/>
              </w:rPr>
              <w:t>Описание проблемы</w:t>
            </w:r>
          </w:p>
        </w:tc>
      </w:tr>
      <w:tr>
        <w:trPr/>
        <w:tc>
          <w:tcPr>
            <w:tcW w:w="2292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start="105"/>
              <w:jc w:val="center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color w:val="auto"/>
                <w:sz w:val="23"/>
                <w:szCs w:val="23"/>
              </w:rPr>
              <w:t xml:space="preserve">Степень приоритета 1 </w:t>
            </w:r>
            <w:r>
              <w:rPr>
                <w:rFonts w:cs="Times New Roman" w:ascii="Times New Roman" w:hAnsi="Times New Roman"/>
                <w:b/>
                <w:color w:val="auto"/>
                <w:sz w:val="23"/>
                <w:szCs w:val="23"/>
              </w:rPr>
              <w:t xml:space="preserve">(Критическая проблема, </w:t>
            </w:r>
            <w:r>
              <w:rPr>
                <w:rFonts w:cs="Times New Roman" w:ascii="Times New Roman" w:hAnsi="Times New Roman"/>
                <w:b/>
                <w:color w:val="auto"/>
                <w:sz w:val="23"/>
                <w:szCs w:val="23"/>
                <w:lang w:val="en-US"/>
              </w:rPr>
              <w:t>critical</w:t>
            </w:r>
            <w:r>
              <w:rPr>
                <w:rFonts w:cs="Times New Roman" w:ascii="Times New Roman" w:hAnsi="Times New Roman"/>
                <w:b/>
                <w:color w:val="auto"/>
                <w:sz w:val="23"/>
                <w:szCs w:val="23"/>
              </w:rPr>
              <w:t>)</w:t>
            </w:r>
          </w:p>
        </w:tc>
        <w:tc>
          <w:tcPr>
            <w:tcW w:w="7878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  <w:end w:val="single" w:sz="4" w:space="0" w:color="000001"/>
            </w:tcBorders>
            <w:shd w:color="auto" w:fill="auto" w:val="clear"/>
            <w:vAlign w:val="center"/>
          </w:tcPr>
          <w:p>
            <w:pPr>
              <w:pStyle w:val="Style27"/>
              <w:widowControl w:val="false"/>
              <w:tabs>
                <w:tab w:val="left" w:pos="-436" w:leader="none"/>
                <w:tab w:val="left" w:pos="539" w:leader="none"/>
                <w:tab w:val="left" w:pos="1134" w:leader="none"/>
              </w:tabs>
              <w:spacing w:before="0" w:after="0"/>
              <w:ind w:start="79"/>
              <w:rPr>
                <w:color w:val="auto"/>
                <w:sz w:val="23"/>
                <w:szCs w:val="23"/>
                <w:lang w:eastAsia="ar-SA"/>
              </w:rPr>
            </w:pPr>
            <w:r>
              <w:rPr>
                <w:color w:val="auto"/>
                <w:sz w:val="23"/>
                <w:szCs w:val="23"/>
                <w:lang w:eastAsia="ar-SA"/>
              </w:rPr>
              <w:t xml:space="preserve">Проблемы наивысшего приоритета, связанные с полной потерей трафика, остановкой </w:t>
            </w:r>
            <w:r>
              <w:rPr>
                <w:color w:val="auto"/>
                <w:sz w:val="23"/>
                <w:szCs w:val="23"/>
                <w:lang w:val="en-US" w:eastAsia="ar-SA"/>
              </w:rPr>
              <w:t>c</w:t>
            </w:r>
            <w:r>
              <w:rPr>
                <w:color w:val="auto"/>
                <w:sz w:val="23"/>
                <w:szCs w:val="23"/>
                <w:lang w:eastAsia="ar-SA"/>
              </w:rPr>
              <w:t>истемы-112:</w:t>
            </w:r>
          </w:p>
          <w:p>
            <w:pPr>
              <w:pStyle w:val="Style24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1134" w:leader="none"/>
              </w:tabs>
              <w:spacing w:lineRule="auto" w:line="240" w:before="0" w:after="0"/>
              <w:ind w:hanging="0" w:start="79"/>
              <w:rPr>
                <w:rFonts w:cs="Times New Roman"/>
                <w:sz w:val="23"/>
                <w:szCs w:val="23"/>
                <w:lang w:eastAsia="ru-RU"/>
              </w:rPr>
            </w:pPr>
            <w:r>
              <w:rPr>
                <w:rFonts w:cs="Times New Roman"/>
                <w:sz w:val="23"/>
                <w:szCs w:val="23"/>
                <w:lang w:eastAsia="ru-RU"/>
              </w:rPr>
              <w:t>Запросы, связанные с остановкой работы СПО-112;</w:t>
            </w:r>
          </w:p>
          <w:p>
            <w:pPr>
              <w:pStyle w:val="Style24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1134" w:leader="none"/>
              </w:tabs>
              <w:spacing w:lineRule="auto" w:line="240" w:before="0" w:after="0"/>
              <w:ind w:hanging="0" w:start="79"/>
              <w:rPr>
                <w:rFonts w:cs="Times New Roman"/>
                <w:sz w:val="23"/>
                <w:szCs w:val="23"/>
                <w:lang w:eastAsia="ru-RU"/>
              </w:rPr>
            </w:pPr>
            <w:r>
              <w:rPr>
                <w:rFonts w:cs="Times New Roman"/>
                <w:sz w:val="23"/>
                <w:szCs w:val="23"/>
                <w:lang w:eastAsia="ru-RU"/>
              </w:rPr>
              <w:t>Запросы, связанные с нарушениями в обслуживании голосовых вызовов;</w:t>
            </w:r>
          </w:p>
          <w:p>
            <w:pPr>
              <w:pStyle w:val="Style24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1134" w:leader="none"/>
              </w:tabs>
              <w:spacing w:lineRule="auto" w:line="240" w:before="0" w:after="0"/>
              <w:ind w:hanging="0" w:start="79"/>
              <w:rPr>
                <w:rFonts w:cs="Times New Roman"/>
                <w:sz w:val="23"/>
                <w:szCs w:val="23"/>
                <w:lang w:eastAsia="ru-RU"/>
              </w:rPr>
            </w:pPr>
            <w:r>
              <w:rPr>
                <w:rFonts w:cs="Times New Roman"/>
                <w:sz w:val="23"/>
                <w:szCs w:val="23"/>
                <w:lang w:eastAsia="ru-RU"/>
              </w:rPr>
              <w:t>Некорректная работа интеграционных механизмов с внешними системами;</w:t>
            </w:r>
          </w:p>
          <w:p>
            <w:pPr>
              <w:pStyle w:val="Style24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1134" w:leader="none"/>
              </w:tabs>
              <w:spacing w:lineRule="auto" w:line="240" w:before="0" w:after="0"/>
              <w:ind w:hanging="0" w:start="79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  <w:lang w:eastAsia="ru-RU"/>
              </w:rPr>
              <w:t>Некорректная передача вызовов.</w:t>
            </w:r>
          </w:p>
        </w:tc>
      </w:tr>
      <w:tr>
        <w:trPr/>
        <w:tc>
          <w:tcPr>
            <w:tcW w:w="2292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start="105"/>
              <w:jc w:val="center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color w:val="auto"/>
                <w:sz w:val="23"/>
                <w:szCs w:val="23"/>
              </w:rPr>
              <w:t xml:space="preserve">Степень приоритета 2 </w:t>
            </w:r>
            <w:r>
              <w:rPr>
                <w:rFonts w:cs="Times New Roman" w:ascii="Times New Roman" w:hAnsi="Times New Roman"/>
                <w:b/>
                <w:bCs/>
                <w:color w:val="auto"/>
                <w:sz w:val="23"/>
                <w:szCs w:val="23"/>
              </w:rPr>
              <w:t xml:space="preserve">(Важная проблема, </w:t>
            </w:r>
            <w:r>
              <w:rPr>
                <w:rFonts w:cs="Times New Roman" w:ascii="Times New Roman" w:hAnsi="Times New Roman"/>
                <w:b/>
                <w:bCs/>
                <w:color w:val="auto"/>
                <w:sz w:val="23"/>
                <w:szCs w:val="23"/>
                <w:lang w:val="en-US"/>
              </w:rPr>
              <w:t>important</w:t>
            </w:r>
            <w:r>
              <w:rPr>
                <w:rFonts w:cs="Times New Roman" w:ascii="Times New Roman" w:hAnsi="Times New Roman"/>
                <w:b/>
                <w:bCs/>
                <w:color w:val="auto"/>
                <w:sz w:val="23"/>
                <w:szCs w:val="23"/>
              </w:rPr>
              <w:t>)</w:t>
            </w:r>
          </w:p>
        </w:tc>
        <w:tc>
          <w:tcPr>
            <w:tcW w:w="7878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  <w:end w:val="single" w:sz="4" w:space="0" w:color="000001"/>
            </w:tcBorders>
            <w:shd w:color="auto" w:fill="auto" w:val="clear"/>
            <w:vAlign w:val="center"/>
          </w:tcPr>
          <w:p>
            <w:pPr>
              <w:pStyle w:val="Style27"/>
              <w:widowControl w:val="false"/>
              <w:tabs>
                <w:tab w:val="left" w:pos="-436" w:leader="none"/>
                <w:tab w:val="left" w:pos="539" w:leader="none"/>
                <w:tab w:val="left" w:pos="1134" w:leader="none"/>
              </w:tabs>
              <w:spacing w:before="0" w:after="0"/>
              <w:ind w:start="79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Срочные аварийные проблемы, при которых наблюдается частичная потеря трафика или невозможность администрирования платформы:</w:t>
            </w:r>
          </w:p>
          <w:p>
            <w:pPr>
              <w:pStyle w:val="Style24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1134" w:leader="none"/>
              </w:tabs>
              <w:spacing w:lineRule="auto" w:line="240" w:before="0" w:after="0"/>
              <w:ind w:hanging="0" w:start="79"/>
              <w:rPr>
                <w:rFonts w:cs="Times New Roman"/>
                <w:sz w:val="23"/>
                <w:szCs w:val="23"/>
                <w:lang w:eastAsia="ru-RU"/>
              </w:rPr>
            </w:pPr>
            <w:r>
              <w:rPr>
                <w:rFonts w:cs="Times New Roman"/>
                <w:sz w:val="23"/>
                <w:szCs w:val="23"/>
                <w:lang w:eastAsia="ru-RU"/>
              </w:rPr>
              <w:t>Запросы и проблемы, которые не приводят к остановке СПО-112, но могут привести к некорректной работе СПО-112 в будущем;</w:t>
            </w:r>
          </w:p>
          <w:p>
            <w:pPr>
              <w:pStyle w:val="Style24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1134" w:leader="none"/>
              </w:tabs>
              <w:spacing w:lineRule="auto" w:line="240" w:before="0" w:after="0"/>
              <w:ind w:hanging="0" w:start="79"/>
              <w:rPr>
                <w:rFonts w:cs="Times New Roman"/>
                <w:sz w:val="23"/>
                <w:szCs w:val="23"/>
                <w:lang w:eastAsia="ru-RU"/>
              </w:rPr>
            </w:pPr>
            <w:r>
              <w:rPr>
                <w:rFonts w:cs="Times New Roman"/>
                <w:sz w:val="23"/>
                <w:szCs w:val="23"/>
                <w:lang w:eastAsia="ru-RU"/>
              </w:rPr>
              <w:t>Запросы, связанные с проведением обновлений СПО-112 в случаях, предусмотренных пунктом 4.1 настоящего Технического задания;</w:t>
            </w:r>
          </w:p>
          <w:p>
            <w:pPr>
              <w:pStyle w:val="Style24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1134" w:leader="none"/>
              </w:tabs>
              <w:spacing w:lineRule="auto" w:line="240" w:before="0" w:after="0"/>
              <w:ind w:hanging="0" w:start="79"/>
              <w:rPr>
                <w:rFonts w:eastAsia="Arial"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  <w:lang w:eastAsia="ru-RU"/>
              </w:rPr>
              <w:t>Проблемы, препятствующие проведению выгрузки/загрузки информации в модули интеграции с другими системами.</w:t>
            </w:r>
          </w:p>
        </w:tc>
      </w:tr>
      <w:tr>
        <w:trPr/>
        <w:tc>
          <w:tcPr>
            <w:tcW w:w="2292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start="105"/>
              <w:jc w:val="center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color w:val="auto"/>
                <w:sz w:val="23"/>
                <w:szCs w:val="23"/>
              </w:rPr>
              <w:t>Степень приоритета 3 (Обычная проблема, basic)</w:t>
            </w:r>
          </w:p>
        </w:tc>
        <w:tc>
          <w:tcPr>
            <w:tcW w:w="7878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  <w:end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  <w:tab w:val="left" w:pos="-436" w:leader="none"/>
                <w:tab w:val="left" w:pos="539" w:leader="none"/>
                <w:tab w:val="left" w:pos="1134" w:leader="none"/>
              </w:tabs>
              <w:ind w:hanging="0" w:start="79"/>
              <w:jc w:val="both"/>
              <w:rPr>
                <w:rFonts w:eastAsia="Calibri"/>
                <w:sz w:val="23"/>
                <w:szCs w:val="23"/>
                <w:lang w:eastAsia="zh-CN"/>
              </w:rPr>
            </w:pPr>
            <w:r>
              <w:rPr>
                <w:rFonts w:eastAsia="Calibri"/>
                <w:sz w:val="23"/>
                <w:szCs w:val="23"/>
                <w:lang w:eastAsia="zh-CN"/>
              </w:rPr>
              <w:t>Проблемы, связанные с формированием утвержденных форм статистических отчетов о работе объекта автоматизации;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  <w:tab w:val="left" w:pos="-436" w:leader="none"/>
                <w:tab w:val="left" w:pos="539" w:leader="none"/>
                <w:tab w:val="left" w:pos="1134" w:leader="none"/>
              </w:tabs>
              <w:ind w:hanging="0" w:start="79"/>
              <w:jc w:val="both"/>
              <w:rPr>
                <w:rFonts w:eastAsia="Calibri"/>
                <w:sz w:val="23"/>
                <w:szCs w:val="23"/>
                <w:lang w:eastAsia="zh-CN"/>
              </w:rPr>
            </w:pPr>
            <w:r>
              <w:rPr>
                <w:rFonts w:eastAsia="Calibri"/>
                <w:sz w:val="23"/>
                <w:szCs w:val="23"/>
                <w:lang w:eastAsia="zh-CN"/>
              </w:rPr>
              <w:t>Проблемы, связанные с некорректной работой СПО-112 с оборудованием;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  <w:tab w:val="left" w:pos="-436" w:leader="none"/>
                <w:tab w:val="left" w:pos="539" w:leader="none"/>
                <w:tab w:val="left" w:pos="1134" w:leader="none"/>
              </w:tabs>
              <w:ind w:hanging="0" w:start="79"/>
              <w:jc w:val="both"/>
              <w:rPr>
                <w:rFonts w:eastAsia="Calibri"/>
                <w:sz w:val="23"/>
                <w:szCs w:val="23"/>
                <w:lang w:eastAsia="zh-CN"/>
              </w:rPr>
            </w:pPr>
            <w:r>
              <w:rPr>
                <w:rFonts w:eastAsia="Calibri"/>
                <w:sz w:val="23"/>
                <w:szCs w:val="23"/>
                <w:lang w:eastAsia="zh-CN"/>
              </w:rPr>
              <w:t>Вопросы по настройке оборудования, СПО-112, УСПО-112;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  <w:tab w:val="left" w:pos="-436" w:leader="none"/>
                <w:tab w:val="left" w:pos="539" w:leader="none"/>
                <w:tab w:val="left" w:pos="1134" w:leader="none"/>
              </w:tabs>
              <w:ind w:hanging="0" w:start="79"/>
              <w:jc w:val="both"/>
              <w:rPr>
                <w:rFonts w:eastAsia="Calibri"/>
                <w:sz w:val="23"/>
                <w:szCs w:val="23"/>
                <w:lang w:eastAsia="zh-CN"/>
              </w:rPr>
            </w:pPr>
            <w:r>
              <w:rPr>
                <w:rFonts w:eastAsia="Calibri"/>
                <w:sz w:val="23"/>
                <w:szCs w:val="23"/>
                <w:lang w:eastAsia="zh-CN"/>
              </w:rPr>
              <w:t>Различные виды внутренних ошибок, не оказывающих влияния на работу СПО-112;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  <w:tab w:val="left" w:pos="-436" w:leader="none"/>
                <w:tab w:val="left" w:pos="539" w:leader="none"/>
                <w:tab w:val="left" w:pos="1134" w:leader="none"/>
              </w:tabs>
              <w:ind w:hanging="0" w:start="79"/>
              <w:jc w:val="both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Незначительные проблемы при выполнении администрирования СПО-112.</w:t>
            </w:r>
          </w:p>
        </w:tc>
      </w:tr>
      <w:tr>
        <w:trPr/>
        <w:tc>
          <w:tcPr>
            <w:tcW w:w="2292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start="105"/>
              <w:jc w:val="center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color w:val="auto"/>
                <w:sz w:val="23"/>
                <w:szCs w:val="23"/>
              </w:rPr>
              <w:t>Степень приоритета 4 (Прочие проблемы, cosmetic)</w:t>
            </w:r>
          </w:p>
        </w:tc>
        <w:tc>
          <w:tcPr>
            <w:tcW w:w="7878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  <w:end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-436" w:leader="none"/>
                <w:tab w:val="left" w:pos="539" w:leader="none"/>
                <w:tab w:val="left" w:pos="1134" w:leader="none"/>
              </w:tabs>
              <w:ind w:hanging="0" w:start="79"/>
              <w:jc w:val="both"/>
              <w:rPr>
                <w:rFonts w:eastAsia="Calibri"/>
                <w:sz w:val="23"/>
                <w:szCs w:val="23"/>
                <w:lang w:eastAsia="zh-CN"/>
              </w:rPr>
            </w:pPr>
            <w:r>
              <w:rPr>
                <w:rFonts w:eastAsia="Calibri"/>
                <w:sz w:val="23"/>
                <w:szCs w:val="23"/>
                <w:lang w:eastAsia="zh-CN"/>
              </w:rPr>
              <w:t>Различные виды внутренних ошибок, не оказывающих влияния на работу СПО-112;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-436" w:leader="none"/>
                <w:tab w:val="left" w:pos="539" w:leader="none"/>
                <w:tab w:val="left" w:pos="1134" w:leader="none"/>
              </w:tabs>
              <w:ind w:hanging="0" w:start="79"/>
              <w:jc w:val="both"/>
              <w:rPr>
                <w:rFonts w:eastAsia="Calibri"/>
                <w:sz w:val="23"/>
                <w:szCs w:val="23"/>
                <w:lang w:eastAsia="zh-CN"/>
              </w:rPr>
            </w:pPr>
            <w:r>
              <w:rPr>
                <w:rFonts w:eastAsia="Calibri"/>
                <w:sz w:val="23"/>
                <w:szCs w:val="23"/>
                <w:lang w:eastAsia="zh-CN"/>
              </w:rPr>
              <w:t xml:space="preserve">Запросы на документацию, получение информации о работе СПО-112, УСПО-112, 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-436" w:leader="none"/>
                <w:tab w:val="left" w:pos="539" w:leader="none"/>
                <w:tab w:val="left" w:pos="1134" w:leader="none"/>
              </w:tabs>
              <w:ind w:hanging="0" w:start="79"/>
              <w:jc w:val="both"/>
              <w:rPr>
                <w:rFonts w:eastAsia="Calibri"/>
                <w:sz w:val="23"/>
                <w:szCs w:val="23"/>
                <w:lang w:eastAsia="zh-CN"/>
              </w:rPr>
            </w:pPr>
            <w:r>
              <w:rPr>
                <w:rFonts w:eastAsia="Calibri"/>
                <w:sz w:val="23"/>
                <w:szCs w:val="23"/>
                <w:lang w:eastAsia="zh-CN"/>
              </w:rPr>
              <w:t>Запросы на изменение и жалобы по работе СПО-112;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-436" w:leader="none"/>
                <w:tab w:val="left" w:pos="539" w:leader="none"/>
                <w:tab w:val="left" w:pos="1134" w:leader="none"/>
              </w:tabs>
              <w:ind w:hanging="0" w:start="79"/>
              <w:jc w:val="both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Некорректная работа функций, не оговоренных в документации на СПО-112.</w:t>
            </w:r>
          </w:p>
        </w:tc>
      </w:tr>
    </w:tbl>
    <w:p>
      <w:pPr>
        <w:pStyle w:val="Style23"/>
        <w:keepNext w:val="false"/>
        <w:widowControl w:val="false"/>
        <w:tabs>
          <w:tab w:val="clear" w:pos="708"/>
          <w:tab w:val="left" w:pos="1134" w:leader="none"/>
        </w:tabs>
        <w:spacing w:lineRule="auto" w:line="240" w:before="0" w:after="0"/>
        <w:ind w:firstLine="567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>При возникновении проблем критичности «critical» или «important» Заказчик должен продублировать информацию о проблеме по телефону круглосуточной технической поддержки Исполнителя +7 ________________________, а также по электронной почте: ______________________________.</w:t>
      </w:r>
    </w:p>
    <w:p>
      <w:pPr>
        <w:pStyle w:val="Style23"/>
        <w:keepNext w:val="false"/>
        <w:widowControl w:val="false"/>
        <w:tabs>
          <w:tab w:val="clear" w:pos="708"/>
          <w:tab w:val="left" w:pos="1134" w:leader="none"/>
        </w:tabs>
        <w:spacing w:lineRule="auto" w:line="240" w:before="0" w:after="0"/>
        <w:ind w:firstLine="567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>При необходимости после создания обращения, в него могут быть добавлены дополнительные файлы (подробное описание, логи, скринтшот и т.д.). По возможности использовать файлы небольшого размера (&lt; 5 Мбайт, либо предоставлять ссылку на внешний ресурс, откуда может быть извлечен требуемый файл), а также не использовать в названии файла русских символов.</w:t>
      </w:r>
    </w:p>
    <w:p>
      <w:pPr>
        <w:pStyle w:val="Style23"/>
        <w:keepNext w:val="false"/>
        <w:widowControl w:val="false"/>
        <w:tabs>
          <w:tab w:val="clear" w:pos="708"/>
          <w:tab w:val="left" w:pos="1134" w:leader="none"/>
        </w:tabs>
        <w:spacing w:lineRule="auto" w:line="240" w:before="0" w:after="0"/>
        <w:ind w:firstLine="567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>Сторона, которой стало известно о наличии ошибки в СПО-112, УСПО-112 обязана сообщить об этом другой Стороне в течение 6 (шести) часов путем размещения соответствующего сообщения в системе СУИ, или другими альтернативными каналами связи.</w:t>
      </w:r>
    </w:p>
    <w:p>
      <w:pPr>
        <w:pStyle w:val="Style23"/>
        <w:keepNext w:val="false"/>
        <w:widowControl w:val="false"/>
        <w:tabs>
          <w:tab w:val="clear" w:pos="708"/>
          <w:tab w:val="left" w:pos="1134" w:leader="none"/>
        </w:tabs>
        <w:spacing w:lineRule="auto" w:line="240" w:before="0" w:after="0"/>
        <w:ind w:firstLine="567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>Заказчик имеет право изменить приоритет заявки. На изменение приоритета уполномочен начальник отдела технической поддержки «Система-112».</w:t>
      </w:r>
    </w:p>
    <w:p>
      <w:pPr>
        <w:pStyle w:val="Heading2"/>
        <w:keepNext w:val="false"/>
        <w:keepLines w:val="false"/>
        <w:widowControl w:val="false"/>
        <w:numPr>
          <w:ilvl w:val="1"/>
          <w:numId w:val="26"/>
        </w:numPr>
        <w:tabs>
          <w:tab w:val="clear" w:pos="708"/>
          <w:tab w:val="left" w:pos="1134" w:leader="none"/>
        </w:tabs>
        <w:spacing w:lineRule="auto" w:line="240" w:before="0" w:after="0"/>
        <w:ind w:firstLine="567" w:start="0"/>
        <w:rPr>
          <w:sz w:val="23"/>
          <w:szCs w:val="23"/>
        </w:rPr>
      </w:pPr>
      <w:bookmarkStart w:id="63" w:name="_Toc795062"/>
      <w:r>
        <w:rPr>
          <w:sz w:val="23"/>
          <w:szCs w:val="23"/>
        </w:rPr>
        <w:t>Статусы обращений</w:t>
      </w:r>
      <w:bookmarkEnd w:id="63"/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В СУИ Исполнителя должны быть предусмотрены следующие статусы работы по обращениям:</w:t>
      </w:r>
    </w:p>
    <w:p>
      <w:pPr>
        <w:pStyle w:val="Style24"/>
        <w:widowControl w:val="false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40" w:before="0" w:after="0"/>
        <w:ind w:firstLine="567"/>
        <w:rPr>
          <w:rFonts w:cs="Times New Roman"/>
          <w:sz w:val="23"/>
          <w:szCs w:val="23"/>
          <w:lang w:eastAsia="ru-RU"/>
        </w:rPr>
      </w:pPr>
      <w:r>
        <w:rPr>
          <w:rFonts w:cs="Times New Roman"/>
          <w:sz w:val="23"/>
          <w:szCs w:val="23"/>
          <w:lang w:eastAsia="ru-RU"/>
        </w:rPr>
        <w:t>New (новая) – обращение создается сотрудниками Заказчика (или Исполнителя, если информация о проблеме передана другим способом);</w:t>
      </w:r>
    </w:p>
    <w:p>
      <w:pPr>
        <w:pStyle w:val="Style24"/>
        <w:widowControl w:val="false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40" w:before="0" w:after="0"/>
        <w:ind w:firstLine="567"/>
        <w:rPr>
          <w:rFonts w:cs="Times New Roman"/>
          <w:sz w:val="23"/>
          <w:szCs w:val="23"/>
          <w:lang w:eastAsia="ru-RU"/>
        </w:rPr>
      </w:pPr>
      <w:r>
        <w:rPr>
          <w:rFonts w:cs="Times New Roman"/>
          <w:sz w:val="23"/>
          <w:szCs w:val="23"/>
          <w:lang w:eastAsia="ru-RU"/>
        </w:rPr>
        <w:t>Open (открыта) – обращение открывается сотрудниками Исполнителя для анализа и исправления (время прошедшее с момента создания обращения и его открытием регламентируется сроками реагирования SLA в зависимости от приоритета обращения);</w:t>
      </w:r>
    </w:p>
    <w:p>
      <w:pPr>
        <w:pStyle w:val="Style24"/>
        <w:widowControl w:val="false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40" w:before="0" w:after="0"/>
        <w:ind w:firstLine="567"/>
        <w:rPr>
          <w:rFonts w:cs="Times New Roman"/>
          <w:sz w:val="23"/>
          <w:szCs w:val="23"/>
          <w:lang w:eastAsia="ru-RU"/>
        </w:rPr>
      </w:pPr>
      <w:r>
        <w:rPr>
          <w:rFonts w:cs="Times New Roman"/>
          <w:sz w:val="23"/>
          <w:szCs w:val="23"/>
          <w:lang w:eastAsia="ru-RU"/>
        </w:rPr>
        <w:t>Inprocess (в работе) причины Обращения установлены, Обращение передано на реализацию;</w:t>
      </w:r>
    </w:p>
    <w:p>
      <w:pPr>
        <w:pStyle w:val="Style24"/>
        <w:widowControl w:val="false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40" w:before="0" w:after="0"/>
        <w:ind w:firstLine="567"/>
        <w:rPr>
          <w:rFonts w:cs="Times New Roman"/>
          <w:sz w:val="23"/>
          <w:szCs w:val="23"/>
          <w:lang w:eastAsia="ru-RU"/>
        </w:rPr>
      </w:pPr>
      <w:r>
        <w:rPr>
          <w:rFonts w:cs="Times New Roman"/>
          <w:sz w:val="23"/>
          <w:szCs w:val="23"/>
          <w:lang w:eastAsia="ru-RU"/>
        </w:rPr>
        <w:t>Done (выполнено) – обращение закрывается сотрудниками Исполнителя после исправления;</w:t>
      </w:r>
    </w:p>
    <w:p>
      <w:pPr>
        <w:pStyle w:val="Style24"/>
        <w:widowControl w:val="false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40" w:before="0" w:after="0"/>
        <w:ind w:firstLine="567"/>
        <w:rPr>
          <w:rFonts w:cs="Times New Roman"/>
          <w:sz w:val="23"/>
          <w:szCs w:val="23"/>
          <w:lang w:eastAsia="ru-RU"/>
        </w:rPr>
      </w:pPr>
      <w:r>
        <w:rPr>
          <w:rFonts w:cs="Times New Roman"/>
          <w:sz w:val="23"/>
          <w:szCs w:val="23"/>
          <w:lang w:eastAsia="ru-RU"/>
        </w:rPr>
        <w:t xml:space="preserve">Localtest (тестирование ПО) – данный статус определяет, что по открытому обращению </w:t>
        <w:br/>
        <w:t>в рамках запросов к отделам разработки были подготовлены новые версии ПО, а сотрудники технической поддержки Исполнителя приступили к тестированию;</w:t>
      </w:r>
    </w:p>
    <w:p>
      <w:pPr>
        <w:pStyle w:val="Style24"/>
        <w:widowControl w:val="false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40" w:before="0" w:after="0"/>
        <w:ind w:firstLine="567"/>
        <w:rPr>
          <w:rFonts w:cs="Times New Roman"/>
          <w:sz w:val="23"/>
          <w:szCs w:val="23"/>
          <w:lang w:eastAsia="ru-RU"/>
        </w:rPr>
      </w:pPr>
      <w:r>
        <w:rPr>
          <w:rFonts w:cs="Times New Roman"/>
          <w:sz w:val="23"/>
          <w:szCs w:val="23"/>
          <w:lang w:eastAsia="ru-RU"/>
        </w:rPr>
        <w:t>Customertest (тестирование Заказчиком) – исправление проблемы проверяется сотрудниками Заказчика (если проблема не исправлена, то сотрудники Заказчика должны сообщить дополнительную информацию по проблеме и изменить статус обращения на Open);</w:t>
      </w:r>
    </w:p>
    <w:p>
      <w:pPr>
        <w:pStyle w:val="Style24"/>
        <w:widowControl w:val="false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40" w:before="0" w:after="0"/>
        <w:ind w:firstLine="567"/>
        <w:rPr>
          <w:rFonts w:cs="Times New Roman"/>
          <w:sz w:val="23"/>
          <w:szCs w:val="23"/>
          <w:lang w:eastAsia="ru-RU"/>
        </w:rPr>
      </w:pPr>
      <w:r>
        <w:rPr>
          <w:rFonts w:cs="Times New Roman"/>
          <w:sz w:val="23"/>
          <w:szCs w:val="23"/>
          <w:lang w:eastAsia="ru-RU"/>
        </w:rPr>
        <w:t>Verified (подтверждена) – исправление проблемы подтверждается сотрудниками Заказчика (если проблема не исправлена, то сотрудники Заказчика должны сообщить дополнительную информацию по проблеме и изменить статус обращения на Open).</w:t>
      </w:r>
    </w:p>
    <w:p>
      <w:pPr>
        <w:pStyle w:val="Heading2"/>
        <w:keepNext w:val="false"/>
        <w:keepLines w:val="false"/>
        <w:widowControl w:val="false"/>
        <w:numPr>
          <w:ilvl w:val="1"/>
          <w:numId w:val="26"/>
        </w:numPr>
        <w:tabs>
          <w:tab w:val="clear" w:pos="708"/>
          <w:tab w:val="left" w:pos="1134" w:leader="none"/>
        </w:tabs>
        <w:spacing w:lineRule="auto" w:line="240" w:before="0" w:after="0"/>
        <w:ind w:firstLine="567" w:start="0"/>
        <w:rPr>
          <w:sz w:val="23"/>
          <w:szCs w:val="23"/>
        </w:rPr>
      </w:pPr>
      <w:bookmarkStart w:id="64" w:name="_Toc795063"/>
      <w:r>
        <w:rPr>
          <w:sz w:val="23"/>
          <w:szCs w:val="23"/>
        </w:rPr>
        <w:t>Регламентные сроки реакции и устранения</w:t>
      </w:r>
      <w:bookmarkEnd w:id="64"/>
    </w:p>
    <w:p>
      <w:pPr>
        <w:pStyle w:val="Style23"/>
        <w:keepNext w:val="false"/>
        <w:widowControl w:val="false"/>
        <w:tabs>
          <w:tab w:val="clear" w:pos="708"/>
          <w:tab w:val="left" w:pos="1134" w:leader="none"/>
        </w:tabs>
        <w:spacing w:lineRule="auto" w:line="240" w:before="0" w:after="0"/>
        <w:ind w:firstLine="567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 xml:space="preserve">Время реагирования – время, прошедшее с момента поступления заявки в службу технической поддержки (регистрации заявки в статусе «Новая») до момента ее перевода в статус «В работе» или «Отклонено» (если из статуса «Отклонено» обращение было переведено в статус «Закрыто»). Если из статуса «Отклонено» заявка переведена в статус «Открыта повторно», </w:t>
        <w:br/>
        <w:t>во времени реагирования не учитывается период нахождения заявки в статусе «Отклонено».</w:t>
      </w:r>
    </w:p>
    <w:p>
      <w:pPr>
        <w:pStyle w:val="Style23"/>
        <w:keepNext w:val="false"/>
        <w:widowControl w:val="false"/>
        <w:tabs>
          <w:tab w:val="clear" w:pos="708"/>
          <w:tab w:val="left" w:pos="1134" w:leader="none"/>
        </w:tabs>
        <w:spacing w:lineRule="auto" w:line="240" w:before="0" w:after="0"/>
        <w:ind w:firstLine="567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 xml:space="preserve">Время решения проблемы — время, прошедшее с момента перевода заявки в статус </w:t>
        <w:br/>
        <w:t xml:space="preserve">«В работе» до момента перевода в статус «Закрыто», не учитывая времени нахождения заявки </w:t>
        <w:br/>
        <w:t>в статусе «Приемка: в работе».</w:t>
      </w:r>
    </w:p>
    <w:p>
      <w:pPr>
        <w:pStyle w:val="Style23"/>
        <w:keepNext w:val="false"/>
        <w:widowControl w:val="false"/>
        <w:tabs>
          <w:tab w:val="clear" w:pos="708"/>
          <w:tab w:val="left" w:pos="1134" w:leader="none"/>
        </w:tabs>
        <w:spacing w:lineRule="auto" w:line="240" w:before="0" w:after="0"/>
        <w:ind w:firstLine="567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>Временные характеристики реакции и устранения по запросам пользователей в зависимости от степени приоритета проблемы приведены ниже, Таблица 3.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sz w:val="23"/>
          <w:szCs w:val="23"/>
        </w:rPr>
      </w:pPr>
      <w:bookmarkStart w:id="65" w:name="_Ref546943"/>
      <w:r>
        <w:rPr>
          <w:sz w:val="23"/>
          <w:szCs w:val="23"/>
        </w:rPr>
        <w:t>Таблица 3</w:t>
      </w:r>
      <w:bookmarkEnd w:id="65"/>
      <w:r>
        <w:rPr>
          <w:sz w:val="23"/>
          <w:szCs w:val="23"/>
        </w:rPr>
        <w:t xml:space="preserve"> – Временные характеристики реакции и устранения по запросам пользователей (SLA)</w:t>
      </w:r>
    </w:p>
    <w:tbl>
      <w:tblPr>
        <w:tblW w:w="10066" w:type="dxa"/>
        <w:jc w:val="start"/>
        <w:tblInd w:w="-4" w:type="dxa"/>
        <w:tblLayout w:type="fixed"/>
        <w:tblCellMar>
          <w:top w:w="55" w:type="dxa"/>
          <w:start w:w="42" w:type="dxa"/>
          <w:bottom w:w="55" w:type="dxa"/>
          <w:end w:w="55" w:type="dxa"/>
        </w:tblCellMar>
        <w:tblLook w:val="04a0" w:noHBand="0" w:noVBand="1" w:firstColumn="1" w:lastRow="0" w:lastColumn="0" w:firstRow="1"/>
      </w:tblPr>
      <w:tblGrid>
        <w:gridCol w:w="5050"/>
        <w:gridCol w:w="5015"/>
      </w:tblGrid>
      <w:tr>
        <w:trPr/>
        <w:tc>
          <w:tcPr>
            <w:tcW w:w="10065" w:type="dxa"/>
            <w:gridSpan w:val="2"/>
            <w:tcBorders>
              <w:top w:val="single" w:sz="2" w:space="0" w:color="000001"/>
              <w:start w:val="single" w:sz="2" w:space="0" w:color="000001"/>
              <w:bottom w:val="single" w:sz="2" w:space="0" w:color="000001"/>
              <w:end w:val="single" w:sz="2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contextualSpacing/>
              <w:rPr>
                <w:rFonts w:eastAsia="Calibri"/>
                <w:b/>
                <w:color w:val="00000A"/>
                <w:sz w:val="23"/>
                <w:szCs w:val="23"/>
                <w:lang w:eastAsia="zh-CN"/>
              </w:rPr>
            </w:pPr>
            <w:r>
              <w:rPr>
                <w:rFonts w:eastAsia="Calibri"/>
                <w:b/>
                <w:color w:val="00000A"/>
                <w:sz w:val="23"/>
                <w:szCs w:val="23"/>
                <w:lang w:eastAsia="zh-CN"/>
              </w:rPr>
              <w:t>Степень приоритета 1</w:t>
            </w:r>
          </w:p>
        </w:tc>
      </w:tr>
      <w:tr>
        <w:trPr/>
        <w:tc>
          <w:tcPr>
            <w:tcW w:w="5050" w:type="dxa"/>
            <w:tcBorders>
              <w:top w:val="single" w:sz="2" w:space="0" w:color="000001"/>
              <w:start w:val="single" w:sz="2" w:space="0" w:color="000001"/>
              <w:bottom w:val="single" w:sz="2" w:space="0" w:color="000001"/>
              <w:end w:val="single" w:sz="2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rFonts w:eastAsia="Calibri"/>
                <w:color w:val="00000A"/>
                <w:sz w:val="23"/>
                <w:szCs w:val="23"/>
                <w:lang w:eastAsia="zh-CN"/>
              </w:rPr>
            </w:pPr>
            <w:r>
              <w:rPr>
                <w:rFonts w:eastAsia="Calibri"/>
                <w:color w:val="00000A"/>
                <w:sz w:val="23"/>
                <w:szCs w:val="23"/>
                <w:lang w:eastAsia="zh-CN"/>
              </w:rPr>
              <w:t>Предоставляется</w:t>
            </w:r>
          </w:p>
        </w:tc>
        <w:tc>
          <w:tcPr>
            <w:tcW w:w="5015" w:type="dxa"/>
            <w:tcBorders>
              <w:top w:val="single" w:sz="2" w:space="0" w:color="000001"/>
              <w:start w:val="single" w:sz="2" w:space="0" w:color="000001"/>
              <w:bottom w:val="single" w:sz="2" w:space="0" w:color="000001"/>
              <w:end w:val="single" w:sz="2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contextualSpacing/>
              <w:rPr>
                <w:rFonts w:eastAsia="Calibri"/>
                <w:color w:val="00000A"/>
                <w:sz w:val="23"/>
                <w:szCs w:val="23"/>
                <w:lang w:eastAsia="zh-CN"/>
              </w:rPr>
            </w:pPr>
            <w:r>
              <w:rPr>
                <w:rFonts w:eastAsia="Calibri"/>
                <w:color w:val="00000A"/>
                <w:sz w:val="23"/>
                <w:szCs w:val="23"/>
                <w:lang w:eastAsia="zh-CN"/>
              </w:rPr>
              <w:t>24 часа в сутки, 365 дней в году</w:t>
            </w:r>
          </w:p>
        </w:tc>
      </w:tr>
      <w:tr>
        <w:trPr/>
        <w:tc>
          <w:tcPr>
            <w:tcW w:w="5050" w:type="dxa"/>
            <w:tcBorders>
              <w:top w:val="single" w:sz="2" w:space="0" w:color="000001"/>
              <w:start w:val="single" w:sz="2" w:space="0" w:color="000001"/>
              <w:bottom w:val="single" w:sz="2" w:space="0" w:color="000001"/>
              <w:end w:val="single" w:sz="2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rFonts w:eastAsia="Calibri"/>
                <w:color w:val="00000A"/>
                <w:sz w:val="23"/>
                <w:szCs w:val="23"/>
                <w:lang w:eastAsia="zh-CN"/>
              </w:rPr>
            </w:pPr>
            <w:r>
              <w:rPr>
                <w:rFonts w:eastAsia="Calibri"/>
                <w:color w:val="00000A"/>
                <w:sz w:val="23"/>
                <w:szCs w:val="23"/>
                <w:lang w:eastAsia="zh-CN"/>
              </w:rPr>
              <w:t>Время реагирования</w:t>
            </w:r>
          </w:p>
        </w:tc>
        <w:tc>
          <w:tcPr>
            <w:tcW w:w="5015" w:type="dxa"/>
            <w:tcBorders>
              <w:top w:val="single" w:sz="2" w:space="0" w:color="000001"/>
              <w:start w:val="single" w:sz="2" w:space="0" w:color="000001"/>
              <w:bottom w:val="single" w:sz="2" w:space="0" w:color="000001"/>
              <w:end w:val="single" w:sz="2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contextualSpacing/>
              <w:rPr>
                <w:rFonts w:eastAsia="Calibri"/>
                <w:color w:val="00000A"/>
                <w:sz w:val="23"/>
                <w:szCs w:val="23"/>
                <w:lang w:eastAsia="zh-CN"/>
              </w:rPr>
            </w:pPr>
            <w:r>
              <w:rPr>
                <w:rFonts w:eastAsia="Arial"/>
                <w:color w:val="00000A"/>
                <w:sz w:val="23"/>
                <w:szCs w:val="23"/>
                <w:lang w:eastAsia="zh-CN"/>
              </w:rPr>
              <w:t>≤</w:t>
            </w:r>
            <w:r>
              <w:rPr>
                <w:rFonts w:eastAsia="Symbol"/>
                <w:color w:val="00000A"/>
                <w:sz w:val="23"/>
                <w:szCs w:val="23"/>
                <w:lang w:eastAsia="zh-CN"/>
              </w:rPr>
              <w:t>60</w:t>
            </w:r>
            <w:r>
              <w:rPr>
                <w:rFonts w:eastAsia="Calibri"/>
                <w:color w:val="00000A"/>
                <w:sz w:val="23"/>
                <w:szCs w:val="23"/>
                <w:lang w:eastAsia="zh-CN"/>
              </w:rPr>
              <w:t xml:space="preserve"> минут</w:t>
            </w:r>
          </w:p>
        </w:tc>
      </w:tr>
      <w:tr>
        <w:trPr/>
        <w:tc>
          <w:tcPr>
            <w:tcW w:w="5050" w:type="dxa"/>
            <w:tcBorders>
              <w:top w:val="single" w:sz="2" w:space="0" w:color="000001"/>
              <w:start w:val="single" w:sz="2" w:space="0" w:color="000001"/>
              <w:bottom w:val="single" w:sz="2" w:space="0" w:color="000001"/>
              <w:end w:val="single" w:sz="2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rFonts w:eastAsia="Calibri"/>
                <w:color w:val="00000A"/>
                <w:sz w:val="23"/>
                <w:szCs w:val="23"/>
                <w:lang w:eastAsia="zh-CN"/>
              </w:rPr>
            </w:pPr>
            <w:r>
              <w:rPr>
                <w:rFonts w:eastAsia="Calibri"/>
                <w:color w:val="00000A"/>
                <w:sz w:val="23"/>
                <w:szCs w:val="23"/>
                <w:lang w:eastAsia="zh-CN"/>
              </w:rPr>
              <w:t>Дистанционное диагностирование</w:t>
            </w:r>
          </w:p>
        </w:tc>
        <w:tc>
          <w:tcPr>
            <w:tcW w:w="5015" w:type="dxa"/>
            <w:tcBorders>
              <w:top w:val="single" w:sz="2" w:space="0" w:color="000001"/>
              <w:start w:val="single" w:sz="2" w:space="0" w:color="000001"/>
              <w:bottom w:val="single" w:sz="2" w:space="0" w:color="000001"/>
              <w:end w:val="single" w:sz="2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contextualSpacing/>
              <w:rPr>
                <w:rFonts w:eastAsia="Calibri"/>
                <w:color w:val="00000A"/>
                <w:sz w:val="23"/>
                <w:szCs w:val="23"/>
                <w:lang w:eastAsia="zh-CN"/>
              </w:rPr>
            </w:pPr>
            <w:r>
              <w:rPr>
                <w:rFonts w:eastAsia="Calibri"/>
                <w:color w:val="00000A"/>
                <w:sz w:val="23"/>
                <w:szCs w:val="23"/>
                <w:lang w:eastAsia="zh-CN"/>
              </w:rPr>
              <w:t>при наличии возможности</w:t>
            </w:r>
          </w:p>
        </w:tc>
      </w:tr>
      <w:tr>
        <w:trPr/>
        <w:tc>
          <w:tcPr>
            <w:tcW w:w="5050" w:type="dxa"/>
            <w:tcBorders>
              <w:top w:val="single" w:sz="2" w:space="0" w:color="000001"/>
              <w:start w:val="single" w:sz="2" w:space="0" w:color="000001"/>
              <w:bottom w:val="single" w:sz="2" w:space="0" w:color="000001"/>
              <w:end w:val="single" w:sz="2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contextualSpacing/>
              <w:rPr>
                <w:rFonts w:eastAsia="Calibri"/>
                <w:color w:val="00000A"/>
                <w:sz w:val="23"/>
                <w:szCs w:val="23"/>
                <w:lang w:eastAsia="zh-CN"/>
              </w:rPr>
            </w:pPr>
            <w:r>
              <w:rPr>
                <w:rFonts w:eastAsia="Calibri"/>
                <w:color w:val="00000A"/>
                <w:sz w:val="23"/>
                <w:szCs w:val="23"/>
                <w:lang w:eastAsia="zh-CN"/>
              </w:rPr>
              <w:t>Время восстановления работоспособности системы</w:t>
            </w:r>
          </w:p>
        </w:tc>
        <w:tc>
          <w:tcPr>
            <w:tcW w:w="5015" w:type="dxa"/>
            <w:tcBorders>
              <w:top w:val="single" w:sz="2" w:space="0" w:color="000001"/>
              <w:start w:val="single" w:sz="2" w:space="0" w:color="000001"/>
              <w:bottom w:val="single" w:sz="2" w:space="0" w:color="000001"/>
              <w:end w:val="single" w:sz="2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contextualSpacing/>
              <w:rPr>
                <w:rFonts w:eastAsia="Calibri"/>
                <w:color w:val="00000A"/>
                <w:sz w:val="23"/>
                <w:szCs w:val="23"/>
                <w:lang w:eastAsia="zh-CN"/>
              </w:rPr>
            </w:pPr>
            <w:r>
              <w:rPr>
                <w:rFonts w:eastAsia="Arial"/>
                <w:color w:val="00000A"/>
                <w:sz w:val="23"/>
                <w:szCs w:val="23"/>
                <w:lang w:eastAsia="zh-CN"/>
              </w:rPr>
              <w:t>≤</w:t>
            </w:r>
            <w:r>
              <w:rPr>
                <w:rFonts w:eastAsia="Calibri"/>
                <w:color w:val="00000A"/>
                <w:sz w:val="23"/>
                <w:szCs w:val="23"/>
                <w:lang w:eastAsia="zh-CN"/>
              </w:rPr>
              <w:t>4 часов</w:t>
            </w:r>
          </w:p>
        </w:tc>
      </w:tr>
      <w:tr>
        <w:trPr/>
        <w:tc>
          <w:tcPr>
            <w:tcW w:w="5050" w:type="dxa"/>
            <w:tcBorders>
              <w:top w:val="single" w:sz="2" w:space="0" w:color="000001"/>
              <w:start w:val="single" w:sz="2" w:space="0" w:color="000001"/>
              <w:bottom w:val="single" w:sz="2" w:space="0" w:color="000001"/>
              <w:end w:val="single" w:sz="2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rFonts w:eastAsia="Calibri"/>
                <w:color w:val="00000A"/>
                <w:sz w:val="23"/>
                <w:szCs w:val="23"/>
                <w:lang w:eastAsia="zh-CN"/>
              </w:rPr>
            </w:pPr>
            <w:r>
              <w:rPr>
                <w:rFonts w:eastAsia="Calibri"/>
                <w:color w:val="00000A"/>
                <w:sz w:val="23"/>
                <w:szCs w:val="23"/>
                <w:lang w:eastAsia="zh-CN"/>
              </w:rPr>
              <w:t>Время решения проблемы</w:t>
            </w:r>
          </w:p>
        </w:tc>
        <w:tc>
          <w:tcPr>
            <w:tcW w:w="5015" w:type="dxa"/>
            <w:tcBorders>
              <w:top w:val="single" w:sz="2" w:space="0" w:color="000001"/>
              <w:start w:val="single" w:sz="2" w:space="0" w:color="000001"/>
              <w:bottom w:val="single" w:sz="2" w:space="0" w:color="000001"/>
              <w:end w:val="single" w:sz="2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contextualSpacing/>
              <w:rPr>
                <w:rFonts w:eastAsia="Calibri"/>
                <w:color w:val="00000A"/>
                <w:sz w:val="23"/>
                <w:szCs w:val="23"/>
                <w:lang w:eastAsia="zh-CN"/>
              </w:rPr>
            </w:pPr>
            <w:r>
              <w:rPr>
                <w:rFonts w:eastAsia="Arial"/>
                <w:color w:val="00000A"/>
                <w:sz w:val="23"/>
                <w:szCs w:val="23"/>
                <w:lang w:eastAsia="zh-CN"/>
              </w:rPr>
              <w:t>≤</w:t>
            </w:r>
            <w:r>
              <w:rPr>
                <w:rFonts w:eastAsia="Calibri"/>
                <w:color w:val="00000A"/>
                <w:sz w:val="23"/>
                <w:szCs w:val="23"/>
                <w:lang w:eastAsia="zh-CN"/>
              </w:rPr>
              <w:t>72 часов</w:t>
            </w:r>
          </w:p>
        </w:tc>
      </w:tr>
      <w:tr>
        <w:trPr/>
        <w:tc>
          <w:tcPr>
            <w:tcW w:w="10065" w:type="dxa"/>
            <w:gridSpan w:val="2"/>
            <w:tcBorders>
              <w:top w:val="single" w:sz="2" w:space="0" w:color="000001"/>
              <w:start w:val="single" w:sz="2" w:space="0" w:color="000001"/>
              <w:bottom w:val="single" w:sz="2" w:space="0" w:color="000001"/>
              <w:end w:val="single" w:sz="2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contextualSpacing/>
              <w:rPr>
                <w:rFonts w:eastAsia="Calibri"/>
                <w:b/>
                <w:color w:val="00000A"/>
                <w:sz w:val="23"/>
                <w:szCs w:val="23"/>
                <w:lang w:eastAsia="zh-CN"/>
              </w:rPr>
            </w:pPr>
            <w:r>
              <w:rPr>
                <w:rFonts w:eastAsia="Calibri"/>
                <w:b/>
                <w:color w:val="00000A"/>
                <w:sz w:val="23"/>
                <w:szCs w:val="23"/>
                <w:lang w:eastAsia="zh-CN"/>
              </w:rPr>
              <w:t>Степень приоритета 2</w:t>
            </w:r>
          </w:p>
        </w:tc>
      </w:tr>
      <w:tr>
        <w:trPr/>
        <w:tc>
          <w:tcPr>
            <w:tcW w:w="5050" w:type="dxa"/>
            <w:tcBorders>
              <w:top w:val="single" w:sz="2" w:space="0" w:color="000001"/>
              <w:start w:val="single" w:sz="2" w:space="0" w:color="000001"/>
              <w:bottom w:val="single" w:sz="2" w:space="0" w:color="000001"/>
              <w:end w:val="single" w:sz="2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rFonts w:eastAsia="Calibri"/>
                <w:color w:val="00000A"/>
                <w:sz w:val="23"/>
                <w:szCs w:val="23"/>
                <w:lang w:eastAsia="zh-CN"/>
              </w:rPr>
            </w:pPr>
            <w:r>
              <w:rPr>
                <w:rFonts w:eastAsia="Calibri"/>
                <w:color w:val="00000A"/>
                <w:sz w:val="23"/>
                <w:szCs w:val="23"/>
                <w:lang w:eastAsia="zh-CN"/>
              </w:rPr>
              <w:t>Предоставляется</w:t>
            </w:r>
          </w:p>
        </w:tc>
        <w:tc>
          <w:tcPr>
            <w:tcW w:w="5015" w:type="dxa"/>
            <w:tcBorders>
              <w:top w:val="single" w:sz="2" w:space="0" w:color="000001"/>
              <w:start w:val="single" w:sz="2" w:space="0" w:color="000001"/>
              <w:bottom w:val="single" w:sz="2" w:space="0" w:color="000001"/>
              <w:end w:val="single" w:sz="2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contextualSpacing/>
              <w:rPr>
                <w:rFonts w:eastAsia="Calibri"/>
                <w:color w:val="00000A"/>
                <w:sz w:val="23"/>
                <w:szCs w:val="23"/>
                <w:lang w:eastAsia="zh-CN"/>
              </w:rPr>
            </w:pPr>
            <w:r>
              <w:rPr>
                <w:rFonts w:eastAsia="Calibri"/>
                <w:color w:val="00000A"/>
                <w:sz w:val="23"/>
                <w:szCs w:val="23"/>
                <w:lang w:eastAsia="zh-CN"/>
              </w:rPr>
              <w:t>24 часа в сутки, 365 дней в году</w:t>
            </w:r>
          </w:p>
        </w:tc>
      </w:tr>
      <w:tr>
        <w:trPr/>
        <w:tc>
          <w:tcPr>
            <w:tcW w:w="5050" w:type="dxa"/>
            <w:tcBorders>
              <w:top w:val="single" w:sz="2" w:space="0" w:color="000001"/>
              <w:start w:val="single" w:sz="2" w:space="0" w:color="000001"/>
              <w:bottom w:val="single" w:sz="2" w:space="0" w:color="000001"/>
              <w:end w:val="single" w:sz="2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rFonts w:eastAsia="Calibri"/>
                <w:color w:val="00000A"/>
                <w:sz w:val="23"/>
                <w:szCs w:val="23"/>
                <w:lang w:eastAsia="zh-CN"/>
              </w:rPr>
            </w:pPr>
            <w:r>
              <w:rPr>
                <w:rFonts w:eastAsia="Calibri"/>
                <w:color w:val="00000A"/>
                <w:sz w:val="23"/>
                <w:szCs w:val="23"/>
                <w:lang w:eastAsia="zh-CN"/>
              </w:rPr>
              <w:t>Время реагирования</w:t>
            </w:r>
          </w:p>
        </w:tc>
        <w:tc>
          <w:tcPr>
            <w:tcW w:w="5015" w:type="dxa"/>
            <w:tcBorders>
              <w:top w:val="single" w:sz="2" w:space="0" w:color="000001"/>
              <w:start w:val="single" w:sz="2" w:space="0" w:color="000001"/>
              <w:bottom w:val="single" w:sz="2" w:space="0" w:color="000001"/>
              <w:end w:val="single" w:sz="2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contextualSpacing/>
              <w:rPr>
                <w:rFonts w:eastAsia="Calibri"/>
                <w:color w:val="00000A"/>
                <w:sz w:val="23"/>
                <w:szCs w:val="23"/>
                <w:lang w:eastAsia="zh-CN"/>
              </w:rPr>
            </w:pPr>
            <w:r>
              <w:rPr>
                <w:rFonts w:eastAsia="Arial"/>
                <w:color w:val="00000A"/>
                <w:sz w:val="23"/>
                <w:szCs w:val="23"/>
                <w:lang w:eastAsia="zh-CN"/>
              </w:rPr>
              <w:t>≤</w:t>
            </w:r>
            <w:r>
              <w:rPr>
                <w:rFonts w:eastAsia="Calibri"/>
                <w:color w:val="00000A"/>
                <w:sz w:val="23"/>
                <w:szCs w:val="23"/>
                <w:lang w:val="en-US" w:eastAsia="zh-CN"/>
              </w:rPr>
              <w:t>2</w:t>
            </w:r>
            <w:r>
              <w:rPr>
                <w:rFonts w:eastAsia="Calibri"/>
                <w:color w:val="00000A"/>
                <w:sz w:val="23"/>
                <w:szCs w:val="23"/>
                <w:lang w:eastAsia="zh-CN"/>
              </w:rPr>
              <w:t xml:space="preserve"> часа</w:t>
            </w:r>
          </w:p>
        </w:tc>
      </w:tr>
      <w:tr>
        <w:trPr/>
        <w:tc>
          <w:tcPr>
            <w:tcW w:w="5050" w:type="dxa"/>
            <w:tcBorders>
              <w:top w:val="single" w:sz="2" w:space="0" w:color="000001"/>
              <w:start w:val="single" w:sz="2" w:space="0" w:color="000001"/>
              <w:bottom w:val="single" w:sz="2" w:space="0" w:color="000001"/>
              <w:end w:val="single" w:sz="2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rFonts w:eastAsia="Calibri"/>
                <w:color w:val="00000A"/>
                <w:sz w:val="23"/>
                <w:szCs w:val="23"/>
                <w:lang w:eastAsia="zh-CN"/>
              </w:rPr>
            </w:pPr>
            <w:r>
              <w:rPr>
                <w:rFonts w:eastAsia="Calibri"/>
                <w:color w:val="00000A"/>
                <w:sz w:val="23"/>
                <w:szCs w:val="23"/>
                <w:lang w:eastAsia="zh-CN"/>
              </w:rPr>
              <w:t>Дистанционное диагностирование</w:t>
            </w:r>
          </w:p>
        </w:tc>
        <w:tc>
          <w:tcPr>
            <w:tcW w:w="5015" w:type="dxa"/>
            <w:tcBorders>
              <w:top w:val="single" w:sz="2" w:space="0" w:color="000001"/>
              <w:start w:val="single" w:sz="2" w:space="0" w:color="000001"/>
              <w:bottom w:val="single" w:sz="2" w:space="0" w:color="000001"/>
              <w:end w:val="single" w:sz="2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contextualSpacing/>
              <w:rPr>
                <w:rFonts w:eastAsia="Calibri"/>
                <w:color w:val="00000A"/>
                <w:sz w:val="23"/>
                <w:szCs w:val="23"/>
                <w:lang w:eastAsia="zh-CN"/>
              </w:rPr>
            </w:pPr>
            <w:r>
              <w:rPr>
                <w:rFonts w:eastAsia="Calibri"/>
                <w:color w:val="00000A"/>
                <w:sz w:val="23"/>
                <w:szCs w:val="23"/>
                <w:lang w:eastAsia="zh-CN"/>
              </w:rPr>
              <w:t>при наличии возможности</w:t>
            </w:r>
          </w:p>
        </w:tc>
      </w:tr>
      <w:tr>
        <w:trPr/>
        <w:tc>
          <w:tcPr>
            <w:tcW w:w="5050" w:type="dxa"/>
            <w:tcBorders>
              <w:top w:val="single" w:sz="2" w:space="0" w:color="000001"/>
              <w:start w:val="single" w:sz="2" w:space="0" w:color="000001"/>
              <w:bottom w:val="single" w:sz="2" w:space="0" w:color="000001"/>
              <w:end w:val="single" w:sz="2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contextualSpacing/>
              <w:rPr>
                <w:rFonts w:eastAsia="Calibri"/>
                <w:color w:val="00000A"/>
                <w:sz w:val="23"/>
                <w:szCs w:val="23"/>
                <w:lang w:eastAsia="zh-CN"/>
              </w:rPr>
            </w:pPr>
            <w:r>
              <w:rPr>
                <w:rFonts w:eastAsia="Calibri"/>
                <w:color w:val="00000A"/>
                <w:sz w:val="23"/>
                <w:szCs w:val="23"/>
                <w:lang w:eastAsia="zh-CN"/>
              </w:rPr>
              <w:t>Время восстановления работоспособности системы</w:t>
            </w:r>
          </w:p>
        </w:tc>
        <w:tc>
          <w:tcPr>
            <w:tcW w:w="5015" w:type="dxa"/>
            <w:tcBorders>
              <w:top w:val="single" w:sz="2" w:space="0" w:color="000001"/>
              <w:start w:val="single" w:sz="2" w:space="0" w:color="000001"/>
              <w:bottom w:val="single" w:sz="2" w:space="0" w:color="000001"/>
              <w:end w:val="single" w:sz="2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contextualSpacing/>
              <w:rPr>
                <w:rFonts w:eastAsia="Calibri"/>
                <w:color w:val="00000A"/>
                <w:sz w:val="23"/>
                <w:szCs w:val="23"/>
                <w:lang w:eastAsia="zh-CN"/>
              </w:rPr>
            </w:pPr>
            <w:r>
              <w:rPr>
                <w:rFonts w:eastAsia="Arial"/>
                <w:color w:val="00000A"/>
                <w:sz w:val="23"/>
                <w:szCs w:val="23"/>
                <w:lang w:eastAsia="zh-CN"/>
              </w:rPr>
              <w:t>≤</w:t>
            </w:r>
            <w:r>
              <w:rPr>
                <w:rFonts w:eastAsia="Calibri"/>
                <w:color w:val="00000A"/>
                <w:sz w:val="23"/>
                <w:szCs w:val="23"/>
                <w:lang w:eastAsia="zh-CN"/>
              </w:rPr>
              <w:t>24 часов</w:t>
            </w:r>
          </w:p>
        </w:tc>
      </w:tr>
      <w:tr>
        <w:trPr/>
        <w:tc>
          <w:tcPr>
            <w:tcW w:w="5050" w:type="dxa"/>
            <w:tcBorders>
              <w:top w:val="single" w:sz="2" w:space="0" w:color="000001"/>
              <w:start w:val="single" w:sz="2" w:space="0" w:color="000001"/>
              <w:bottom w:val="single" w:sz="2" w:space="0" w:color="000001"/>
              <w:end w:val="single" w:sz="2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rFonts w:eastAsia="Calibri"/>
                <w:color w:val="00000A"/>
                <w:sz w:val="23"/>
                <w:szCs w:val="23"/>
                <w:lang w:eastAsia="zh-CN"/>
              </w:rPr>
            </w:pPr>
            <w:r>
              <w:rPr>
                <w:rFonts w:eastAsia="Calibri"/>
                <w:color w:val="00000A"/>
                <w:sz w:val="23"/>
                <w:szCs w:val="23"/>
                <w:lang w:eastAsia="zh-CN"/>
              </w:rPr>
              <w:t>Время решения проблемы</w:t>
            </w:r>
          </w:p>
        </w:tc>
        <w:tc>
          <w:tcPr>
            <w:tcW w:w="5015" w:type="dxa"/>
            <w:tcBorders>
              <w:top w:val="single" w:sz="2" w:space="0" w:color="000001"/>
              <w:start w:val="single" w:sz="2" w:space="0" w:color="000001"/>
              <w:bottom w:val="single" w:sz="2" w:space="0" w:color="000001"/>
              <w:end w:val="single" w:sz="2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contextualSpacing/>
              <w:rPr>
                <w:rFonts w:eastAsia="Calibri"/>
                <w:color w:val="00000A"/>
                <w:sz w:val="23"/>
                <w:szCs w:val="23"/>
                <w:lang w:eastAsia="zh-CN"/>
              </w:rPr>
            </w:pPr>
            <w:r>
              <w:rPr>
                <w:rFonts w:eastAsia="Arial"/>
                <w:color w:val="00000A"/>
                <w:sz w:val="23"/>
                <w:szCs w:val="23"/>
                <w:lang w:val="en-US" w:eastAsia="zh-CN"/>
              </w:rPr>
              <w:t>≤</w:t>
            </w:r>
            <w:r>
              <w:rPr>
                <w:rFonts w:eastAsia="Calibri"/>
                <w:color w:val="00000A"/>
                <w:sz w:val="23"/>
                <w:szCs w:val="23"/>
                <w:lang w:eastAsia="zh-CN"/>
              </w:rPr>
              <w:t>72 часа</w:t>
            </w:r>
          </w:p>
        </w:tc>
      </w:tr>
      <w:tr>
        <w:trPr/>
        <w:tc>
          <w:tcPr>
            <w:tcW w:w="10065" w:type="dxa"/>
            <w:gridSpan w:val="2"/>
            <w:tcBorders>
              <w:top w:val="single" w:sz="2" w:space="0" w:color="000001"/>
              <w:start w:val="single" w:sz="2" w:space="0" w:color="000001"/>
              <w:bottom w:val="single" w:sz="2" w:space="0" w:color="000001"/>
              <w:end w:val="single" w:sz="2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contextualSpacing/>
              <w:rPr>
                <w:rFonts w:eastAsia="Arial"/>
                <w:b/>
                <w:bCs/>
                <w:color w:val="00000A"/>
                <w:sz w:val="23"/>
                <w:szCs w:val="23"/>
                <w:lang w:eastAsia="zh-CN"/>
              </w:rPr>
            </w:pPr>
            <w:r>
              <w:rPr>
                <w:rFonts w:eastAsia="Arial"/>
                <w:b/>
                <w:bCs/>
                <w:color w:val="00000A"/>
                <w:sz w:val="23"/>
                <w:szCs w:val="23"/>
                <w:lang w:eastAsia="zh-CN"/>
              </w:rPr>
              <w:t>Степень приоритета 3</w:t>
            </w:r>
          </w:p>
        </w:tc>
      </w:tr>
      <w:tr>
        <w:trPr/>
        <w:tc>
          <w:tcPr>
            <w:tcW w:w="5050" w:type="dxa"/>
            <w:tcBorders>
              <w:top w:val="single" w:sz="2" w:space="0" w:color="000001"/>
              <w:start w:val="single" w:sz="2" w:space="0" w:color="000001"/>
              <w:bottom w:val="single" w:sz="2" w:space="0" w:color="000001"/>
              <w:end w:val="single" w:sz="2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rFonts w:eastAsia="Calibri"/>
                <w:color w:val="00000A"/>
                <w:sz w:val="23"/>
                <w:szCs w:val="23"/>
                <w:lang w:eastAsia="zh-CN"/>
              </w:rPr>
            </w:pPr>
            <w:r>
              <w:rPr>
                <w:rFonts w:eastAsia="Calibri"/>
                <w:color w:val="00000A"/>
                <w:sz w:val="23"/>
                <w:szCs w:val="23"/>
                <w:lang w:eastAsia="zh-CN"/>
              </w:rPr>
              <w:t>Предоставляется</w:t>
            </w:r>
          </w:p>
        </w:tc>
        <w:tc>
          <w:tcPr>
            <w:tcW w:w="5015" w:type="dxa"/>
            <w:tcBorders>
              <w:top w:val="single" w:sz="2" w:space="0" w:color="000001"/>
              <w:start w:val="single" w:sz="2" w:space="0" w:color="000001"/>
              <w:bottom w:val="single" w:sz="2" w:space="0" w:color="000001"/>
              <w:end w:val="single" w:sz="2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contextualSpacing/>
              <w:rPr>
                <w:rFonts w:eastAsia="Arial"/>
                <w:color w:val="00000A"/>
                <w:sz w:val="23"/>
                <w:szCs w:val="23"/>
                <w:lang w:eastAsia="zh-CN"/>
              </w:rPr>
            </w:pPr>
            <w:r>
              <w:rPr>
                <w:rFonts w:eastAsia="Calibri"/>
                <w:color w:val="00000A"/>
                <w:sz w:val="23"/>
                <w:szCs w:val="23"/>
                <w:lang w:eastAsia="zh-CN"/>
              </w:rPr>
              <w:t>С пн по пт 09.00-18.00, (время московское)</w:t>
            </w:r>
          </w:p>
        </w:tc>
      </w:tr>
      <w:tr>
        <w:trPr/>
        <w:tc>
          <w:tcPr>
            <w:tcW w:w="5050" w:type="dxa"/>
            <w:tcBorders>
              <w:top w:val="single" w:sz="2" w:space="0" w:color="000001"/>
              <w:start w:val="single" w:sz="2" w:space="0" w:color="000001"/>
              <w:bottom w:val="single" w:sz="2" w:space="0" w:color="000001"/>
              <w:end w:val="single" w:sz="2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rFonts w:eastAsia="Calibri"/>
                <w:color w:val="00000A"/>
                <w:sz w:val="23"/>
                <w:szCs w:val="23"/>
                <w:lang w:eastAsia="zh-CN"/>
              </w:rPr>
            </w:pPr>
            <w:r>
              <w:rPr>
                <w:rFonts w:eastAsia="Calibri"/>
                <w:color w:val="00000A"/>
                <w:sz w:val="23"/>
                <w:szCs w:val="23"/>
                <w:lang w:eastAsia="zh-CN"/>
              </w:rPr>
              <w:t>Время реагирования</w:t>
            </w:r>
          </w:p>
        </w:tc>
        <w:tc>
          <w:tcPr>
            <w:tcW w:w="5015" w:type="dxa"/>
            <w:tcBorders>
              <w:top w:val="single" w:sz="2" w:space="0" w:color="000001"/>
              <w:start w:val="single" w:sz="2" w:space="0" w:color="000001"/>
              <w:bottom w:val="single" w:sz="2" w:space="0" w:color="000001"/>
              <w:end w:val="single" w:sz="2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contextualSpacing/>
              <w:rPr>
                <w:rFonts w:eastAsia="Arial"/>
                <w:color w:val="00000A"/>
                <w:sz w:val="23"/>
                <w:szCs w:val="23"/>
                <w:lang w:val="en-US" w:eastAsia="zh-CN"/>
              </w:rPr>
            </w:pPr>
            <w:r>
              <w:rPr>
                <w:rFonts w:eastAsia="Arial"/>
                <w:color w:val="00000A"/>
                <w:sz w:val="23"/>
                <w:szCs w:val="23"/>
                <w:lang w:eastAsia="zh-CN"/>
              </w:rPr>
              <w:t>≤</w:t>
            </w:r>
            <w:r>
              <w:rPr>
                <w:rFonts w:eastAsia="Calibri"/>
                <w:color w:val="00000A"/>
                <w:sz w:val="23"/>
                <w:szCs w:val="23"/>
                <w:lang w:eastAsia="zh-CN"/>
              </w:rPr>
              <w:t>8 часов</w:t>
            </w:r>
          </w:p>
        </w:tc>
      </w:tr>
      <w:tr>
        <w:trPr/>
        <w:tc>
          <w:tcPr>
            <w:tcW w:w="5050" w:type="dxa"/>
            <w:tcBorders>
              <w:top w:val="single" w:sz="2" w:space="0" w:color="000001"/>
              <w:start w:val="single" w:sz="2" w:space="0" w:color="000001"/>
              <w:bottom w:val="single" w:sz="2" w:space="0" w:color="000001"/>
              <w:end w:val="single" w:sz="2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rFonts w:eastAsia="Calibri"/>
                <w:color w:val="00000A"/>
                <w:sz w:val="23"/>
                <w:szCs w:val="23"/>
                <w:lang w:eastAsia="zh-CN"/>
              </w:rPr>
            </w:pPr>
            <w:r>
              <w:rPr>
                <w:rFonts w:eastAsia="Calibri"/>
                <w:color w:val="00000A"/>
                <w:sz w:val="23"/>
                <w:szCs w:val="23"/>
                <w:lang w:eastAsia="zh-CN"/>
              </w:rPr>
              <w:t>Дистанционное диагностирование</w:t>
            </w:r>
          </w:p>
        </w:tc>
        <w:tc>
          <w:tcPr>
            <w:tcW w:w="5015" w:type="dxa"/>
            <w:tcBorders>
              <w:top w:val="single" w:sz="2" w:space="0" w:color="000001"/>
              <w:start w:val="single" w:sz="2" w:space="0" w:color="000001"/>
              <w:bottom w:val="single" w:sz="2" w:space="0" w:color="000001"/>
              <w:end w:val="single" w:sz="2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contextualSpacing/>
              <w:rPr>
                <w:rFonts w:eastAsia="Arial"/>
                <w:color w:val="00000A"/>
                <w:sz w:val="23"/>
                <w:szCs w:val="23"/>
                <w:lang w:eastAsia="zh-CN"/>
              </w:rPr>
            </w:pPr>
            <w:r>
              <w:rPr>
                <w:rFonts w:eastAsia="Arial"/>
                <w:color w:val="00000A"/>
                <w:sz w:val="23"/>
                <w:szCs w:val="23"/>
                <w:lang w:eastAsia="zh-CN"/>
              </w:rPr>
              <w:t>при наличии возможности</w:t>
            </w:r>
          </w:p>
        </w:tc>
      </w:tr>
      <w:tr>
        <w:trPr/>
        <w:tc>
          <w:tcPr>
            <w:tcW w:w="5050" w:type="dxa"/>
            <w:tcBorders>
              <w:top w:val="single" w:sz="2" w:space="0" w:color="000001"/>
              <w:start w:val="single" w:sz="2" w:space="0" w:color="000001"/>
              <w:bottom w:val="single" w:sz="2" w:space="0" w:color="000001"/>
              <w:end w:val="single" w:sz="2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rFonts w:eastAsia="Calibri"/>
                <w:color w:val="00000A"/>
                <w:sz w:val="23"/>
                <w:szCs w:val="23"/>
                <w:lang w:eastAsia="zh-CN"/>
              </w:rPr>
            </w:pPr>
            <w:r>
              <w:rPr>
                <w:rFonts w:eastAsia="Calibri"/>
                <w:color w:val="00000A"/>
                <w:sz w:val="23"/>
                <w:szCs w:val="23"/>
                <w:lang w:eastAsia="zh-CN"/>
              </w:rPr>
              <w:t>Время решения проблемы</w:t>
            </w:r>
          </w:p>
        </w:tc>
        <w:tc>
          <w:tcPr>
            <w:tcW w:w="5015" w:type="dxa"/>
            <w:tcBorders>
              <w:top w:val="single" w:sz="2" w:space="0" w:color="000001"/>
              <w:start w:val="single" w:sz="2" w:space="0" w:color="000001"/>
              <w:bottom w:val="single" w:sz="2" w:space="0" w:color="000001"/>
              <w:end w:val="single" w:sz="2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contextualSpacing/>
              <w:rPr>
                <w:rFonts w:eastAsia="Arial"/>
                <w:color w:val="00000A"/>
                <w:sz w:val="23"/>
                <w:szCs w:val="23"/>
                <w:lang w:val="en-US" w:eastAsia="zh-CN"/>
              </w:rPr>
            </w:pPr>
            <w:r>
              <w:rPr>
                <w:rFonts w:eastAsia="Arial"/>
                <w:color w:val="00000A"/>
                <w:sz w:val="23"/>
                <w:szCs w:val="23"/>
                <w:lang w:val="en-US" w:eastAsia="zh-CN"/>
              </w:rPr>
              <w:t>≤</w:t>
            </w:r>
            <w:r>
              <w:rPr>
                <w:rFonts w:eastAsia="Calibri"/>
                <w:color w:val="00000A"/>
                <w:sz w:val="23"/>
                <w:szCs w:val="23"/>
                <w:lang w:val="en-US" w:eastAsia="zh-CN"/>
              </w:rPr>
              <w:t>60</w:t>
            </w:r>
            <w:r>
              <w:rPr>
                <w:rFonts w:eastAsia="Calibri"/>
                <w:color w:val="00000A"/>
                <w:sz w:val="23"/>
                <w:szCs w:val="23"/>
                <w:lang w:eastAsia="zh-CN"/>
              </w:rPr>
              <w:t xml:space="preserve"> дней</w:t>
            </w:r>
          </w:p>
        </w:tc>
      </w:tr>
      <w:tr>
        <w:trPr/>
        <w:tc>
          <w:tcPr>
            <w:tcW w:w="10065" w:type="dxa"/>
            <w:gridSpan w:val="2"/>
            <w:tcBorders>
              <w:top w:val="single" w:sz="2" w:space="0" w:color="000001"/>
              <w:start w:val="single" w:sz="2" w:space="0" w:color="000001"/>
              <w:bottom w:val="single" w:sz="2" w:space="0" w:color="000001"/>
              <w:end w:val="single" w:sz="2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contextualSpacing/>
              <w:rPr>
                <w:rFonts w:eastAsia="Arial"/>
                <w:b/>
                <w:bCs/>
                <w:color w:val="00000A"/>
                <w:sz w:val="23"/>
                <w:szCs w:val="23"/>
                <w:lang w:val="en-US" w:eastAsia="zh-CN"/>
              </w:rPr>
            </w:pPr>
            <w:r>
              <w:rPr>
                <w:rFonts w:eastAsia="Arial"/>
                <w:b/>
                <w:bCs/>
                <w:color w:val="00000A"/>
                <w:sz w:val="23"/>
                <w:szCs w:val="23"/>
                <w:lang w:eastAsia="zh-CN"/>
              </w:rPr>
              <w:t>Степень приоритета 4</w:t>
            </w:r>
          </w:p>
        </w:tc>
      </w:tr>
      <w:tr>
        <w:trPr/>
        <w:tc>
          <w:tcPr>
            <w:tcW w:w="5050" w:type="dxa"/>
            <w:tcBorders>
              <w:top w:val="single" w:sz="2" w:space="0" w:color="000001"/>
              <w:start w:val="single" w:sz="2" w:space="0" w:color="000001"/>
              <w:bottom w:val="single" w:sz="2" w:space="0" w:color="000001"/>
              <w:end w:val="single" w:sz="2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rFonts w:eastAsia="Calibri"/>
                <w:color w:val="00000A"/>
                <w:sz w:val="23"/>
                <w:szCs w:val="23"/>
                <w:lang w:eastAsia="zh-CN"/>
              </w:rPr>
            </w:pPr>
            <w:r>
              <w:rPr>
                <w:rFonts w:eastAsia="Calibri"/>
                <w:color w:val="00000A"/>
                <w:sz w:val="23"/>
                <w:szCs w:val="23"/>
                <w:lang w:eastAsia="zh-CN"/>
              </w:rPr>
              <w:t>Предоставляется</w:t>
            </w:r>
          </w:p>
        </w:tc>
        <w:tc>
          <w:tcPr>
            <w:tcW w:w="5015" w:type="dxa"/>
            <w:tcBorders>
              <w:top w:val="single" w:sz="2" w:space="0" w:color="000001"/>
              <w:start w:val="single" w:sz="2" w:space="0" w:color="000001"/>
              <w:bottom w:val="single" w:sz="2" w:space="0" w:color="000001"/>
              <w:end w:val="single" w:sz="2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contextualSpacing/>
              <w:rPr>
                <w:rFonts w:eastAsia="Arial"/>
                <w:color w:val="00000A"/>
                <w:sz w:val="23"/>
                <w:szCs w:val="23"/>
                <w:lang w:eastAsia="zh-CN"/>
              </w:rPr>
            </w:pPr>
            <w:r>
              <w:rPr>
                <w:rFonts w:eastAsia="Calibri"/>
                <w:color w:val="00000A"/>
                <w:sz w:val="23"/>
                <w:szCs w:val="23"/>
                <w:lang w:eastAsia="zh-CN"/>
              </w:rPr>
              <w:t>С пн по пт 09.00-18.00, (время московское)</w:t>
            </w:r>
          </w:p>
        </w:tc>
      </w:tr>
      <w:tr>
        <w:trPr/>
        <w:tc>
          <w:tcPr>
            <w:tcW w:w="5050" w:type="dxa"/>
            <w:tcBorders>
              <w:top w:val="single" w:sz="2" w:space="0" w:color="000001"/>
              <w:start w:val="single" w:sz="2" w:space="0" w:color="000001"/>
              <w:bottom w:val="single" w:sz="2" w:space="0" w:color="000001"/>
              <w:end w:val="single" w:sz="2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rFonts w:eastAsia="Calibri"/>
                <w:color w:val="00000A"/>
                <w:sz w:val="23"/>
                <w:szCs w:val="23"/>
                <w:lang w:eastAsia="zh-CN"/>
              </w:rPr>
            </w:pPr>
            <w:r>
              <w:rPr>
                <w:rFonts w:eastAsia="Calibri"/>
                <w:color w:val="00000A"/>
                <w:sz w:val="23"/>
                <w:szCs w:val="23"/>
                <w:lang w:eastAsia="zh-CN"/>
              </w:rPr>
              <w:t>Время реагирования</w:t>
            </w:r>
          </w:p>
        </w:tc>
        <w:tc>
          <w:tcPr>
            <w:tcW w:w="5015" w:type="dxa"/>
            <w:tcBorders>
              <w:top w:val="single" w:sz="2" w:space="0" w:color="000001"/>
              <w:start w:val="single" w:sz="2" w:space="0" w:color="000001"/>
              <w:bottom w:val="single" w:sz="2" w:space="0" w:color="000001"/>
              <w:end w:val="single" w:sz="2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contextualSpacing/>
              <w:rPr>
                <w:rFonts w:eastAsia="Arial"/>
                <w:color w:val="00000A"/>
                <w:sz w:val="23"/>
                <w:szCs w:val="23"/>
                <w:lang w:val="en-US" w:eastAsia="zh-CN"/>
              </w:rPr>
            </w:pPr>
            <w:r>
              <w:rPr>
                <w:rFonts w:eastAsia="Arial"/>
                <w:color w:val="00000A"/>
                <w:sz w:val="23"/>
                <w:szCs w:val="23"/>
                <w:lang w:eastAsia="zh-CN"/>
              </w:rPr>
              <w:t>≤</w:t>
            </w:r>
            <w:r>
              <w:rPr>
                <w:rFonts w:eastAsia="Calibri"/>
                <w:color w:val="00000A"/>
                <w:sz w:val="23"/>
                <w:szCs w:val="23"/>
                <w:lang w:eastAsia="zh-CN"/>
              </w:rPr>
              <w:t>8 часов</w:t>
            </w:r>
          </w:p>
        </w:tc>
      </w:tr>
      <w:tr>
        <w:trPr/>
        <w:tc>
          <w:tcPr>
            <w:tcW w:w="5050" w:type="dxa"/>
            <w:tcBorders>
              <w:top w:val="single" w:sz="2" w:space="0" w:color="000001"/>
              <w:start w:val="single" w:sz="2" w:space="0" w:color="000001"/>
              <w:bottom w:val="single" w:sz="2" w:space="0" w:color="000001"/>
              <w:end w:val="single" w:sz="2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rFonts w:eastAsia="Calibri"/>
                <w:color w:val="00000A"/>
                <w:sz w:val="23"/>
                <w:szCs w:val="23"/>
                <w:lang w:eastAsia="zh-CN"/>
              </w:rPr>
            </w:pPr>
            <w:r>
              <w:rPr>
                <w:rFonts w:eastAsia="Calibri"/>
                <w:color w:val="00000A"/>
                <w:sz w:val="23"/>
                <w:szCs w:val="23"/>
                <w:lang w:eastAsia="zh-CN"/>
              </w:rPr>
              <w:t>Дистанционное диагностирование</w:t>
            </w:r>
          </w:p>
        </w:tc>
        <w:tc>
          <w:tcPr>
            <w:tcW w:w="5015" w:type="dxa"/>
            <w:tcBorders>
              <w:top w:val="single" w:sz="2" w:space="0" w:color="000001"/>
              <w:start w:val="single" w:sz="2" w:space="0" w:color="000001"/>
              <w:bottom w:val="single" w:sz="2" w:space="0" w:color="000001"/>
              <w:end w:val="single" w:sz="2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contextualSpacing/>
              <w:rPr>
                <w:rFonts w:eastAsia="Arial"/>
                <w:color w:val="00000A"/>
                <w:sz w:val="23"/>
                <w:szCs w:val="23"/>
                <w:lang w:val="en-US" w:eastAsia="zh-CN"/>
              </w:rPr>
            </w:pPr>
            <w:r>
              <w:rPr>
                <w:rFonts w:eastAsia="Arial"/>
                <w:color w:val="00000A"/>
                <w:sz w:val="23"/>
                <w:szCs w:val="23"/>
                <w:lang w:eastAsia="zh-CN"/>
              </w:rPr>
              <w:t>при наличии возможности</w:t>
            </w:r>
          </w:p>
        </w:tc>
      </w:tr>
      <w:tr>
        <w:trPr/>
        <w:tc>
          <w:tcPr>
            <w:tcW w:w="5050" w:type="dxa"/>
            <w:tcBorders>
              <w:top w:val="single" w:sz="2" w:space="0" w:color="000001"/>
              <w:start w:val="single" w:sz="2" w:space="0" w:color="000001"/>
              <w:bottom w:val="single" w:sz="2" w:space="0" w:color="000001"/>
              <w:end w:val="single" w:sz="2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rFonts w:eastAsia="Calibri"/>
                <w:color w:val="00000A"/>
                <w:sz w:val="23"/>
                <w:szCs w:val="23"/>
                <w:lang w:eastAsia="zh-CN"/>
              </w:rPr>
            </w:pPr>
            <w:r>
              <w:rPr>
                <w:rFonts w:eastAsia="Calibri"/>
                <w:color w:val="00000A"/>
                <w:sz w:val="23"/>
                <w:szCs w:val="23"/>
                <w:lang w:eastAsia="zh-CN"/>
              </w:rPr>
              <w:t>Время решения проблемы</w:t>
            </w:r>
          </w:p>
        </w:tc>
        <w:tc>
          <w:tcPr>
            <w:tcW w:w="5015" w:type="dxa"/>
            <w:tcBorders>
              <w:top w:val="single" w:sz="2" w:space="0" w:color="000001"/>
              <w:start w:val="single" w:sz="2" w:space="0" w:color="000001"/>
              <w:bottom w:val="single" w:sz="2" w:space="0" w:color="000001"/>
              <w:end w:val="single" w:sz="2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contextualSpacing/>
              <w:rPr>
                <w:rFonts w:eastAsia="Arial"/>
                <w:color w:val="00000A"/>
                <w:sz w:val="23"/>
                <w:szCs w:val="23"/>
                <w:lang w:eastAsia="zh-CN"/>
              </w:rPr>
            </w:pPr>
            <w:r>
              <w:rPr>
                <w:rFonts w:eastAsia="Arial"/>
                <w:color w:val="00000A"/>
                <w:sz w:val="23"/>
                <w:szCs w:val="23"/>
                <w:lang w:eastAsia="zh-CN"/>
              </w:rPr>
              <w:t>по согласованию с Заказчиком, но не более 90 дней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Style23"/>
        <w:keepNext w:val="false"/>
        <w:widowControl w:val="false"/>
        <w:tabs>
          <w:tab w:val="clear" w:pos="708"/>
          <w:tab w:val="left" w:pos="1134" w:leader="none"/>
        </w:tabs>
        <w:spacing w:lineRule="auto" w:line="240" w:before="0" w:after="0"/>
        <w:ind w:firstLine="567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 xml:space="preserve">Нарушение регламентированных характеристик реакции и устранения по запросам считается ненадлежащим исполнением Исполнителем обязательств, предусмотренных техническим заданием к </w:t>
      </w:r>
      <w:r>
        <w:rPr>
          <w:rFonts w:cs="Times New Roman"/>
          <w:sz w:val="23"/>
          <w:szCs w:val="23"/>
        </w:rPr>
        <w:t>Договору</w:t>
      </w:r>
      <w:bookmarkStart w:id="66" w:name="__DdeLink__5247_1991548263"/>
      <w:bookmarkEnd w:id="66"/>
      <w:r>
        <w:rPr>
          <w:rFonts w:cs="Times New Roman"/>
          <w:sz w:val="23"/>
          <w:szCs w:val="23"/>
        </w:rPr>
        <w:t>, в соответствующем отчетном периоде.</w:t>
      </w:r>
    </w:p>
    <w:p>
      <w:pPr>
        <w:pStyle w:val="Style23"/>
        <w:keepNext w:val="false"/>
        <w:widowControl w:val="false"/>
        <w:tabs>
          <w:tab w:val="clear" w:pos="708"/>
          <w:tab w:val="left" w:pos="1134" w:leader="none"/>
        </w:tabs>
        <w:spacing w:lineRule="auto" w:line="240" w:before="0" w:after="0"/>
        <w:ind w:firstLine="567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>В случае необходимости представления ответного отклика от Заказчика для заявок с уровнем «Критический» Исполнитель должен проинформировать об этом сотрудника Заказчика.</w:t>
      </w:r>
    </w:p>
    <w:p>
      <w:pPr>
        <w:pStyle w:val="Style23"/>
        <w:keepNext w:val="false"/>
        <w:widowControl w:val="false"/>
        <w:tabs>
          <w:tab w:val="clear" w:pos="708"/>
          <w:tab w:val="left" w:pos="1134" w:leader="none"/>
        </w:tabs>
        <w:spacing w:lineRule="auto" w:line="240" w:before="0" w:after="0"/>
        <w:ind w:firstLine="567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 xml:space="preserve">Исполнитель обязан информировать сотрудника Заказчика о всех неразрешенных заявках </w:t>
        <w:br/>
        <w:t>с уровнем приоритета 1 и 2 (Критическая проблема и Важная проблема).</w:t>
      </w:r>
    </w:p>
    <w:p>
      <w:pPr>
        <w:pStyle w:val="Style23"/>
        <w:keepNext w:val="false"/>
        <w:widowControl w:val="false"/>
        <w:tabs>
          <w:tab w:val="clear" w:pos="708"/>
          <w:tab w:val="left" w:pos="1134" w:leader="none"/>
        </w:tabs>
        <w:spacing w:lineRule="auto" w:line="240" w:before="0" w:after="0"/>
        <w:ind w:firstLine="567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>Запросы пользователей, подлежащие регистрации в СУИ, делятся на следующие типы обращений: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1) инцидент;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sz w:val="23"/>
          <w:szCs w:val="23"/>
        </w:rPr>
      </w:pPr>
      <w:bookmarkStart w:id="67" w:name="_Toc795064"/>
      <w:r>
        <w:rPr>
          <w:sz w:val="23"/>
          <w:szCs w:val="23"/>
        </w:rPr>
        <w:t>2) запрос на сопровождение СПО-112.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Heading2"/>
        <w:keepNext w:val="false"/>
        <w:keepLines w:val="false"/>
        <w:widowControl w:val="false"/>
        <w:numPr>
          <w:ilvl w:val="1"/>
          <w:numId w:val="26"/>
        </w:numPr>
        <w:tabs>
          <w:tab w:val="clear" w:pos="708"/>
          <w:tab w:val="left" w:pos="1134" w:leader="none"/>
        </w:tabs>
        <w:spacing w:lineRule="auto" w:line="240" w:before="0" w:after="0"/>
        <w:ind w:firstLine="567" w:start="0"/>
        <w:rPr>
          <w:sz w:val="23"/>
          <w:szCs w:val="23"/>
        </w:rPr>
      </w:pPr>
      <w:bookmarkStart w:id="68" w:name="_Toc795064"/>
      <w:r>
        <w:rPr>
          <w:sz w:val="23"/>
          <w:szCs w:val="23"/>
        </w:rPr>
        <w:t>Инцидент</w:t>
      </w:r>
      <w:bookmarkEnd w:id="68"/>
    </w:p>
    <w:p>
      <w:pPr>
        <w:pStyle w:val="Style23"/>
        <w:keepNext w:val="false"/>
        <w:widowControl w:val="false"/>
        <w:tabs>
          <w:tab w:val="clear" w:pos="708"/>
          <w:tab w:val="left" w:pos="1134" w:leader="none"/>
        </w:tabs>
        <w:spacing w:lineRule="auto" w:line="240" w:before="0" w:after="0"/>
        <w:ind w:firstLine="567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>Под инцидентом понимается любое событие, не являющееся частью нормального функционирования СПО-112 системы-112, которое привело или может привести к нарушению работоспособности системы-112.</w:t>
      </w:r>
    </w:p>
    <w:p>
      <w:pPr>
        <w:pStyle w:val="Style23"/>
        <w:keepNext w:val="false"/>
        <w:widowControl w:val="false"/>
        <w:tabs>
          <w:tab w:val="clear" w:pos="708"/>
          <w:tab w:val="left" w:pos="1134" w:leader="none"/>
        </w:tabs>
        <w:spacing w:lineRule="auto" w:line="240" w:before="0" w:after="0"/>
        <w:ind w:firstLine="567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>Инцидент считается решенным (закрытым), если проведены работы (предоставлена рекомендация), позволяющие устранить инцидент и восстановить нормальное функционирование СПО-112. В случае, если сотрудниками Заказчика изменен приоритет инцидента, Исполнитель должен согласовать стратегию устранения причины данного инцидента с данными сотрудниками Заказчика.</w:t>
      </w:r>
    </w:p>
    <w:p>
      <w:pPr>
        <w:pStyle w:val="Style23"/>
        <w:keepNext w:val="false"/>
        <w:widowControl w:val="false"/>
        <w:tabs>
          <w:tab w:val="clear" w:pos="708"/>
          <w:tab w:val="left" w:pos="1134" w:leader="none"/>
        </w:tabs>
        <w:spacing w:lineRule="auto" w:line="240" w:before="0" w:after="0"/>
        <w:ind w:firstLine="567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>В случае несогласия с фактом закрытия инцидента, обратившийся сотрудник Заказчика может вернуть инцидент в работу.</w:t>
      </w:r>
    </w:p>
    <w:p>
      <w:pPr>
        <w:pStyle w:val="Style23"/>
        <w:keepNext w:val="false"/>
        <w:widowControl w:val="false"/>
        <w:tabs>
          <w:tab w:val="clear" w:pos="708"/>
          <w:tab w:val="left" w:pos="1134" w:leader="none"/>
        </w:tabs>
        <w:spacing w:lineRule="auto" w:line="240" w:before="0" w:after="0"/>
        <w:ind w:firstLine="567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>Инцидентная поддержка оказывается Исполнителем без ограничений по количеству инцидентов со стороны Заказчика.</w:t>
      </w:r>
    </w:p>
    <w:p>
      <w:pPr>
        <w:pStyle w:val="Style23"/>
        <w:keepNext w:val="false"/>
        <w:widowControl w:val="false"/>
        <w:tabs>
          <w:tab w:val="clear" w:pos="708"/>
          <w:tab w:val="left" w:pos="1134" w:leader="none"/>
        </w:tabs>
        <w:spacing w:lineRule="auto" w:line="240" w:before="0" w:after="0"/>
        <w:ind w:firstLine="567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>Все инциденты должны быть зарегистрированы в СУИ Исполнителя.</w:t>
      </w:r>
    </w:p>
    <w:p>
      <w:pPr>
        <w:pStyle w:val="Heading2"/>
        <w:keepNext w:val="false"/>
        <w:keepLines w:val="false"/>
        <w:widowControl w:val="false"/>
        <w:numPr>
          <w:ilvl w:val="1"/>
          <w:numId w:val="26"/>
        </w:numPr>
        <w:tabs>
          <w:tab w:val="clear" w:pos="708"/>
          <w:tab w:val="left" w:pos="1134" w:leader="none"/>
        </w:tabs>
        <w:spacing w:lineRule="auto" w:line="240" w:before="0" w:after="0"/>
        <w:ind w:firstLine="567" w:start="0"/>
        <w:rPr>
          <w:sz w:val="23"/>
          <w:szCs w:val="23"/>
        </w:rPr>
      </w:pPr>
      <w:bookmarkStart w:id="69" w:name="__RefHeading__24591_1998837372"/>
      <w:bookmarkStart w:id="70" w:name="_Toc795065"/>
      <w:bookmarkEnd w:id="69"/>
      <w:r>
        <w:rPr>
          <w:sz w:val="23"/>
          <w:szCs w:val="23"/>
        </w:rPr>
        <w:t xml:space="preserve">Запрос на </w:t>
      </w:r>
      <w:bookmarkEnd w:id="70"/>
      <w:r>
        <w:rPr>
          <w:sz w:val="23"/>
          <w:szCs w:val="23"/>
        </w:rPr>
        <w:t>сопровождение СПО-112</w:t>
      </w:r>
    </w:p>
    <w:p>
      <w:pPr>
        <w:pStyle w:val="Style23"/>
        <w:keepNext w:val="false"/>
        <w:widowControl w:val="false"/>
        <w:tabs>
          <w:tab w:val="clear" w:pos="708"/>
          <w:tab w:val="left" w:pos="1134" w:leader="none"/>
        </w:tabs>
        <w:spacing w:lineRule="auto" w:line="240" w:before="0" w:after="0"/>
        <w:ind w:firstLine="567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>Под запросом на обслуживание понимается запрос на выполнение стандартной процедуры по сопровождению СПО-112, УСПО-112 системы-112.</w:t>
      </w:r>
    </w:p>
    <w:p>
      <w:pPr>
        <w:pStyle w:val="Style23"/>
        <w:keepNext w:val="false"/>
        <w:widowControl w:val="false"/>
        <w:tabs>
          <w:tab w:val="clear" w:pos="708"/>
          <w:tab w:val="left" w:pos="1134" w:leader="none"/>
        </w:tabs>
        <w:spacing w:lineRule="auto" w:line="240" w:before="0" w:after="0"/>
        <w:ind w:firstLine="567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>По факту получения запроса на сопровождение СПО-112, УСПО-112 проводится его:</w:t>
      </w:r>
    </w:p>
    <w:p>
      <w:pPr>
        <w:pStyle w:val="Style24"/>
        <w:widowControl w:val="false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40" w:before="0" w:after="0"/>
        <w:ind w:firstLine="567"/>
        <w:rPr>
          <w:rFonts w:cs="Times New Roman"/>
          <w:sz w:val="23"/>
          <w:szCs w:val="23"/>
          <w:lang w:eastAsia="ru-RU"/>
        </w:rPr>
      </w:pPr>
      <w:r>
        <w:rPr>
          <w:rFonts w:cs="Times New Roman"/>
          <w:sz w:val="23"/>
          <w:szCs w:val="23"/>
          <w:lang w:eastAsia="ru-RU"/>
        </w:rPr>
        <w:t>регистрация (присваивается уникальный номер, фиксируется дата и время поступления инцидента);</w:t>
      </w:r>
    </w:p>
    <w:p>
      <w:pPr>
        <w:pStyle w:val="Style24"/>
        <w:widowControl w:val="false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40" w:before="0" w:after="0"/>
        <w:ind w:firstLine="567"/>
        <w:rPr>
          <w:rFonts w:cs="Times New Roman"/>
          <w:sz w:val="23"/>
          <w:szCs w:val="23"/>
          <w:lang w:eastAsia="ru-RU"/>
        </w:rPr>
      </w:pPr>
      <w:r>
        <w:rPr>
          <w:rFonts w:cs="Times New Roman"/>
          <w:sz w:val="23"/>
          <w:szCs w:val="23"/>
          <w:lang w:eastAsia="ru-RU"/>
        </w:rPr>
        <w:t>определяется очередность обработки (определяются сроки его выполнения).</w:t>
      </w:r>
    </w:p>
    <w:p>
      <w:pPr>
        <w:pStyle w:val="Style24"/>
        <w:widowControl w:val="false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40" w:before="0" w:after="0"/>
        <w:ind w:firstLine="567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>Запрос на сопровождение СПО-112, УСПО-112 считается выполненным (закрытым), если проведены все требуемые по запрашиваемой процедуре работы (предоставлена вся требуемая информация). Запросы на сопровождение СПО-112, УСПО-112 закрываются исключительно по согласованию с сотрудниками Заказчика.</w:t>
      </w:r>
    </w:p>
    <w:p>
      <w:pPr>
        <w:pStyle w:val="Style24"/>
        <w:widowControl w:val="false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40" w:before="0" w:after="0"/>
        <w:ind w:firstLine="567"/>
        <w:rPr>
          <w:rFonts w:cs="Times New Roman"/>
          <w:sz w:val="23"/>
          <w:szCs w:val="23"/>
          <w:lang w:eastAsia="ru-RU"/>
        </w:rPr>
      </w:pPr>
      <w:r>
        <w:rPr>
          <w:rFonts w:cs="Times New Roman"/>
          <w:sz w:val="23"/>
          <w:szCs w:val="23"/>
        </w:rPr>
        <w:t>Обработка запросов на сопровождение СПО-112, УСПО-112 оказывается без каких-либо ограничений по количеству запросов со стороны Заказчика.</w:t>
      </w:r>
    </w:p>
    <w:p>
      <w:pPr>
        <w:pStyle w:val="Heading2"/>
        <w:keepNext w:val="false"/>
        <w:keepLines w:val="false"/>
        <w:widowControl w:val="false"/>
        <w:numPr>
          <w:ilvl w:val="1"/>
          <w:numId w:val="26"/>
        </w:numPr>
        <w:tabs>
          <w:tab w:val="clear" w:pos="708"/>
          <w:tab w:val="left" w:pos="1134" w:leader="none"/>
        </w:tabs>
        <w:spacing w:lineRule="auto" w:line="240" w:before="0" w:after="0"/>
        <w:ind w:firstLine="567" w:start="0"/>
        <w:rPr>
          <w:sz w:val="23"/>
          <w:szCs w:val="23"/>
        </w:rPr>
      </w:pPr>
      <w:bookmarkStart w:id="71" w:name="__RefHeading__24593_1998837372"/>
      <w:bookmarkStart w:id="72" w:name="_Toc795066"/>
      <w:bookmarkEnd w:id="71"/>
      <w:r>
        <w:rPr>
          <w:sz w:val="23"/>
          <w:szCs w:val="23"/>
        </w:rPr>
        <w:t>Регламентные работы на технических средствах объектов автоматизации</w:t>
      </w:r>
      <w:bookmarkEnd w:id="72"/>
    </w:p>
    <w:p>
      <w:pPr>
        <w:pStyle w:val="Style23"/>
        <w:keepNext w:val="false"/>
        <w:widowControl w:val="false"/>
        <w:tabs>
          <w:tab w:val="clear" w:pos="708"/>
          <w:tab w:val="left" w:pos="1134" w:leader="none"/>
        </w:tabs>
        <w:spacing w:lineRule="auto" w:line="240" w:before="0" w:after="0"/>
        <w:ind w:firstLine="567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>С использованием удаленного доступа обеспечивается выполнение следующих плановых работ, указанных в таблице 4.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sz w:val="23"/>
          <w:szCs w:val="23"/>
        </w:rPr>
      </w:pPr>
      <w:bookmarkStart w:id="73" w:name="_Ref546750"/>
      <w:r>
        <w:rPr>
          <w:sz w:val="23"/>
          <w:szCs w:val="23"/>
        </w:rPr>
        <w:t xml:space="preserve">Таблица </w:t>
      </w:r>
      <w:bookmarkEnd w:id="73"/>
      <w:r>
        <w:rPr>
          <w:sz w:val="23"/>
          <w:szCs w:val="23"/>
        </w:rPr>
        <w:t>4 – Перечень плановых работ, выполняемых на объектах автоматизации</w:t>
      </w:r>
    </w:p>
    <w:tbl>
      <w:tblPr>
        <w:tblW w:w="10102" w:type="dxa"/>
        <w:jc w:val="start"/>
        <w:tblInd w:w="-42" w:type="dxa"/>
        <w:tblLayout w:type="fixed"/>
        <w:tblCellMar>
          <w:top w:w="0" w:type="dxa"/>
          <w:start w:w="5" w:type="dxa"/>
          <w:bottom w:w="0" w:type="dxa"/>
          <w:end w:w="5" w:type="dxa"/>
        </w:tblCellMar>
        <w:tblLook w:val="04a0" w:noHBand="0" w:noVBand="1" w:firstColumn="1" w:lastRow="0" w:lastColumn="0" w:firstRow="1"/>
      </w:tblPr>
      <w:tblGrid>
        <w:gridCol w:w="3298"/>
        <w:gridCol w:w="6803"/>
      </w:tblGrid>
      <w:tr>
        <w:trPr>
          <w:tblHeader w:val="true"/>
          <w:trHeight w:val="23" w:hRule="atLeast"/>
        </w:trPr>
        <w:tc>
          <w:tcPr>
            <w:tcW w:w="3298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11"/>
              <w:widowControl w:val="false"/>
              <w:tabs>
                <w:tab w:val="clear" w:pos="708"/>
                <w:tab w:val="left" w:pos="1134" w:leader="none"/>
                <w:tab w:val="left" w:pos="9900" w:leader="none"/>
              </w:tabs>
              <w:ind w:firstLine="567"/>
              <w:jc w:val="both"/>
              <w:rPr>
                <w:rFonts w:cs="Times New Roman"/>
                <w:b/>
                <w:color w:val="auto"/>
                <w:sz w:val="23"/>
                <w:szCs w:val="23"/>
              </w:rPr>
            </w:pPr>
            <w:r>
              <w:rPr>
                <w:rFonts w:cs="Times New Roman"/>
                <w:b/>
                <w:color w:val="auto"/>
                <w:sz w:val="23"/>
                <w:szCs w:val="23"/>
              </w:rPr>
              <w:t>Наименование работ</w:t>
            </w:r>
          </w:p>
        </w:tc>
        <w:tc>
          <w:tcPr>
            <w:tcW w:w="6803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  <w:end w:val="single" w:sz="4" w:space="0" w:color="000001"/>
            </w:tcBorders>
            <w:shd w:color="auto" w:fill="FFFFFF" w:val="clear"/>
            <w:vAlign w:val="center"/>
          </w:tcPr>
          <w:p>
            <w:pPr>
              <w:pStyle w:val="11"/>
              <w:widowControl w:val="false"/>
              <w:tabs>
                <w:tab w:val="clear" w:pos="708"/>
                <w:tab w:val="left" w:pos="1134" w:leader="none"/>
                <w:tab w:val="left" w:pos="9900" w:leader="none"/>
              </w:tabs>
              <w:ind w:firstLine="567"/>
              <w:jc w:val="both"/>
              <w:rPr>
                <w:rFonts w:cs="Times New Roman"/>
                <w:b/>
                <w:color w:val="auto"/>
                <w:sz w:val="23"/>
                <w:szCs w:val="23"/>
              </w:rPr>
            </w:pPr>
            <w:r>
              <w:rPr>
                <w:rFonts w:cs="Times New Roman"/>
                <w:b/>
                <w:color w:val="auto"/>
                <w:sz w:val="23"/>
                <w:szCs w:val="23"/>
              </w:rPr>
              <w:t>Описание</w:t>
            </w:r>
          </w:p>
        </w:tc>
      </w:tr>
      <w:tr>
        <w:trPr>
          <w:trHeight w:val="23" w:hRule="atLeast"/>
        </w:trPr>
        <w:tc>
          <w:tcPr>
            <w:tcW w:w="3298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11"/>
              <w:widowControl w:val="false"/>
              <w:tabs>
                <w:tab w:val="clear" w:pos="708"/>
                <w:tab w:val="left" w:pos="1134" w:leader="none"/>
                <w:tab w:val="left" w:pos="10042" w:leader="none"/>
              </w:tabs>
              <w:ind w:start="172" w:end="125"/>
              <w:jc w:val="both"/>
              <w:rPr>
                <w:rFonts w:cs="Times New Roman"/>
                <w:color w:val="auto"/>
                <w:sz w:val="23"/>
                <w:szCs w:val="23"/>
              </w:rPr>
            </w:pPr>
            <w:r>
              <w:rPr>
                <w:rFonts w:cs="Times New Roman"/>
                <w:iCs/>
                <w:color w:val="auto"/>
                <w:spacing w:val="-1"/>
                <w:sz w:val="23"/>
                <w:szCs w:val="23"/>
              </w:rPr>
              <w:t>Анализ</w:t>
            </w:r>
            <w:r>
              <w:rPr>
                <w:rFonts w:cs="Times New Roman"/>
                <w:color w:val="auto"/>
                <w:sz w:val="23"/>
                <w:szCs w:val="23"/>
              </w:rPr>
              <w:t xml:space="preserve"> журналов событий серверов</w:t>
            </w:r>
          </w:p>
        </w:tc>
        <w:tc>
          <w:tcPr>
            <w:tcW w:w="6803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  <w:end w:val="single" w:sz="4" w:space="0" w:color="000001"/>
            </w:tcBorders>
            <w:shd w:color="auto" w:fill="auto" w:val="clear"/>
            <w:vAlign w:val="center"/>
          </w:tcPr>
          <w:p>
            <w:pPr>
              <w:pStyle w:val="11"/>
              <w:widowControl w:val="false"/>
              <w:tabs>
                <w:tab w:val="clear" w:pos="708"/>
                <w:tab w:val="left" w:pos="1134" w:leader="none"/>
                <w:tab w:val="left" w:pos="6327" w:leader="none"/>
                <w:tab w:val="left" w:pos="9953" w:leader="none"/>
              </w:tabs>
              <w:ind w:start="172" w:end="92"/>
              <w:jc w:val="both"/>
              <w:rPr>
                <w:rFonts w:cs="Times New Roman"/>
                <w:color w:val="auto"/>
                <w:spacing w:val="-1"/>
                <w:sz w:val="23"/>
                <w:szCs w:val="23"/>
              </w:rPr>
            </w:pPr>
            <w:r>
              <w:rPr>
                <w:rFonts w:cs="Times New Roman"/>
                <w:color w:val="auto"/>
                <w:spacing w:val="-1"/>
                <w:sz w:val="23"/>
                <w:szCs w:val="23"/>
              </w:rPr>
              <w:t>Проводится для выявления ошибок, связанных с функционированием базовых компонентов серверного обеспечения. Выявление возможных ошибок производится путем анализа журнала событий сервера и оценки возможной неисправности и путей ее устранения</w:t>
            </w:r>
          </w:p>
        </w:tc>
      </w:tr>
      <w:tr>
        <w:trPr>
          <w:trHeight w:val="23" w:hRule="atLeast"/>
        </w:trPr>
        <w:tc>
          <w:tcPr>
            <w:tcW w:w="3298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11"/>
              <w:widowControl w:val="false"/>
              <w:tabs>
                <w:tab w:val="clear" w:pos="708"/>
                <w:tab w:val="left" w:pos="1134" w:leader="none"/>
                <w:tab w:val="left" w:pos="10042" w:leader="none"/>
              </w:tabs>
              <w:ind w:start="172" w:end="125"/>
              <w:jc w:val="both"/>
              <w:rPr>
                <w:rFonts w:cs="Times New Roman"/>
                <w:iCs/>
                <w:color w:val="auto"/>
                <w:spacing w:val="-1"/>
                <w:sz w:val="23"/>
                <w:szCs w:val="23"/>
              </w:rPr>
            </w:pPr>
            <w:r>
              <w:rPr>
                <w:rFonts w:cs="Times New Roman"/>
                <w:iCs/>
                <w:color w:val="auto"/>
                <w:spacing w:val="-1"/>
                <w:sz w:val="23"/>
                <w:szCs w:val="23"/>
              </w:rPr>
              <w:t>Проверка сетевого взаимодействия</w:t>
            </w:r>
          </w:p>
        </w:tc>
        <w:tc>
          <w:tcPr>
            <w:tcW w:w="6803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  <w:end w:val="single" w:sz="4" w:space="0" w:color="000001"/>
            </w:tcBorders>
            <w:shd w:color="auto" w:fill="auto" w:val="clear"/>
            <w:vAlign w:val="center"/>
          </w:tcPr>
          <w:p>
            <w:pPr>
              <w:pStyle w:val="11"/>
              <w:widowControl w:val="false"/>
              <w:tabs>
                <w:tab w:val="clear" w:pos="708"/>
                <w:tab w:val="left" w:pos="1134" w:leader="none"/>
                <w:tab w:val="left" w:pos="6327" w:leader="none"/>
                <w:tab w:val="left" w:pos="9953" w:leader="none"/>
              </w:tabs>
              <w:ind w:start="172" w:end="92"/>
              <w:jc w:val="both"/>
              <w:rPr>
                <w:rFonts w:cs="Times New Roman"/>
                <w:color w:val="auto"/>
                <w:spacing w:val="-1"/>
                <w:sz w:val="23"/>
                <w:szCs w:val="23"/>
              </w:rPr>
            </w:pPr>
            <w:r>
              <w:rPr>
                <w:rFonts w:cs="Times New Roman"/>
                <w:color w:val="auto"/>
                <w:spacing w:val="-1"/>
                <w:sz w:val="23"/>
                <w:szCs w:val="23"/>
              </w:rPr>
              <w:t>Включает в себя краткий анализ журналов. Целью проверки является обнаружение неполадок в работе сетевых компонентов (серверы, АТС, медиашлюзы) и их устранение</w:t>
            </w:r>
          </w:p>
        </w:tc>
      </w:tr>
      <w:tr>
        <w:trPr>
          <w:trHeight w:val="23" w:hRule="atLeast"/>
        </w:trPr>
        <w:tc>
          <w:tcPr>
            <w:tcW w:w="3298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11"/>
              <w:widowControl w:val="false"/>
              <w:tabs>
                <w:tab w:val="clear" w:pos="708"/>
                <w:tab w:val="left" w:pos="1134" w:leader="none"/>
                <w:tab w:val="left" w:pos="10042" w:leader="none"/>
              </w:tabs>
              <w:ind w:start="172" w:end="125"/>
              <w:jc w:val="both"/>
              <w:rPr>
                <w:rFonts w:cs="Times New Roman"/>
                <w:iCs/>
                <w:color w:val="auto"/>
                <w:spacing w:val="-1"/>
                <w:sz w:val="23"/>
                <w:szCs w:val="23"/>
              </w:rPr>
            </w:pPr>
            <w:r>
              <w:rPr>
                <w:rFonts w:cs="Times New Roman"/>
                <w:iCs/>
                <w:color w:val="auto"/>
                <w:spacing w:val="-1"/>
                <w:sz w:val="23"/>
                <w:szCs w:val="23"/>
              </w:rPr>
              <w:t>Проверка работы служб серверных операционных систем</w:t>
            </w:r>
          </w:p>
        </w:tc>
        <w:tc>
          <w:tcPr>
            <w:tcW w:w="6803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  <w:end w:val="single" w:sz="4" w:space="0" w:color="000001"/>
            </w:tcBorders>
            <w:shd w:color="auto" w:fill="auto" w:val="clear"/>
            <w:vAlign w:val="center"/>
          </w:tcPr>
          <w:p>
            <w:pPr>
              <w:pStyle w:val="11"/>
              <w:widowControl w:val="false"/>
              <w:tabs>
                <w:tab w:val="clear" w:pos="708"/>
                <w:tab w:val="left" w:pos="1134" w:leader="none"/>
                <w:tab w:val="left" w:pos="6327" w:leader="none"/>
                <w:tab w:val="left" w:pos="9953" w:leader="none"/>
              </w:tabs>
              <w:ind w:start="172" w:end="92"/>
              <w:jc w:val="both"/>
              <w:rPr>
                <w:rFonts w:cs="Times New Roman"/>
                <w:color w:val="auto"/>
                <w:spacing w:val="-1"/>
                <w:sz w:val="23"/>
                <w:szCs w:val="23"/>
              </w:rPr>
            </w:pPr>
            <w:r>
              <w:rPr>
                <w:rFonts w:cs="Times New Roman"/>
                <w:color w:val="auto"/>
                <w:spacing w:val="-1"/>
                <w:sz w:val="23"/>
                <w:szCs w:val="23"/>
              </w:rPr>
              <w:t>Проверка включает в себя анализ работоспособности стандартных служб серверов, используемых СПО-112 и интегрированными с ней системами</w:t>
            </w:r>
          </w:p>
        </w:tc>
      </w:tr>
      <w:tr>
        <w:trPr>
          <w:trHeight w:val="23" w:hRule="atLeast"/>
        </w:trPr>
        <w:tc>
          <w:tcPr>
            <w:tcW w:w="3298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11"/>
              <w:widowControl w:val="false"/>
              <w:tabs>
                <w:tab w:val="clear" w:pos="708"/>
                <w:tab w:val="left" w:pos="1134" w:leader="none"/>
                <w:tab w:val="left" w:pos="10042" w:leader="none"/>
              </w:tabs>
              <w:ind w:start="172" w:end="125"/>
              <w:jc w:val="both"/>
              <w:rPr>
                <w:rFonts w:cs="Times New Roman"/>
                <w:iCs/>
                <w:color w:val="auto"/>
                <w:spacing w:val="-1"/>
                <w:sz w:val="23"/>
                <w:szCs w:val="23"/>
              </w:rPr>
            </w:pPr>
            <w:r>
              <w:rPr>
                <w:rFonts w:cs="Times New Roman"/>
                <w:iCs/>
                <w:color w:val="auto"/>
                <w:spacing w:val="-1"/>
                <w:sz w:val="23"/>
                <w:szCs w:val="23"/>
              </w:rPr>
              <w:t>Проверка наличия обновлений операционной системы и серверных приложений</w:t>
            </w:r>
          </w:p>
        </w:tc>
        <w:tc>
          <w:tcPr>
            <w:tcW w:w="6803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  <w:end w:val="single" w:sz="4" w:space="0" w:color="000001"/>
            </w:tcBorders>
            <w:shd w:color="auto" w:fill="auto" w:val="clear"/>
            <w:vAlign w:val="center"/>
          </w:tcPr>
          <w:p>
            <w:pPr>
              <w:pStyle w:val="11"/>
              <w:widowControl w:val="false"/>
              <w:tabs>
                <w:tab w:val="clear" w:pos="708"/>
                <w:tab w:val="left" w:pos="1134" w:leader="none"/>
                <w:tab w:val="left" w:pos="6327" w:leader="none"/>
                <w:tab w:val="left" w:pos="9953" w:leader="none"/>
              </w:tabs>
              <w:ind w:start="172" w:end="92"/>
              <w:jc w:val="both"/>
              <w:rPr>
                <w:rFonts w:cs="Times New Roman"/>
                <w:color w:val="auto"/>
                <w:spacing w:val="-1"/>
                <w:sz w:val="23"/>
                <w:szCs w:val="23"/>
              </w:rPr>
            </w:pPr>
            <w:r>
              <w:rPr>
                <w:rFonts w:cs="Times New Roman"/>
                <w:color w:val="auto"/>
                <w:spacing w:val="-1"/>
                <w:sz w:val="23"/>
                <w:szCs w:val="23"/>
              </w:rPr>
              <w:t>Проводится с целью поддержки работоспособности СПО-112 по согласованию с Заказчиком</w:t>
            </w:r>
          </w:p>
        </w:tc>
      </w:tr>
      <w:tr>
        <w:trPr>
          <w:trHeight w:val="23" w:hRule="atLeast"/>
        </w:trPr>
        <w:tc>
          <w:tcPr>
            <w:tcW w:w="3298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11"/>
              <w:widowControl w:val="false"/>
              <w:tabs>
                <w:tab w:val="clear" w:pos="708"/>
                <w:tab w:val="left" w:pos="1134" w:leader="none"/>
                <w:tab w:val="left" w:pos="10042" w:leader="none"/>
              </w:tabs>
              <w:ind w:start="172" w:end="125"/>
              <w:jc w:val="both"/>
              <w:rPr>
                <w:rFonts w:cs="Times New Roman"/>
                <w:iCs/>
                <w:color w:val="auto"/>
                <w:spacing w:val="-1"/>
                <w:sz w:val="23"/>
                <w:szCs w:val="23"/>
              </w:rPr>
            </w:pPr>
            <w:r>
              <w:rPr>
                <w:rFonts w:cs="Times New Roman"/>
                <w:iCs/>
                <w:color w:val="auto"/>
                <w:spacing w:val="-1"/>
                <w:sz w:val="23"/>
                <w:szCs w:val="23"/>
              </w:rPr>
              <w:t>Анализ темпов роста объемов баз данных</w:t>
            </w:r>
          </w:p>
        </w:tc>
        <w:tc>
          <w:tcPr>
            <w:tcW w:w="6803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  <w:end w:val="single" w:sz="4" w:space="0" w:color="000001"/>
            </w:tcBorders>
            <w:shd w:color="auto" w:fill="auto" w:val="clear"/>
            <w:vAlign w:val="center"/>
          </w:tcPr>
          <w:p>
            <w:pPr>
              <w:pStyle w:val="11"/>
              <w:widowControl w:val="false"/>
              <w:tabs>
                <w:tab w:val="clear" w:pos="708"/>
                <w:tab w:val="left" w:pos="1134" w:leader="none"/>
                <w:tab w:val="left" w:pos="6327" w:leader="none"/>
                <w:tab w:val="left" w:pos="9953" w:leader="none"/>
              </w:tabs>
              <w:ind w:start="172" w:end="92"/>
              <w:jc w:val="both"/>
              <w:rPr>
                <w:rFonts w:cs="Times New Roman"/>
                <w:color w:val="auto"/>
                <w:spacing w:val="-1"/>
                <w:sz w:val="23"/>
                <w:szCs w:val="23"/>
              </w:rPr>
            </w:pPr>
            <w:r>
              <w:rPr>
                <w:rFonts w:cs="Times New Roman"/>
                <w:color w:val="auto"/>
                <w:spacing w:val="-1"/>
                <w:sz w:val="23"/>
                <w:szCs w:val="23"/>
              </w:rPr>
              <w:t>Получение информации о размере дискового пространства, объеме базы данных и базы документов. Целью проведения работ является прогнозирование темпов роста объемов данных и своевременное увеличение размеров дискового пространства и файлового хранилища</w:t>
            </w:r>
          </w:p>
        </w:tc>
      </w:tr>
      <w:tr>
        <w:trPr>
          <w:trHeight w:val="80" w:hRule="atLeast"/>
        </w:trPr>
        <w:tc>
          <w:tcPr>
            <w:tcW w:w="3298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</w:tcBorders>
            <w:shd w:color="auto" w:fill="auto" w:val="clear"/>
            <w:vAlign w:val="center"/>
          </w:tcPr>
          <w:p>
            <w:pPr>
              <w:pStyle w:val="11"/>
              <w:widowControl w:val="false"/>
              <w:tabs>
                <w:tab w:val="clear" w:pos="708"/>
                <w:tab w:val="left" w:pos="1134" w:leader="none"/>
                <w:tab w:val="left" w:pos="10042" w:leader="none"/>
              </w:tabs>
              <w:ind w:start="172" w:end="141"/>
              <w:jc w:val="both"/>
              <w:rPr>
                <w:rFonts w:cs="Times New Roman"/>
                <w:color w:val="auto"/>
                <w:sz w:val="23"/>
                <w:szCs w:val="23"/>
              </w:rPr>
            </w:pPr>
            <w:r>
              <w:rPr>
                <w:rFonts w:cs="Times New Roman"/>
                <w:iCs/>
                <w:color w:val="auto"/>
                <w:spacing w:val="-1"/>
                <w:sz w:val="23"/>
                <w:szCs w:val="23"/>
              </w:rPr>
              <w:t>Анализ функционирования Системы-112, сбор и анализ статистики, характеризующей производительность Системы-112</w:t>
            </w:r>
          </w:p>
        </w:tc>
        <w:tc>
          <w:tcPr>
            <w:tcW w:w="6803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  <w:end w:val="single" w:sz="4" w:space="0" w:color="000001"/>
            </w:tcBorders>
            <w:shd w:color="auto" w:fill="auto" w:val="clear"/>
            <w:vAlign w:val="center"/>
          </w:tcPr>
          <w:p>
            <w:pPr>
              <w:pStyle w:val="11"/>
              <w:widowControl w:val="false"/>
              <w:tabs>
                <w:tab w:val="clear" w:pos="708"/>
                <w:tab w:val="left" w:pos="1134" w:leader="none"/>
                <w:tab w:val="left" w:pos="6327" w:leader="none"/>
                <w:tab w:val="left" w:pos="9953" w:leader="none"/>
              </w:tabs>
              <w:ind w:start="172" w:end="92"/>
              <w:jc w:val="both"/>
              <w:rPr>
                <w:rFonts w:cs="Times New Roman"/>
                <w:color w:val="auto"/>
                <w:sz w:val="23"/>
                <w:szCs w:val="23"/>
              </w:rPr>
            </w:pPr>
            <w:r>
              <w:rPr>
                <w:rFonts w:cs="Times New Roman"/>
                <w:color w:val="auto"/>
                <w:spacing w:val="-1"/>
                <w:sz w:val="23"/>
                <w:szCs w:val="23"/>
              </w:rPr>
              <w:t>Выявление отклонений фактических эксплуатационных характеристик компонент СПО-112 от проектных значений, установление причин этих отклонений и устранение выявленных недостатков в производительности системы. Обеспечение стабильности эксплуатационных характеристик функционирования СПО-112, в том числе посредством модификации СПО-112, выпуска и установки модифицированной версии (пп. 4.1.1 настоящего ТЗ).</w:t>
            </w:r>
          </w:p>
        </w:tc>
      </w:tr>
    </w:tbl>
    <w:p>
      <w:pPr>
        <w:pStyle w:val="Heading2"/>
        <w:keepNext w:val="false"/>
        <w:keepLines w:val="false"/>
        <w:widowControl w:val="false"/>
        <w:numPr>
          <w:ilvl w:val="1"/>
          <w:numId w:val="26"/>
        </w:numPr>
        <w:tabs>
          <w:tab w:val="clear" w:pos="708"/>
          <w:tab w:val="left" w:pos="1134" w:leader="none"/>
        </w:tabs>
        <w:spacing w:lineRule="auto" w:line="240" w:before="0" w:after="0"/>
        <w:ind w:firstLine="567" w:start="0"/>
        <w:rPr>
          <w:sz w:val="23"/>
          <w:szCs w:val="23"/>
        </w:rPr>
      </w:pPr>
      <w:bookmarkStart w:id="74" w:name="_Toc795067"/>
      <w:r>
        <w:rPr>
          <w:sz w:val="23"/>
          <w:szCs w:val="23"/>
        </w:rPr>
        <w:t>Отчетность Исполнителя о проведении работ по техническому сопровождению СПО-112 системы-112</w:t>
      </w:r>
      <w:bookmarkEnd w:id="74"/>
    </w:p>
    <w:p>
      <w:pPr>
        <w:pStyle w:val="Style23"/>
        <w:keepNext w:val="false"/>
        <w:widowControl w:val="false"/>
        <w:tabs>
          <w:tab w:val="clear" w:pos="708"/>
          <w:tab w:val="left" w:pos="1134" w:leader="none"/>
        </w:tabs>
        <w:spacing w:lineRule="auto" w:line="240" w:before="0" w:after="0"/>
        <w:ind w:firstLine="567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 xml:space="preserve">За каждый период оказания услуг, определенный </w:t>
      </w:r>
      <w:r>
        <w:rPr>
          <w:rFonts w:cs="Times New Roman"/>
          <w:sz w:val="23"/>
          <w:szCs w:val="23"/>
        </w:rPr>
        <w:t>Договора</w:t>
      </w:r>
      <w:r>
        <w:rPr>
          <w:rFonts w:cs="Times New Roman"/>
          <w:sz w:val="23"/>
          <w:szCs w:val="23"/>
        </w:rPr>
        <w:t>, Исполнитель представляет Заказчику отчет о проделанной работе по информационной и технической поддержке системы-112 *техническому сопровождению) с приложением к отчету журнала регистрации заявок и выполнения работ, содержащего информацию о поступивших заявках, их состоянии и результатах решения.</w:t>
      </w:r>
    </w:p>
    <w:p>
      <w:pPr>
        <w:pStyle w:val="Style23"/>
        <w:keepNext w:val="false"/>
        <w:widowControl w:val="false"/>
        <w:tabs>
          <w:tab w:val="clear" w:pos="708"/>
          <w:tab w:val="left" w:pos="1134" w:leader="none"/>
        </w:tabs>
        <w:spacing w:lineRule="auto" w:line="240" w:before="0" w:after="0"/>
        <w:ind w:firstLine="567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>Отчет должен содержать следующую информацию:</w:t>
      </w:r>
    </w:p>
    <w:p>
      <w:pPr>
        <w:pStyle w:val="Style24"/>
        <w:widowControl w:val="false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40" w:before="0" w:after="0"/>
        <w:ind w:firstLine="567"/>
        <w:rPr>
          <w:rFonts w:cs="Times New Roman"/>
          <w:sz w:val="23"/>
          <w:szCs w:val="23"/>
          <w:lang w:eastAsia="ru-RU"/>
        </w:rPr>
      </w:pPr>
      <w:r>
        <w:rPr>
          <w:rFonts w:cs="Times New Roman"/>
          <w:sz w:val="23"/>
          <w:szCs w:val="23"/>
          <w:lang w:eastAsia="ru-RU"/>
        </w:rPr>
        <w:t xml:space="preserve">перечень заявок, поступивших от пользователей за отчетный период, и результаты </w:t>
        <w:br/>
        <w:t>их рассмотрения;</w:t>
      </w:r>
    </w:p>
    <w:p>
      <w:pPr>
        <w:pStyle w:val="Style24"/>
        <w:widowControl w:val="false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40" w:before="0" w:after="0"/>
        <w:ind w:firstLine="567"/>
        <w:rPr>
          <w:rFonts w:cs="Times New Roman"/>
          <w:sz w:val="23"/>
          <w:szCs w:val="23"/>
          <w:lang w:eastAsia="ru-RU"/>
        </w:rPr>
      </w:pPr>
      <w:r>
        <w:rPr>
          <w:rFonts w:cs="Times New Roman"/>
          <w:sz w:val="23"/>
          <w:szCs w:val="23"/>
          <w:lang w:eastAsia="ru-RU"/>
        </w:rPr>
        <w:t>отчет о проведении плановых работ (в том числе удаленной поддержке);</w:t>
      </w:r>
    </w:p>
    <w:p>
      <w:pPr>
        <w:pStyle w:val="Style24"/>
        <w:widowControl w:val="false"/>
        <w:numPr>
          <w:ilvl w:val="0"/>
          <w:numId w:val="2"/>
        </w:numPr>
        <w:tabs>
          <w:tab w:val="clear" w:pos="708"/>
          <w:tab w:val="left" w:pos="1134" w:leader="none"/>
        </w:tabs>
        <w:spacing w:lineRule="auto" w:line="240" w:before="0" w:after="0"/>
        <w:ind w:firstLine="567"/>
        <w:rPr>
          <w:rFonts w:cs="Times New Roman"/>
          <w:sz w:val="23"/>
          <w:szCs w:val="23"/>
          <w:lang w:eastAsia="ru-RU"/>
        </w:rPr>
      </w:pPr>
      <w:r>
        <w:rPr>
          <w:rFonts w:cs="Times New Roman"/>
          <w:sz w:val="23"/>
          <w:szCs w:val="23"/>
          <w:lang w:eastAsia="ru-RU"/>
        </w:rPr>
        <w:t>отчет о проведении работ по восстановлению и/или поддержанию работоспособности системы-112;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Формат отчета должен быть согласован с Заказчиком в течение 10 (десяти) рабочих дней после подписания </w:t>
      </w:r>
      <w:r>
        <w:rPr>
          <w:sz w:val="23"/>
          <w:szCs w:val="23"/>
        </w:rPr>
        <w:t>Договора</w:t>
      </w:r>
      <w:r>
        <w:rPr>
          <w:sz w:val="23"/>
          <w:szCs w:val="23"/>
        </w:rPr>
        <w:t>.</w:t>
      </w:r>
    </w:p>
    <w:p>
      <w:pPr>
        <w:pStyle w:val="Heading2"/>
        <w:keepNext w:val="false"/>
        <w:keepLines w:val="false"/>
        <w:widowControl w:val="false"/>
        <w:numPr>
          <w:ilvl w:val="1"/>
          <w:numId w:val="26"/>
        </w:numPr>
        <w:tabs>
          <w:tab w:val="clear" w:pos="708"/>
          <w:tab w:val="left" w:pos="1134" w:leader="none"/>
        </w:tabs>
        <w:spacing w:lineRule="auto" w:line="240" w:before="0" w:after="0"/>
        <w:ind w:firstLine="567" w:start="0"/>
        <w:rPr>
          <w:sz w:val="23"/>
          <w:szCs w:val="23"/>
        </w:rPr>
      </w:pPr>
      <w:bookmarkStart w:id="75" w:name="_Toc795068"/>
      <w:r>
        <w:rPr>
          <w:sz w:val="23"/>
          <w:szCs w:val="23"/>
        </w:rPr>
        <w:t>Ограничения при решении обращений</w:t>
      </w:r>
      <w:bookmarkEnd w:id="75"/>
    </w:p>
    <w:p>
      <w:pPr>
        <w:pStyle w:val="Style23"/>
        <w:keepNext w:val="false"/>
        <w:widowControl w:val="false"/>
        <w:tabs>
          <w:tab w:val="clear" w:pos="708"/>
          <w:tab w:val="left" w:pos="1134" w:leader="none"/>
        </w:tabs>
        <w:spacing w:lineRule="auto" w:line="240" w:before="0" w:after="0"/>
        <w:ind w:firstLine="567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>Уровень сопровождения, определённый настоящим Техническим заданием, не гарантируется в случае, когда неработоспособность системы-112 была прямо или косвенно вызвана следующими причинами:</w:t>
      </w:r>
    </w:p>
    <w:p>
      <w:pPr>
        <w:pStyle w:val="Style25"/>
        <w:widowControl w:val="false"/>
        <w:numPr>
          <w:ilvl w:val="0"/>
          <w:numId w:val="28"/>
        </w:numPr>
        <w:tabs>
          <w:tab w:val="clear" w:pos="708"/>
          <w:tab w:val="left" w:pos="1134" w:leader="none"/>
        </w:tabs>
        <w:spacing w:lineRule="auto" w:line="240" w:before="0" w:after="0"/>
        <w:ind w:firstLine="567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>Причинами, находящимися за пределами разумного контроля Исполнителя, включая, но не ограничиваясь: войны, вооружённые конфликты, терроризм, пожар, наводнение, эпидемии, недоступность или нарушение функционирования телекоммуникационных сетей и оборудования третьих лиц, нарушения работы транспорта, сетевые атаки или несанкционированный доступ, сбои программного обеспечения, разработанного третьими лицами, невозможность получения расходных материалов, электроэнергии и других необходимых для обеспечения работоспособности системы-112 ресурсов.</w:t>
      </w:r>
    </w:p>
    <w:p>
      <w:pPr>
        <w:pStyle w:val="Style25"/>
        <w:widowControl w:val="false"/>
        <w:numPr>
          <w:ilvl w:val="0"/>
          <w:numId w:val="4"/>
        </w:numPr>
        <w:tabs>
          <w:tab w:val="clear" w:pos="708"/>
          <w:tab w:val="left" w:pos="1134" w:leader="none"/>
        </w:tabs>
        <w:spacing w:lineRule="auto" w:line="240" w:before="0" w:after="0"/>
        <w:ind w:firstLine="567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>Неработоспособностью телекоммуникационных сетей Заказчика.</w:t>
      </w:r>
    </w:p>
    <w:p>
      <w:pPr>
        <w:pStyle w:val="Style25"/>
        <w:widowControl w:val="false"/>
        <w:numPr>
          <w:ilvl w:val="0"/>
          <w:numId w:val="4"/>
        </w:numPr>
        <w:tabs>
          <w:tab w:val="clear" w:pos="708"/>
          <w:tab w:val="left" w:pos="1134" w:leader="none"/>
        </w:tabs>
        <w:spacing w:lineRule="auto" w:line="240" w:before="0" w:after="0"/>
        <w:ind w:firstLine="567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>Ликвидацией аварийных ситуаций, которые вызваны обстоятельствами непреодолимой силы.</w:t>
      </w:r>
    </w:p>
    <w:p>
      <w:pPr>
        <w:pStyle w:val="Style25"/>
        <w:widowControl w:val="false"/>
        <w:numPr>
          <w:ilvl w:val="0"/>
          <w:numId w:val="4"/>
        </w:numPr>
        <w:tabs>
          <w:tab w:val="clear" w:pos="708"/>
          <w:tab w:val="left" w:pos="1134" w:leader="none"/>
        </w:tabs>
        <w:spacing w:lineRule="auto" w:line="240" w:before="0" w:after="0"/>
        <w:ind w:firstLine="567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>Действиями самого Заказчика или уполномоченных им лиц, включая несанкционированное изменение конфигурации системы-112.</w:t>
      </w:r>
    </w:p>
    <w:p>
      <w:pPr>
        <w:pStyle w:val="Style25"/>
        <w:widowControl w:val="false"/>
        <w:numPr>
          <w:ilvl w:val="0"/>
          <w:numId w:val="4"/>
        </w:numPr>
        <w:tabs>
          <w:tab w:val="clear" w:pos="708"/>
          <w:tab w:val="left" w:pos="1134" w:leader="none"/>
        </w:tabs>
        <w:spacing w:lineRule="auto" w:line="240" w:before="0" w:after="0"/>
        <w:ind w:firstLine="567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>Отказами программного обеспечения и коммуникационного оборудования, являющегося собственностью или арендуемого Заказчиком, непосредственно влияющего на работоспособность СПО-112 системы-112.</w:t>
      </w:r>
    </w:p>
    <w:p>
      <w:pPr>
        <w:pStyle w:val="Style25"/>
        <w:widowControl w:val="false"/>
        <w:numPr>
          <w:ilvl w:val="0"/>
          <w:numId w:val="4"/>
        </w:numPr>
        <w:tabs>
          <w:tab w:val="clear" w:pos="708"/>
          <w:tab w:val="left" w:pos="1134" w:leader="none"/>
        </w:tabs>
        <w:spacing w:lineRule="auto" w:line="240" w:before="0" w:after="0"/>
        <w:ind w:firstLine="567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>Направленными DDOS-атаками и другими подобными воздействиями на сеть Исполнителя или Заказчика.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Heading2"/>
        <w:numPr>
          <w:ilvl w:val="0"/>
          <w:numId w:val="20"/>
        </w:numPr>
        <w:spacing w:lineRule="auto" w:line="240" w:before="0" w:after="0"/>
        <w:ind w:firstLine="709" w:start="0"/>
        <w:rPr>
          <w:sz w:val="23"/>
          <w:szCs w:val="23"/>
          <w:lang w:eastAsia="ru-RU"/>
        </w:rPr>
      </w:pPr>
      <w:r>
        <w:rPr>
          <w:sz w:val="23"/>
          <w:szCs w:val="23"/>
          <w:lang w:eastAsia="ru-RU"/>
        </w:rPr>
        <w:t>Требования к защите интеллектуальной собственности</w:t>
      </w:r>
    </w:p>
    <w:p>
      <w:pPr>
        <w:pStyle w:val="BodyText"/>
        <w:spacing w:before="0" w:after="0"/>
        <w:ind w:firstLine="709"/>
        <w:jc w:val="both"/>
        <w:rPr>
          <w:sz w:val="23"/>
          <w:szCs w:val="23"/>
          <w:lang w:eastAsia="ru-RU"/>
        </w:rPr>
      </w:pPr>
      <w:r>
        <w:rPr>
          <w:sz w:val="23"/>
          <w:szCs w:val="23"/>
          <w:lang w:eastAsia="ru-RU"/>
        </w:rPr>
        <w:t>Права и обязанности Исполнителя и Заказчика в отношении использования охраняемых результатов интеллектуальной деятельности, принадлежащих третьим лицам, в ходе выполнения договора определяются действующим законодательством Российской Федерацией и условиями заключаемых с правообладателями договоров.</w:t>
      </w:r>
    </w:p>
    <w:p>
      <w:pPr>
        <w:pStyle w:val="BodyText"/>
        <w:spacing w:before="0" w:after="0"/>
        <w:ind w:firstLine="709"/>
        <w:jc w:val="both"/>
        <w:rPr>
          <w:sz w:val="23"/>
          <w:szCs w:val="23"/>
          <w:lang w:eastAsia="ru-RU"/>
        </w:rPr>
      </w:pPr>
      <w:r>
        <w:rPr>
          <w:sz w:val="23"/>
          <w:szCs w:val="23"/>
          <w:lang w:eastAsia="ru-RU"/>
        </w:rPr>
        <w:t>Исполнитель обязуется:</w:t>
      </w:r>
    </w:p>
    <w:p>
      <w:pPr>
        <w:pStyle w:val="BodyText"/>
        <w:spacing w:before="0" w:after="0"/>
        <w:ind w:firstLine="709"/>
        <w:jc w:val="both"/>
        <w:rPr>
          <w:sz w:val="23"/>
          <w:szCs w:val="23"/>
          <w:lang w:eastAsia="ru-RU"/>
        </w:rPr>
      </w:pPr>
      <w:r>
        <w:rPr>
          <w:sz w:val="23"/>
          <w:szCs w:val="23"/>
          <w:lang w:eastAsia="ru-RU"/>
        </w:rPr>
        <w:t>- не демонтировать СПО-112, перечисленное в пункте 1.1 настоящего Технического задания;</w:t>
      </w:r>
    </w:p>
    <w:p>
      <w:pPr>
        <w:pStyle w:val="BodyText"/>
        <w:spacing w:before="0" w:after="0"/>
        <w:ind w:firstLine="709"/>
        <w:jc w:val="both"/>
        <w:rPr>
          <w:sz w:val="23"/>
          <w:szCs w:val="23"/>
          <w:lang w:eastAsia="ru-RU"/>
        </w:rPr>
      </w:pPr>
      <w:r>
        <w:rPr>
          <w:sz w:val="23"/>
          <w:szCs w:val="23"/>
          <w:lang w:eastAsia="ru-RU"/>
        </w:rPr>
        <w:t>- не удалять любую идентификацию продукта, товарный знак, уведомление об авторском праве, конфиденциальности, праве собственности или иное уведомление, содержащееся на программном обеспечении или в нем;</w:t>
      </w:r>
    </w:p>
    <w:p>
      <w:pPr>
        <w:pStyle w:val="BodyText"/>
        <w:spacing w:before="0" w:after="0"/>
        <w:ind w:firstLine="709"/>
        <w:jc w:val="both"/>
        <w:rPr>
          <w:sz w:val="23"/>
          <w:szCs w:val="23"/>
          <w:lang w:eastAsia="ru-RU"/>
        </w:rPr>
      </w:pPr>
      <w:r>
        <w:rPr>
          <w:sz w:val="23"/>
          <w:szCs w:val="23"/>
          <w:lang w:eastAsia="ru-RU"/>
        </w:rPr>
        <w:t>- не создавать любые произведения, производные от СПО-112 или любой его части, за исключением и в пределах тех случаев, когда СПО-112, предусматривает компоненты, которые могут быть изменены пользователем.</w:t>
      </w:r>
    </w:p>
    <w:p>
      <w:pPr>
        <w:pStyle w:val="Normal"/>
        <w:ind w:firstLine="709"/>
        <w:jc w:val="both"/>
        <w:rPr>
          <w:sz w:val="23"/>
          <w:szCs w:val="23"/>
          <w:lang w:eastAsia="zh-CN" w:bidi="hi-IN"/>
        </w:rPr>
      </w:pPr>
      <w:r>
        <w:rPr>
          <w:sz w:val="23"/>
          <w:szCs w:val="23"/>
          <w:lang w:eastAsia="zh-CN" w:bidi="hi-IN"/>
        </w:rPr>
        <w:t>Услуги по полному техническому сопровождению СПО-112 должны оказываться с надлежащим качеством, обеспечивающим работоспособность СПО-112, в том числе с соблюдением требований в отношении охраняемых результатов интеллектуальной деятельности, установленных Правообладателями СПО, которые указаны в пункте 1.1 к настоящему Техническому заданию.</w:t>
      </w:r>
    </w:p>
    <w:p>
      <w:pPr>
        <w:pStyle w:val="Normal"/>
        <w:ind w:firstLine="709"/>
        <w:jc w:val="both"/>
        <w:rPr>
          <w:sz w:val="23"/>
          <w:szCs w:val="23"/>
          <w:lang w:eastAsia="zh-CN" w:bidi="hi-IN"/>
        </w:rPr>
      </w:pPr>
      <w:r>
        <w:rPr>
          <w:sz w:val="23"/>
          <w:szCs w:val="23"/>
          <w:lang w:eastAsia="zh-CN" w:bidi="hi-IN"/>
        </w:rPr>
        <w:t>Услуги должны быть оказаны в соответствии с требованиями действующего законодательства Российской Федерации в отношении прав на результаты интеллектуальной деятельности, в частности предусмотренных Гражданским кодексом Российской Федерации (часть четвертая) от 18.12.2006 № 230-ФЗ (ГК РФ). В соответствии с положениями ч. 1 ст. 1229, ст. 1261, ч. 1 и пп. 9 ч.2 ст. 1270 Гражданского кодекса Российской Федерации, ГОСТ Р ИСО/МЭК 14764-2002 Заказчик при формировании настоящего ТЗ учитывает и описывает имеющийся объем прав и ограничений по использованию СПО-112.</w:t>
      </w:r>
    </w:p>
    <w:p>
      <w:pPr>
        <w:pStyle w:val="Normal"/>
        <w:ind w:firstLine="709"/>
        <w:jc w:val="both"/>
        <w:rPr>
          <w:sz w:val="23"/>
          <w:szCs w:val="23"/>
          <w:lang w:eastAsia="zh-CN" w:bidi="hi-IN"/>
        </w:rPr>
      </w:pPr>
      <w:r>
        <w:rPr>
          <w:sz w:val="23"/>
          <w:szCs w:val="23"/>
          <w:lang w:eastAsia="zh-CN" w:bidi="hi-IN"/>
        </w:rPr>
        <w:t>Предметом настоящего ТЗ не является приобретение и/или расширение объема неисключительных прав на использование СПО-112, имеющегося у Заказчика. Установка обновленных модифицированных версий не влечет за собой создания отдельного производного программного средства и не требует передачи Заказчику неисключительных прав на производный программный продукт. Целью процесса полного технического сопровождения является модификация СПО-112 при сохранении его целостности согласно ГОСТ Р ИСО/МЭК 14764-2002.</w:t>
      </w:r>
    </w:p>
    <w:p>
      <w:pPr>
        <w:pStyle w:val="BodyText"/>
        <w:spacing w:before="0" w:after="0"/>
        <w:ind w:firstLine="709"/>
        <w:jc w:val="both"/>
        <w:rPr>
          <w:sz w:val="23"/>
          <w:szCs w:val="23"/>
          <w:lang w:eastAsia="ru-RU"/>
        </w:rPr>
      </w:pPr>
      <w:r>
        <w:rPr>
          <w:sz w:val="23"/>
          <w:szCs w:val="23"/>
          <w:lang w:eastAsia="ru-RU"/>
        </w:rPr>
        <w:t>Для достижения целей оказания услуг Исполнитель или привлекаемый им соисполнитель должен обладать всеми необходимыми правами и полномочиями в отношении используемого Заказчиком проприетарного специального программного обеспечения, перечисленного в пункте 1.1 настоящего Технического задания.</w:t>
      </w:r>
    </w:p>
    <w:p>
      <w:pPr>
        <w:pStyle w:val="BodyText"/>
        <w:spacing w:before="0" w:after="0"/>
        <w:ind w:firstLine="709"/>
        <w:jc w:val="both"/>
        <w:rPr>
          <w:sz w:val="23"/>
          <w:szCs w:val="23"/>
          <w:lang w:eastAsia="ru-RU"/>
        </w:rPr>
      </w:pPr>
      <w:r>
        <w:rPr>
          <w:sz w:val="23"/>
          <w:szCs w:val="23"/>
          <w:lang w:eastAsia="ru-RU"/>
        </w:rPr>
        <w:t>Всю полноту ответственности за незаконное использование примененных в ходе оказания услуг результатов интеллектуальной деятельности и средств индивидуализации несет Исполнитель.</w:t>
      </w:r>
    </w:p>
    <w:p>
      <w:pPr>
        <w:pStyle w:val="BodyText"/>
        <w:spacing w:before="0" w:after="0"/>
        <w:ind w:firstLine="709"/>
        <w:jc w:val="both"/>
        <w:rPr>
          <w:sz w:val="23"/>
          <w:szCs w:val="23"/>
        </w:rPr>
      </w:pPr>
      <w:r>
        <w:rPr>
          <w:sz w:val="23"/>
          <w:szCs w:val="23"/>
          <w:lang w:eastAsia="ru-RU"/>
        </w:rPr>
        <w:t>Заказчик не несет ответственности за нарушение Исполнителем исключительных (неисключительных) прав на результаты интеллектуальной деятельности третьих лиц. В случае предъявления к Заказчику претензий по основанию нарушения им интеллектуальных прав на СПО-112, Исполнитель обязуется возместить Заказчику все убытки, причиненные в связи с предъявлением такой претензии.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both"/>
        <w:rPr>
          <w:sz w:val="23"/>
          <w:szCs w:val="23"/>
          <w:highlight w:val="yellow"/>
        </w:rPr>
      </w:pPr>
      <w:r>
        <w:rPr>
          <w:sz w:val="23"/>
          <w:szCs w:val="23"/>
          <w:highlight w:val="yellow"/>
        </w:rPr>
      </w:r>
    </w:p>
    <w:p>
      <w:pPr>
        <w:pStyle w:val="Normal"/>
        <w:pBdr/>
        <w:ind w:firstLine="709"/>
        <w:jc w:val="both"/>
        <w:rPr>
          <w:sz w:val="23"/>
          <w:szCs w:val="23"/>
        </w:rPr>
      </w:pPr>
      <w:r>
        <w:rPr>
          <w:b/>
          <w:color w:val="000000"/>
          <w:sz w:val="23"/>
          <w:szCs w:val="23"/>
        </w:rPr>
        <w:t>6. Нормативное правовое обеспечение настоящего Технического задания</w:t>
      </w:r>
    </w:p>
    <w:p>
      <w:pPr>
        <w:pStyle w:val="Normal"/>
        <w:numPr>
          <w:ilvl w:val="6"/>
          <w:numId w:val="21"/>
        </w:numPr>
        <w:pBdr/>
        <w:ind w:firstLine="709" w:start="0"/>
        <w:jc w:val="both"/>
        <w:rPr>
          <w:sz w:val="23"/>
          <w:szCs w:val="23"/>
        </w:rPr>
      </w:pPr>
      <w:r>
        <w:rPr>
          <w:color w:val="000000"/>
          <w:sz w:val="23"/>
          <w:szCs w:val="23"/>
        </w:rPr>
        <w:t>Федеральный закон от 21.12.1994 № 68-ФЗ "О защите населения и территорий от чрезвычайных ситуаций природного и техногенного характера"</w:t>
      </w:r>
    </w:p>
    <w:p>
      <w:pPr>
        <w:pStyle w:val="Normal"/>
        <w:numPr>
          <w:ilvl w:val="6"/>
          <w:numId w:val="21"/>
        </w:numPr>
        <w:pBdr/>
        <w:ind w:firstLine="709" w:start="0"/>
        <w:jc w:val="both"/>
        <w:rPr>
          <w:sz w:val="23"/>
          <w:szCs w:val="23"/>
        </w:rPr>
      </w:pPr>
      <w:r>
        <w:rPr>
          <w:color w:val="000000"/>
          <w:sz w:val="23"/>
          <w:szCs w:val="23"/>
        </w:rPr>
        <w:t>Постановление Правительства РФ от 31.08.2021 № 1453 «Перечень экстренных оперативных служб, вызов которых круглосуточно и бесплатно обязан обеспечить оператор связи пользователю услугами связи».</w:t>
      </w:r>
    </w:p>
    <w:p>
      <w:pPr>
        <w:pStyle w:val="Normal"/>
        <w:numPr>
          <w:ilvl w:val="6"/>
          <w:numId w:val="21"/>
        </w:numPr>
        <w:pBdr/>
        <w:ind w:firstLine="709" w:start="0"/>
        <w:jc w:val="both"/>
        <w:rPr>
          <w:sz w:val="23"/>
          <w:szCs w:val="23"/>
        </w:rPr>
      </w:pPr>
      <w:r>
        <w:rPr>
          <w:color w:val="000000"/>
          <w:sz w:val="23"/>
          <w:szCs w:val="23"/>
        </w:rPr>
        <w:t>Распоряжение Правительства РФ от 25.08.2008 № 1240-р «О концепции создания системы обеспечения вызова экстренных служб через единый номер 112 на базе единых дежурно-диспетчерских служб муниципальных образований».</w:t>
      </w:r>
    </w:p>
    <w:p>
      <w:pPr>
        <w:pStyle w:val="Normal"/>
        <w:numPr>
          <w:ilvl w:val="6"/>
          <w:numId w:val="21"/>
        </w:numPr>
        <w:pBdr/>
        <w:ind w:firstLine="709" w:start="0"/>
        <w:jc w:val="both"/>
        <w:rPr>
          <w:sz w:val="23"/>
          <w:szCs w:val="23"/>
        </w:rPr>
      </w:pPr>
      <w:r>
        <w:rPr>
          <w:color w:val="000000"/>
          <w:sz w:val="23"/>
          <w:szCs w:val="23"/>
        </w:rPr>
        <w:t>Указ Президента РФ от 28.12.2010 № 1632 «О совершенствовании системы обеспечения вызова экстренных оперативных служб на территории Российской Федерации».</w:t>
      </w:r>
    </w:p>
    <w:p>
      <w:pPr>
        <w:pStyle w:val="Normal"/>
        <w:numPr>
          <w:ilvl w:val="6"/>
          <w:numId w:val="21"/>
        </w:numPr>
        <w:pBdr/>
        <w:ind w:firstLine="709" w:start="0"/>
        <w:jc w:val="both"/>
        <w:rPr>
          <w:sz w:val="23"/>
          <w:szCs w:val="23"/>
        </w:rPr>
      </w:pPr>
      <w:r>
        <w:rPr>
          <w:color w:val="000000"/>
          <w:sz w:val="23"/>
          <w:szCs w:val="23"/>
        </w:rPr>
        <w:t>Постановление Правительства РФ от 16.03.2013 № 223 «О федеральной целевой программе «Создание системы обеспечения вызова экстренных оперативных служб по единому номеру «112» в Российской Федерации на 2013-2017 годы».</w:t>
      </w:r>
    </w:p>
    <w:p>
      <w:pPr>
        <w:pStyle w:val="Normal"/>
        <w:numPr>
          <w:ilvl w:val="6"/>
          <w:numId w:val="21"/>
        </w:numPr>
        <w:pBdr/>
        <w:ind w:firstLine="709" w:start="0"/>
        <w:jc w:val="both"/>
        <w:rPr>
          <w:sz w:val="23"/>
          <w:szCs w:val="23"/>
        </w:rPr>
      </w:pPr>
      <w:r>
        <w:rPr>
          <w:color w:val="000000"/>
          <w:sz w:val="23"/>
          <w:szCs w:val="23"/>
        </w:rPr>
        <w:t>Поручение Президента Российской Федерации от 18.10.2017 № Пр-2107.</w:t>
      </w:r>
    </w:p>
    <w:p>
      <w:pPr>
        <w:pStyle w:val="Normal"/>
        <w:numPr>
          <w:ilvl w:val="6"/>
          <w:numId w:val="21"/>
        </w:numPr>
        <w:pBdr/>
        <w:ind w:firstLine="709" w:start="0"/>
        <w:jc w:val="both"/>
        <w:rPr>
          <w:sz w:val="23"/>
          <w:szCs w:val="23"/>
        </w:rPr>
      </w:pPr>
      <w:r>
        <w:rPr>
          <w:color w:val="000000"/>
          <w:sz w:val="23"/>
          <w:szCs w:val="23"/>
        </w:rPr>
        <w:t>ГОСТ 22.7.01-2021 «Безопасность в чрезвычайных ситуациях. Единая дежурно-диспетчерская служба. Основные положения».</w:t>
      </w:r>
    </w:p>
    <w:p>
      <w:pPr>
        <w:pStyle w:val="Normal"/>
        <w:numPr>
          <w:ilvl w:val="6"/>
          <w:numId w:val="21"/>
        </w:numPr>
        <w:pBdr/>
        <w:ind w:firstLine="709" w:start="0"/>
        <w:jc w:val="both"/>
        <w:rPr>
          <w:sz w:val="23"/>
          <w:szCs w:val="23"/>
        </w:rPr>
      </w:pPr>
      <w:r>
        <w:rPr>
          <w:color w:val="000000"/>
          <w:sz w:val="23"/>
          <w:szCs w:val="23"/>
        </w:rPr>
        <w:t xml:space="preserve">Приказ Минцифры России от 09.03.2022 № 180 "Об утверждении Порядка предоставления и объема информации, необходимой для обеспечения реагирования по вызову или сообщению о происшествии по единому номеру вызова экстренных оперативных служб "112", в том числе Правил определения места нахождения пользовательского оборудования (оконечного оборудования), с которого были осуществлены вызов или передача сообщения о происшествии по единому номеру вызова экстренных оперативных служб "112" (Зарегистрировано в Минюсте России 30.05.2022 № 68637). </w:t>
      </w:r>
    </w:p>
    <w:p>
      <w:pPr>
        <w:pStyle w:val="Normal"/>
        <w:numPr>
          <w:ilvl w:val="6"/>
          <w:numId w:val="21"/>
        </w:numPr>
        <w:pBdr/>
        <w:ind w:firstLine="709" w:start="0"/>
        <w:jc w:val="both"/>
        <w:rPr>
          <w:sz w:val="23"/>
          <w:szCs w:val="23"/>
        </w:rPr>
      </w:pPr>
      <w:r>
        <w:rPr>
          <w:color w:val="000000"/>
          <w:sz w:val="23"/>
          <w:szCs w:val="23"/>
        </w:rPr>
        <w:t>Приказ Министерства связи и массовых коммуникаций РФ от 15 сентября 2015 № 346 «Об утверждении правил применения оборудования узлов обслуживания вызовов экстренных оперативных служб».</w:t>
      </w:r>
    </w:p>
    <w:p>
      <w:pPr>
        <w:pStyle w:val="Normal"/>
        <w:numPr>
          <w:ilvl w:val="6"/>
          <w:numId w:val="21"/>
        </w:numPr>
        <w:pBdr/>
        <w:ind w:firstLine="709" w:start="0"/>
        <w:jc w:val="both"/>
        <w:rPr>
          <w:sz w:val="23"/>
          <w:szCs w:val="23"/>
        </w:rPr>
      </w:pPr>
      <w:r>
        <w:rPr>
          <w:color w:val="000000"/>
          <w:sz w:val="23"/>
          <w:szCs w:val="23"/>
        </w:rPr>
        <w:t>Федеральный закон от 27 июля 2006 года № 149-ФЗ «Об информации, информационных технологиях и о защите информации».</w:t>
      </w:r>
    </w:p>
    <w:p>
      <w:pPr>
        <w:pStyle w:val="Normal"/>
        <w:numPr>
          <w:ilvl w:val="6"/>
          <w:numId w:val="21"/>
        </w:numPr>
        <w:pBdr/>
        <w:ind w:firstLine="709" w:start="0"/>
        <w:jc w:val="both"/>
        <w:rPr>
          <w:sz w:val="23"/>
          <w:szCs w:val="23"/>
        </w:rPr>
      </w:pPr>
      <w:r>
        <w:rPr>
          <w:color w:val="000000"/>
          <w:sz w:val="23"/>
          <w:szCs w:val="23"/>
        </w:rPr>
        <w:t>Федеральный закон от 27 июля 2006 года № 152-ФЗ «О персональных данных».</w:t>
      </w:r>
    </w:p>
    <w:p>
      <w:pPr>
        <w:pStyle w:val="Normal"/>
        <w:numPr>
          <w:ilvl w:val="6"/>
          <w:numId w:val="21"/>
        </w:numPr>
        <w:pBdr/>
        <w:ind w:firstLine="709" w:start="0"/>
        <w:jc w:val="both"/>
        <w:rPr>
          <w:sz w:val="23"/>
          <w:szCs w:val="23"/>
        </w:rPr>
      </w:pPr>
      <w:r>
        <w:rPr>
          <w:color w:val="000000"/>
          <w:sz w:val="23"/>
          <w:szCs w:val="23"/>
        </w:rPr>
        <w:t>Федеральный закон от 30 декабря.2020 года № 488-ФЗ «Об обеспечении вызова экстренных оперативных служб по единому номеру «112» и о внесении изменений в отдельные законодательные акты Российской Федерации».</w:t>
      </w:r>
    </w:p>
    <w:p>
      <w:pPr>
        <w:pStyle w:val="Normal"/>
        <w:numPr>
          <w:ilvl w:val="6"/>
          <w:numId w:val="21"/>
        </w:numPr>
        <w:pBdr/>
        <w:ind w:firstLine="709" w:start="0"/>
        <w:jc w:val="both"/>
        <w:rPr>
          <w:sz w:val="23"/>
          <w:szCs w:val="23"/>
        </w:rPr>
      </w:pPr>
      <w:r>
        <w:rPr>
          <w:color w:val="000000"/>
          <w:sz w:val="23"/>
          <w:szCs w:val="23"/>
        </w:rPr>
        <w:t>Постановление Правительства Российской Федерации от 12.11.2021 № 1931 «Об утверждении обязательных требований к организации и функционированию системы обеспечения вызова экстренных оперативных служб по единому номеру «112», в том числе порядка и сроков осуществления приема, обработки и передачи вызовов по единому номеру «112» диспетчерским службам».</w:t>
      </w:r>
    </w:p>
    <w:p>
      <w:pPr>
        <w:pStyle w:val="Normal"/>
        <w:numPr>
          <w:ilvl w:val="6"/>
          <w:numId w:val="21"/>
        </w:numPr>
        <w:pBdr/>
        <w:ind w:firstLine="709" w:start="0"/>
        <w:jc w:val="both"/>
        <w:rPr>
          <w:sz w:val="23"/>
          <w:szCs w:val="23"/>
        </w:rPr>
      </w:pPr>
      <w:r>
        <w:rPr>
          <w:color w:val="000000"/>
          <w:sz w:val="23"/>
          <w:szCs w:val="23"/>
        </w:rPr>
        <w:t>Постановление Правительства Российской Федерации от 27.11.2021 № 2071 «Об утверждении Правил взаимодействия сил и средств систем обеспечения вызова экстренных оперативных служб по единому номеру «112».</w:t>
      </w:r>
    </w:p>
    <w:p>
      <w:pPr>
        <w:pStyle w:val="Normal"/>
        <w:numPr>
          <w:ilvl w:val="6"/>
          <w:numId w:val="21"/>
        </w:numPr>
        <w:pBdr/>
        <w:ind w:firstLine="709" w:start="0"/>
        <w:jc w:val="both"/>
        <w:rPr>
          <w:sz w:val="23"/>
          <w:szCs w:val="23"/>
        </w:rPr>
      </w:pPr>
      <w:r>
        <w:rPr>
          <w:sz w:val="23"/>
          <w:szCs w:val="23"/>
          <w:lang w:eastAsia="zh-CN" w:bidi="hi-IN"/>
        </w:rPr>
        <w:t>ГОСТ Р ИСО/МЭК 14764-2002 «Информационная технология. Сопровождение программных средств».</w:t>
      </w:r>
    </w:p>
    <w:p>
      <w:pPr>
        <w:pStyle w:val="Normal"/>
        <w:numPr>
          <w:ilvl w:val="6"/>
          <w:numId w:val="21"/>
        </w:numPr>
        <w:pBdr/>
        <w:ind w:firstLine="709" w:start="0"/>
        <w:jc w:val="both"/>
        <w:rPr>
          <w:sz w:val="23"/>
          <w:szCs w:val="23"/>
        </w:rPr>
      </w:pPr>
      <w:r>
        <w:rPr>
          <w:sz w:val="23"/>
          <w:szCs w:val="23"/>
          <w:lang w:eastAsia="zh-CN" w:bidi="hi-IN"/>
        </w:rPr>
        <w:t xml:space="preserve"> </w:t>
      </w:r>
      <w:r>
        <w:rPr>
          <w:sz w:val="23"/>
          <w:szCs w:val="23"/>
          <w:lang w:eastAsia="zh-CN" w:bidi="hi-IN"/>
        </w:rPr>
        <w:t>ГОСТ Р ИСО/МЭК 12207-2010. «Национальный стандарт Российской Федерации. Информационная технология. Системная и программная инженерия. Процессы жизненного цикла программных средств».</w:t>
      </w:r>
    </w:p>
    <w:p>
      <w:pPr>
        <w:pStyle w:val="Normal"/>
        <w:rPr>
          <w:sz w:val="23"/>
          <w:szCs w:val="23"/>
        </w:rPr>
      </w:pPr>
      <w:r>
        <w:rPr>
          <w:sz w:val="23"/>
          <w:szCs w:val="23"/>
        </w:rPr>
      </w:r>
      <w:r>
        <w:br w:type="page"/>
      </w:r>
    </w:p>
    <w:p>
      <w:pPr>
        <w:pStyle w:val="Normal"/>
        <w:widowControl w:val="false"/>
        <w:tabs>
          <w:tab w:val="clear" w:pos="708"/>
          <w:tab w:val="left" w:pos="1134" w:leader="none"/>
        </w:tabs>
        <w:spacing w:before="0" w:after="0"/>
        <w:ind w:firstLine="567"/>
        <w:jc w:val="end"/>
        <w:rPr>
          <w:sz w:val="23"/>
          <w:szCs w:val="23"/>
        </w:rPr>
      </w:pPr>
      <w:r>
        <w:rPr>
          <w:sz w:val="23"/>
          <w:szCs w:val="23"/>
        </w:rPr>
        <w:t xml:space="preserve">Приложение № 1 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end"/>
        <w:rPr>
          <w:sz w:val="23"/>
          <w:szCs w:val="23"/>
        </w:rPr>
      </w:pPr>
      <w:r>
        <w:rPr>
          <w:sz w:val="23"/>
          <w:szCs w:val="23"/>
        </w:rPr>
        <w:t>к Техническому заданию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end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Normal"/>
        <w:widowControl w:val="false"/>
        <w:tabs>
          <w:tab w:val="clear" w:pos="708"/>
          <w:tab w:val="left" w:pos="1134" w:leader="none"/>
        </w:tabs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Список объектов автоматизации АИС Системы-112 Республики Тыва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end"/>
        <w:rPr>
          <w:sz w:val="23"/>
          <w:szCs w:val="23"/>
        </w:rPr>
      </w:pPr>
      <w:r>
        <w:rPr>
          <w:sz w:val="23"/>
          <w:szCs w:val="23"/>
        </w:rPr>
      </w:r>
    </w:p>
    <w:tbl>
      <w:tblPr>
        <w:tblStyle w:val="af2"/>
        <w:tblW w:w="10140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830"/>
        <w:gridCol w:w="4105"/>
        <w:gridCol w:w="3225"/>
        <w:gridCol w:w="1979"/>
      </w:tblGrid>
      <w:tr>
        <w:trPr>
          <w:trHeight w:val="781" w:hRule="atLeast"/>
        </w:trPr>
        <w:tc>
          <w:tcPr>
            <w:tcW w:w="830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 xml:space="preserve">№ </w:t>
            </w:r>
            <w:r>
              <w:rPr>
                <w:kern w:val="0"/>
                <w:sz w:val="23"/>
                <w:szCs w:val="23"/>
                <w:lang w:val="ru-RU" w:bidi="ar-SA"/>
              </w:rPr>
              <w:t>п/п</w:t>
            </w:r>
          </w:p>
        </w:tc>
        <w:tc>
          <w:tcPr>
            <w:tcW w:w="410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Наименование объекта автоматизации</w:t>
            </w:r>
          </w:p>
        </w:tc>
        <w:tc>
          <w:tcPr>
            <w:tcW w:w="322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Адрес объекта автоматизации</w:t>
            </w:r>
          </w:p>
        </w:tc>
        <w:tc>
          <w:tcPr>
            <w:tcW w:w="1979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Кол-во сопровождаемых АРМ</w:t>
            </w:r>
          </w:p>
        </w:tc>
      </w:tr>
      <w:tr>
        <w:trPr>
          <w:trHeight w:val="325" w:hRule="atLeast"/>
        </w:trPr>
        <w:tc>
          <w:tcPr>
            <w:tcW w:w="10139" w:type="dxa"/>
            <w:gridSpan w:val="4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МО г. Кызыл</w:t>
            </w:r>
          </w:p>
        </w:tc>
      </w:tr>
      <w:tr>
        <w:trPr>
          <w:trHeight w:val="255" w:hRule="atLeast"/>
        </w:trPr>
        <w:tc>
          <w:tcPr>
            <w:tcW w:w="830" w:type="dxa"/>
            <w:tcBorders/>
            <w:vAlign w:val="center"/>
          </w:tcPr>
          <w:p>
            <w:pPr>
              <w:pStyle w:val="ListParagraph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ind w:start="22"/>
              <w:contextualSpacing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1.</w:t>
            </w:r>
          </w:p>
        </w:tc>
        <w:tc>
          <w:tcPr>
            <w:tcW w:w="4105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ЦОВ Системы-112</w:t>
            </w:r>
          </w:p>
        </w:tc>
        <w:tc>
          <w:tcPr>
            <w:tcW w:w="322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ул. Красноармейская, д.100</w:t>
            </w:r>
          </w:p>
        </w:tc>
        <w:tc>
          <w:tcPr>
            <w:tcW w:w="1979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830" w:type="dxa"/>
            <w:tcBorders/>
            <w:vAlign w:val="center"/>
          </w:tcPr>
          <w:p>
            <w:pPr>
              <w:pStyle w:val="ListParagraph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ind w:start="22"/>
              <w:contextualSpacing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2.</w:t>
            </w:r>
          </w:p>
        </w:tc>
        <w:tc>
          <w:tcPr>
            <w:tcW w:w="4105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РЦОВ Система-112</w:t>
            </w:r>
          </w:p>
        </w:tc>
        <w:tc>
          <w:tcPr>
            <w:tcW w:w="322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 xml:space="preserve">ул. Калинина, д. 1б </w:t>
            </w:r>
          </w:p>
        </w:tc>
        <w:tc>
          <w:tcPr>
            <w:tcW w:w="1979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830" w:type="dxa"/>
            <w:tcBorders/>
            <w:vAlign w:val="center"/>
          </w:tcPr>
          <w:p>
            <w:pPr>
              <w:pStyle w:val="ListParagraph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ind w:start="22"/>
              <w:contextualSpacing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</w:r>
          </w:p>
        </w:tc>
        <w:tc>
          <w:tcPr>
            <w:tcW w:w="4105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ЦОД Системы-112</w:t>
            </w:r>
          </w:p>
        </w:tc>
        <w:tc>
          <w:tcPr>
            <w:tcW w:w="322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ул. Красноармейская, д.100</w:t>
            </w:r>
          </w:p>
        </w:tc>
        <w:tc>
          <w:tcPr>
            <w:tcW w:w="1979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6 серверов</w:t>
            </w:r>
          </w:p>
        </w:tc>
      </w:tr>
      <w:tr>
        <w:trPr>
          <w:trHeight w:val="255" w:hRule="atLeast"/>
        </w:trPr>
        <w:tc>
          <w:tcPr>
            <w:tcW w:w="830" w:type="dxa"/>
            <w:tcBorders/>
            <w:vAlign w:val="center"/>
          </w:tcPr>
          <w:p>
            <w:pPr>
              <w:pStyle w:val="ListParagraph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ind w:start="22"/>
              <w:contextualSpacing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</w:r>
          </w:p>
        </w:tc>
        <w:tc>
          <w:tcPr>
            <w:tcW w:w="4105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РЦОД Системы-112</w:t>
            </w:r>
          </w:p>
        </w:tc>
        <w:tc>
          <w:tcPr>
            <w:tcW w:w="322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ул. Чульдум, д. 18</w:t>
            </w:r>
          </w:p>
        </w:tc>
        <w:tc>
          <w:tcPr>
            <w:tcW w:w="1979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6 серверов</w:t>
            </w:r>
          </w:p>
        </w:tc>
      </w:tr>
      <w:tr>
        <w:trPr>
          <w:trHeight w:val="255" w:hRule="atLeast"/>
        </w:trPr>
        <w:tc>
          <w:tcPr>
            <w:tcW w:w="830" w:type="dxa"/>
            <w:tcBorders/>
            <w:vAlign w:val="center"/>
          </w:tcPr>
          <w:p>
            <w:pPr>
              <w:pStyle w:val="ListParagraph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ind w:start="22"/>
              <w:contextualSpacing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3.</w:t>
            </w:r>
          </w:p>
        </w:tc>
        <w:tc>
          <w:tcPr>
            <w:tcW w:w="4105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Учебно-методический центр (УМЦ)</w:t>
            </w:r>
          </w:p>
        </w:tc>
        <w:tc>
          <w:tcPr>
            <w:tcW w:w="322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ул. Калинина, д. 1б</w:t>
            </w:r>
          </w:p>
        </w:tc>
        <w:tc>
          <w:tcPr>
            <w:tcW w:w="1979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830" w:type="dxa"/>
            <w:tcBorders/>
            <w:vAlign w:val="center"/>
          </w:tcPr>
          <w:p>
            <w:pPr>
              <w:pStyle w:val="ListParagraph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ind w:start="22"/>
              <w:contextualSpacing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4.</w:t>
            </w:r>
          </w:p>
        </w:tc>
        <w:tc>
          <w:tcPr>
            <w:tcW w:w="4105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ФКУ «ЦУКС МЧС России по Республике Тыва»</w:t>
            </w:r>
          </w:p>
        </w:tc>
        <w:tc>
          <w:tcPr>
            <w:tcW w:w="322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 xml:space="preserve">ул. Щетинкина-Кравченко, д. 44 </w:t>
            </w:r>
          </w:p>
        </w:tc>
        <w:tc>
          <w:tcPr>
            <w:tcW w:w="1979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830" w:type="dxa"/>
            <w:tcBorders/>
            <w:vAlign w:val="center"/>
          </w:tcPr>
          <w:p>
            <w:pPr>
              <w:pStyle w:val="ListParagraph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ind w:start="22"/>
              <w:contextualSpacing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5.</w:t>
            </w:r>
          </w:p>
        </w:tc>
        <w:tc>
          <w:tcPr>
            <w:tcW w:w="4105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Тувинский поисково-спасательный отряд</w:t>
            </w:r>
          </w:p>
        </w:tc>
        <w:tc>
          <w:tcPr>
            <w:tcW w:w="322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 xml:space="preserve">ул. Скаладская, д. 1б </w:t>
            </w:r>
          </w:p>
        </w:tc>
        <w:tc>
          <w:tcPr>
            <w:tcW w:w="1979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830" w:type="dxa"/>
            <w:tcBorders/>
            <w:vAlign w:val="center"/>
          </w:tcPr>
          <w:p>
            <w:pPr>
              <w:pStyle w:val="ListParagraph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ind w:start="22"/>
              <w:contextualSpacing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6.</w:t>
            </w:r>
          </w:p>
        </w:tc>
        <w:tc>
          <w:tcPr>
            <w:tcW w:w="4105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ЕДДС</w:t>
            </w:r>
          </w:p>
        </w:tc>
        <w:tc>
          <w:tcPr>
            <w:tcW w:w="322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ул. Ленина, д. 32</w:t>
            </w:r>
          </w:p>
        </w:tc>
        <w:tc>
          <w:tcPr>
            <w:tcW w:w="1979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830" w:type="dxa"/>
            <w:tcBorders/>
            <w:vAlign w:val="center"/>
          </w:tcPr>
          <w:p>
            <w:pPr>
              <w:pStyle w:val="ListParagraph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ind w:start="22"/>
              <w:contextualSpacing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7.</w:t>
            </w:r>
          </w:p>
        </w:tc>
        <w:tc>
          <w:tcPr>
            <w:tcW w:w="4105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 xml:space="preserve">ДДС 01 </w:t>
            </w:r>
          </w:p>
        </w:tc>
        <w:tc>
          <w:tcPr>
            <w:tcW w:w="322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ул. Красноармейская, д. 70</w:t>
            </w:r>
          </w:p>
        </w:tc>
        <w:tc>
          <w:tcPr>
            <w:tcW w:w="1979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830" w:type="dxa"/>
            <w:tcBorders/>
            <w:vAlign w:val="center"/>
          </w:tcPr>
          <w:p>
            <w:pPr>
              <w:pStyle w:val="ListParagraph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ind w:start="22"/>
              <w:contextualSpacing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8.</w:t>
            </w:r>
          </w:p>
        </w:tc>
        <w:tc>
          <w:tcPr>
            <w:tcW w:w="4105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ДДС 02</w:t>
            </w:r>
          </w:p>
        </w:tc>
        <w:tc>
          <w:tcPr>
            <w:tcW w:w="322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ул. Дружбы, д. 120</w:t>
            </w:r>
          </w:p>
        </w:tc>
        <w:tc>
          <w:tcPr>
            <w:tcW w:w="1979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830" w:type="dxa"/>
            <w:tcBorders/>
            <w:vAlign w:val="center"/>
          </w:tcPr>
          <w:p>
            <w:pPr>
              <w:pStyle w:val="ListParagraph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ind w:start="22"/>
              <w:contextualSpacing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9.</w:t>
            </w:r>
          </w:p>
        </w:tc>
        <w:tc>
          <w:tcPr>
            <w:tcW w:w="4105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ДДС 03</w:t>
            </w:r>
          </w:p>
        </w:tc>
        <w:tc>
          <w:tcPr>
            <w:tcW w:w="322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ул. Щетинкина-Кравченко, д. 23</w:t>
            </w:r>
          </w:p>
        </w:tc>
        <w:tc>
          <w:tcPr>
            <w:tcW w:w="1979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830" w:type="dxa"/>
            <w:tcBorders/>
            <w:vAlign w:val="center"/>
          </w:tcPr>
          <w:p>
            <w:pPr>
              <w:pStyle w:val="ListParagraph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ind w:start="22"/>
              <w:contextualSpacing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10.</w:t>
            </w:r>
          </w:p>
        </w:tc>
        <w:tc>
          <w:tcPr>
            <w:tcW w:w="4105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ДДС 04</w:t>
            </w:r>
          </w:p>
        </w:tc>
        <w:tc>
          <w:tcPr>
            <w:tcW w:w="322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ул. Горная, д. 28</w:t>
            </w:r>
          </w:p>
        </w:tc>
        <w:tc>
          <w:tcPr>
            <w:tcW w:w="1979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830" w:type="dxa"/>
            <w:tcBorders/>
            <w:vAlign w:val="center"/>
          </w:tcPr>
          <w:p>
            <w:pPr>
              <w:pStyle w:val="ListParagraph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ind w:start="22"/>
              <w:contextualSpacing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11.</w:t>
            </w:r>
          </w:p>
        </w:tc>
        <w:tc>
          <w:tcPr>
            <w:tcW w:w="4105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Управление ФСБ Российской Федерации по Республике Тыва (ДДС «Антитеррор»)</w:t>
            </w:r>
          </w:p>
        </w:tc>
        <w:tc>
          <w:tcPr>
            <w:tcW w:w="322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ул. Красных партизан, д. 31</w:t>
            </w:r>
          </w:p>
        </w:tc>
        <w:tc>
          <w:tcPr>
            <w:tcW w:w="1979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39" w:type="dxa"/>
            <w:gridSpan w:val="4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 xml:space="preserve">МО г. Ак-Довурак </w:t>
            </w:r>
          </w:p>
        </w:tc>
      </w:tr>
      <w:tr>
        <w:trPr>
          <w:trHeight w:val="255" w:hRule="atLeast"/>
        </w:trPr>
        <w:tc>
          <w:tcPr>
            <w:tcW w:w="830" w:type="dxa"/>
            <w:tcBorders/>
            <w:vAlign w:val="center"/>
          </w:tcPr>
          <w:p>
            <w:pPr>
              <w:pStyle w:val="ListParagraph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ind w:start="22"/>
              <w:contextualSpacing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12</w:t>
            </w:r>
          </w:p>
        </w:tc>
        <w:tc>
          <w:tcPr>
            <w:tcW w:w="4105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ЕДДС</w:t>
            </w:r>
          </w:p>
        </w:tc>
        <w:tc>
          <w:tcPr>
            <w:tcW w:w="322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ул. Комсомольская, д. 3а</w:t>
            </w:r>
          </w:p>
        </w:tc>
        <w:tc>
          <w:tcPr>
            <w:tcW w:w="1979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830" w:type="dxa"/>
            <w:tcBorders/>
            <w:vAlign w:val="center"/>
          </w:tcPr>
          <w:p>
            <w:pPr>
              <w:pStyle w:val="ListParagraph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ind w:start="22"/>
              <w:contextualSpacing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13</w:t>
            </w:r>
          </w:p>
        </w:tc>
        <w:tc>
          <w:tcPr>
            <w:tcW w:w="4105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 xml:space="preserve">ДДС 01 </w:t>
            </w:r>
          </w:p>
        </w:tc>
        <w:tc>
          <w:tcPr>
            <w:tcW w:w="322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ул. Транспортная, д. 27</w:t>
            </w:r>
          </w:p>
        </w:tc>
        <w:tc>
          <w:tcPr>
            <w:tcW w:w="1979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830" w:type="dxa"/>
            <w:tcBorders/>
            <w:vAlign w:val="center"/>
          </w:tcPr>
          <w:p>
            <w:pPr>
              <w:pStyle w:val="ListParagraph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ind w:start="22"/>
              <w:contextualSpacing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14</w:t>
            </w:r>
          </w:p>
        </w:tc>
        <w:tc>
          <w:tcPr>
            <w:tcW w:w="4105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ДДС 02</w:t>
            </w:r>
          </w:p>
        </w:tc>
        <w:tc>
          <w:tcPr>
            <w:tcW w:w="322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ул. Данзырык Калдар-оола, д. 52</w:t>
            </w:r>
          </w:p>
        </w:tc>
        <w:tc>
          <w:tcPr>
            <w:tcW w:w="1979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830" w:type="dxa"/>
            <w:tcBorders/>
            <w:vAlign w:val="center"/>
          </w:tcPr>
          <w:p>
            <w:pPr>
              <w:pStyle w:val="ListParagraph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ind w:start="22"/>
              <w:contextualSpacing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15</w:t>
            </w:r>
          </w:p>
        </w:tc>
        <w:tc>
          <w:tcPr>
            <w:tcW w:w="4105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ДДС 03</w:t>
            </w:r>
          </w:p>
        </w:tc>
        <w:tc>
          <w:tcPr>
            <w:tcW w:w="322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ул. Центральная, д. 18</w:t>
            </w:r>
          </w:p>
        </w:tc>
        <w:tc>
          <w:tcPr>
            <w:tcW w:w="1979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39" w:type="dxa"/>
            <w:gridSpan w:val="4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МО Барун-Хемчикский кожуун</w:t>
            </w:r>
          </w:p>
        </w:tc>
      </w:tr>
      <w:tr>
        <w:trPr>
          <w:trHeight w:val="255" w:hRule="atLeast"/>
        </w:trPr>
        <w:tc>
          <w:tcPr>
            <w:tcW w:w="830" w:type="dxa"/>
            <w:tcBorders/>
            <w:vAlign w:val="center"/>
          </w:tcPr>
          <w:p>
            <w:pPr>
              <w:pStyle w:val="ListParagraph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ind w:start="22"/>
              <w:contextualSpacing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16</w:t>
            </w:r>
          </w:p>
        </w:tc>
        <w:tc>
          <w:tcPr>
            <w:tcW w:w="4105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ЕДДС</w:t>
            </w:r>
          </w:p>
        </w:tc>
        <w:tc>
          <w:tcPr>
            <w:tcW w:w="322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с. Кызыл-Мажалык, ул. Чадамба, д. 20</w:t>
            </w:r>
          </w:p>
        </w:tc>
        <w:tc>
          <w:tcPr>
            <w:tcW w:w="1979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830" w:type="dxa"/>
            <w:tcBorders/>
            <w:vAlign w:val="center"/>
          </w:tcPr>
          <w:p>
            <w:pPr>
              <w:pStyle w:val="ListParagraph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ind w:start="22"/>
              <w:contextualSpacing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17</w:t>
            </w:r>
          </w:p>
        </w:tc>
        <w:tc>
          <w:tcPr>
            <w:tcW w:w="4105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ДДС 03</w:t>
            </w:r>
          </w:p>
        </w:tc>
        <w:tc>
          <w:tcPr>
            <w:tcW w:w="322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с. Кызыл-Мажалык,</w:t>
            </w:r>
          </w:p>
        </w:tc>
        <w:tc>
          <w:tcPr>
            <w:tcW w:w="1979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39" w:type="dxa"/>
            <w:gridSpan w:val="4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МО Бай-Тайгинский кожуун</w:t>
            </w:r>
          </w:p>
        </w:tc>
      </w:tr>
      <w:tr>
        <w:trPr>
          <w:trHeight w:val="255" w:hRule="atLeast"/>
        </w:trPr>
        <w:tc>
          <w:tcPr>
            <w:tcW w:w="830" w:type="dxa"/>
            <w:tcBorders/>
            <w:vAlign w:val="center"/>
          </w:tcPr>
          <w:p>
            <w:pPr>
              <w:pStyle w:val="ListParagraph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ind w:start="22"/>
              <w:contextualSpacing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18</w:t>
            </w:r>
          </w:p>
        </w:tc>
        <w:tc>
          <w:tcPr>
            <w:tcW w:w="4105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ЕДДС</w:t>
            </w:r>
          </w:p>
        </w:tc>
        <w:tc>
          <w:tcPr>
            <w:tcW w:w="322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с. Тээли, ул. Комсомольская, д. 19</w:t>
            </w:r>
          </w:p>
        </w:tc>
        <w:tc>
          <w:tcPr>
            <w:tcW w:w="1979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830" w:type="dxa"/>
            <w:tcBorders/>
            <w:vAlign w:val="center"/>
          </w:tcPr>
          <w:p>
            <w:pPr>
              <w:pStyle w:val="ListParagraph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ind w:start="22"/>
              <w:contextualSpacing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19</w:t>
            </w:r>
          </w:p>
        </w:tc>
        <w:tc>
          <w:tcPr>
            <w:tcW w:w="4105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 xml:space="preserve">ДДС 01 </w:t>
            </w:r>
          </w:p>
        </w:tc>
        <w:tc>
          <w:tcPr>
            <w:tcW w:w="322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с. Тээли, ул. Гагарина, д. 41</w:t>
            </w:r>
          </w:p>
        </w:tc>
        <w:tc>
          <w:tcPr>
            <w:tcW w:w="1979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830" w:type="dxa"/>
            <w:tcBorders/>
            <w:vAlign w:val="center"/>
          </w:tcPr>
          <w:p>
            <w:pPr>
              <w:pStyle w:val="ListParagraph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ind w:start="22"/>
              <w:contextualSpacing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20</w:t>
            </w:r>
          </w:p>
        </w:tc>
        <w:tc>
          <w:tcPr>
            <w:tcW w:w="4105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ДДС 02</w:t>
            </w:r>
          </w:p>
        </w:tc>
        <w:tc>
          <w:tcPr>
            <w:tcW w:w="322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с. Тээли, ул. Мугур, д. 1</w:t>
            </w:r>
          </w:p>
        </w:tc>
        <w:tc>
          <w:tcPr>
            <w:tcW w:w="1979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830" w:type="dxa"/>
            <w:tcBorders/>
            <w:vAlign w:val="center"/>
          </w:tcPr>
          <w:p>
            <w:pPr>
              <w:pStyle w:val="ListParagraph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ind w:start="22"/>
              <w:contextualSpacing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21</w:t>
            </w:r>
          </w:p>
        </w:tc>
        <w:tc>
          <w:tcPr>
            <w:tcW w:w="4105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ДДС 03</w:t>
            </w:r>
          </w:p>
        </w:tc>
        <w:tc>
          <w:tcPr>
            <w:tcW w:w="322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с. Тээли, ул. Ленина, д. 55</w:t>
            </w:r>
          </w:p>
        </w:tc>
        <w:tc>
          <w:tcPr>
            <w:tcW w:w="1979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39" w:type="dxa"/>
            <w:gridSpan w:val="4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МО Дзун-Хемчикский кожуун</w:t>
            </w:r>
          </w:p>
        </w:tc>
      </w:tr>
      <w:tr>
        <w:trPr>
          <w:trHeight w:val="255" w:hRule="atLeast"/>
        </w:trPr>
        <w:tc>
          <w:tcPr>
            <w:tcW w:w="830" w:type="dxa"/>
            <w:tcBorders/>
            <w:vAlign w:val="center"/>
          </w:tcPr>
          <w:p>
            <w:pPr>
              <w:pStyle w:val="ListParagraph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ind w:start="22"/>
              <w:contextualSpacing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22</w:t>
            </w:r>
          </w:p>
        </w:tc>
        <w:tc>
          <w:tcPr>
            <w:tcW w:w="4105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ЕДДС</w:t>
            </w:r>
          </w:p>
        </w:tc>
        <w:tc>
          <w:tcPr>
            <w:tcW w:w="322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г. Чадан, ул. Ленина, д. 42</w:t>
            </w:r>
          </w:p>
        </w:tc>
        <w:tc>
          <w:tcPr>
            <w:tcW w:w="1979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830" w:type="dxa"/>
            <w:tcBorders/>
            <w:vAlign w:val="center"/>
          </w:tcPr>
          <w:p>
            <w:pPr>
              <w:pStyle w:val="ListParagraph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ind w:start="22"/>
              <w:contextualSpacing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23</w:t>
            </w:r>
          </w:p>
        </w:tc>
        <w:tc>
          <w:tcPr>
            <w:tcW w:w="4105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 xml:space="preserve">ДДС 01 </w:t>
            </w:r>
          </w:p>
        </w:tc>
        <w:tc>
          <w:tcPr>
            <w:tcW w:w="322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г. Чадан, ул. С. Шойгу, д. 23</w:t>
            </w:r>
          </w:p>
        </w:tc>
        <w:tc>
          <w:tcPr>
            <w:tcW w:w="1979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830" w:type="dxa"/>
            <w:tcBorders/>
            <w:vAlign w:val="center"/>
          </w:tcPr>
          <w:p>
            <w:pPr>
              <w:pStyle w:val="ListParagraph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ind w:start="22"/>
              <w:contextualSpacing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24</w:t>
            </w:r>
          </w:p>
        </w:tc>
        <w:tc>
          <w:tcPr>
            <w:tcW w:w="4105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ДДС 02</w:t>
            </w:r>
          </w:p>
        </w:tc>
        <w:tc>
          <w:tcPr>
            <w:tcW w:w="322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г. Чадан, ул. Ленина, д. 44</w:t>
            </w:r>
          </w:p>
        </w:tc>
        <w:tc>
          <w:tcPr>
            <w:tcW w:w="1979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830" w:type="dxa"/>
            <w:tcBorders/>
            <w:vAlign w:val="center"/>
          </w:tcPr>
          <w:p>
            <w:pPr>
              <w:pStyle w:val="ListParagraph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ind w:start="22"/>
              <w:contextualSpacing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25</w:t>
            </w:r>
          </w:p>
        </w:tc>
        <w:tc>
          <w:tcPr>
            <w:tcW w:w="4105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ДДС 03</w:t>
            </w:r>
          </w:p>
        </w:tc>
        <w:tc>
          <w:tcPr>
            <w:tcW w:w="322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г. Чадан, ул. Ленина, д. 74б</w:t>
            </w:r>
          </w:p>
        </w:tc>
        <w:tc>
          <w:tcPr>
            <w:tcW w:w="1979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39" w:type="dxa"/>
            <w:gridSpan w:val="4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МО Каа-Хемский кожуун</w:t>
            </w:r>
          </w:p>
        </w:tc>
      </w:tr>
      <w:tr>
        <w:trPr>
          <w:trHeight w:val="255" w:hRule="atLeast"/>
        </w:trPr>
        <w:tc>
          <w:tcPr>
            <w:tcW w:w="830" w:type="dxa"/>
            <w:tcBorders/>
            <w:vAlign w:val="center"/>
          </w:tcPr>
          <w:p>
            <w:pPr>
              <w:pStyle w:val="ListParagraph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ind w:start="22"/>
              <w:contextualSpacing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26</w:t>
            </w:r>
          </w:p>
        </w:tc>
        <w:tc>
          <w:tcPr>
            <w:tcW w:w="4105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ЕДДС</w:t>
            </w:r>
          </w:p>
        </w:tc>
        <w:tc>
          <w:tcPr>
            <w:tcW w:w="322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с. Сарыг-Сеп, ул. Енисейская, д. 143</w:t>
            </w:r>
          </w:p>
        </w:tc>
        <w:tc>
          <w:tcPr>
            <w:tcW w:w="1979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830" w:type="dxa"/>
            <w:tcBorders/>
            <w:vAlign w:val="center"/>
          </w:tcPr>
          <w:p>
            <w:pPr>
              <w:pStyle w:val="ListParagraph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ind w:start="22"/>
              <w:contextualSpacing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27</w:t>
            </w:r>
          </w:p>
        </w:tc>
        <w:tc>
          <w:tcPr>
            <w:tcW w:w="4105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 xml:space="preserve">ДДС 01 </w:t>
            </w:r>
          </w:p>
        </w:tc>
        <w:tc>
          <w:tcPr>
            <w:tcW w:w="322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с. Сарыг-Сеп, пер. Бухтуева, д. 13</w:t>
            </w:r>
          </w:p>
        </w:tc>
        <w:tc>
          <w:tcPr>
            <w:tcW w:w="1979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830" w:type="dxa"/>
            <w:tcBorders/>
            <w:vAlign w:val="center"/>
          </w:tcPr>
          <w:p>
            <w:pPr>
              <w:pStyle w:val="ListParagraph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ind w:start="22"/>
              <w:contextualSpacing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28</w:t>
            </w:r>
          </w:p>
        </w:tc>
        <w:tc>
          <w:tcPr>
            <w:tcW w:w="4105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ДДС 02</w:t>
            </w:r>
          </w:p>
        </w:tc>
        <w:tc>
          <w:tcPr>
            <w:tcW w:w="322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с. Сарыг-Сеп, ул. Енисейская, д. 176</w:t>
            </w:r>
          </w:p>
        </w:tc>
        <w:tc>
          <w:tcPr>
            <w:tcW w:w="1979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830" w:type="dxa"/>
            <w:tcBorders/>
            <w:vAlign w:val="center"/>
          </w:tcPr>
          <w:p>
            <w:pPr>
              <w:pStyle w:val="ListParagraph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ind w:start="22"/>
              <w:contextualSpacing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29</w:t>
            </w:r>
          </w:p>
        </w:tc>
        <w:tc>
          <w:tcPr>
            <w:tcW w:w="4105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ДДС 03</w:t>
            </w:r>
          </w:p>
        </w:tc>
        <w:tc>
          <w:tcPr>
            <w:tcW w:w="322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с. Сарыг-Сеп, ул. Енисейская, д. 135</w:t>
            </w:r>
          </w:p>
        </w:tc>
        <w:tc>
          <w:tcPr>
            <w:tcW w:w="1979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39" w:type="dxa"/>
            <w:gridSpan w:val="4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МО Кызылский кожуун</w:t>
            </w:r>
          </w:p>
        </w:tc>
      </w:tr>
      <w:tr>
        <w:trPr>
          <w:trHeight w:val="255" w:hRule="atLeast"/>
        </w:trPr>
        <w:tc>
          <w:tcPr>
            <w:tcW w:w="830" w:type="dxa"/>
            <w:tcBorders/>
            <w:vAlign w:val="center"/>
          </w:tcPr>
          <w:p>
            <w:pPr>
              <w:pStyle w:val="ListParagraph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ind w:start="22"/>
              <w:contextualSpacing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30</w:t>
            </w:r>
          </w:p>
        </w:tc>
        <w:tc>
          <w:tcPr>
            <w:tcW w:w="4105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ЕДДС</w:t>
            </w:r>
          </w:p>
        </w:tc>
        <w:tc>
          <w:tcPr>
            <w:tcW w:w="322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пгт. Каа-Хем, ул. Таежная, д. 20</w:t>
            </w:r>
          </w:p>
        </w:tc>
        <w:tc>
          <w:tcPr>
            <w:tcW w:w="1979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830" w:type="dxa"/>
            <w:tcBorders/>
            <w:vAlign w:val="center"/>
          </w:tcPr>
          <w:p>
            <w:pPr>
              <w:pStyle w:val="ListParagraph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ind w:start="22"/>
              <w:contextualSpacing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31</w:t>
            </w:r>
          </w:p>
        </w:tc>
        <w:tc>
          <w:tcPr>
            <w:tcW w:w="4105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 xml:space="preserve">ДДС 01 </w:t>
            </w:r>
          </w:p>
        </w:tc>
        <w:tc>
          <w:tcPr>
            <w:tcW w:w="322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пгт. Каа-Хем, ул. Южная, д. 3</w:t>
            </w:r>
          </w:p>
        </w:tc>
        <w:tc>
          <w:tcPr>
            <w:tcW w:w="1979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830" w:type="dxa"/>
            <w:tcBorders/>
            <w:vAlign w:val="center"/>
          </w:tcPr>
          <w:p>
            <w:pPr>
              <w:pStyle w:val="ListParagraph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ind w:start="22"/>
              <w:contextualSpacing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32</w:t>
            </w:r>
          </w:p>
        </w:tc>
        <w:tc>
          <w:tcPr>
            <w:tcW w:w="4105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ДДС 02</w:t>
            </w:r>
          </w:p>
        </w:tc>
        <w:tc>
          <w:tcPr>
            <w:tcW w:w="322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пгт. Каа-Хем, ул. Ударная, д. 4</w:t>
            </w:r>
          </w:p>
        </w:tc>
        <w:tc>
          <w:tcPr>
            <w:tcW w:w="1979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39" w:type="dxa"/>
            <w:gridSpan w:val="4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МО Монгун-Тайгинский кожуун</w:t>
            </w:r>
          </w:p>
        </w:tc>
      </w:tr>
      <w:tr>
        <w:trPr>
          <w:trHeight w:val="255" w:hRule="atLeast"/>
        </w:trPr>
        <w:tc>
          <w:tcPr>
            <w:tcW w:w="830" w:type="dxa"/>
            <w:tcBorders/>
            <w:vAlign w:val="center"/>
          </w:tcPr>
          <w:p>
            <w:pPr>
              <w:pStyle w:val="ListParagraph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ind w:start="22"/>
              <w:contextualSpacing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33</w:t>
            </w:r>
          </w:p>
        </w:tc>
        <w:tc>
          <w:tcPr>
            <w:tcW w:w="4105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ЕДДС</w:t>
            </w:r>
          </w:p>
        </w:tc>
        <w:tc>
          <w:tcPr>
            <w:tcW w:w="322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с. Мугур-Аксы, ул. Саны-Шири, д. 42</w:t>
            </w:r>
          </w:p>
        </w:tc>
        <w:tc>
          <w:tcPr>
            <w:tcW w:w="1979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830" w:type="dxa"/>
            <w:tcBorders/>
            <w:vAlign w:val="center"/>
          </w:tcPr>
          <w:p>
            <w:pPr>
              <w:pStyle w:val="ListParagraph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ind w:start="22"/>
              <w:contextualSpacing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34</w:t>
            </w:r>
          </w:p>
        </w:tc>
        <w:tc>
          <w:tcPr>
            <w:tcW w:w="4105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 xml:space="preserve">ДДС 01 </w:t>
            </w:r>
          </w:p>
        </w:tc>
        <w:tc>
          <w:tcPr>
            <w:tcW w:w="322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с. Мугур-Аксы, ул. Эрик, д. 35</w:t>
            </w:r>
          </w:p>
        </w:tc>
        <w:tc>
          <w:tcPr>
            <w:tcW w:w="1979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830" w:type="dxa"/>
            <w:tcBorders/>
            <w:vAlign w:val="center"/>
          </w:tcPr>
          <w:p>
            <w:pPr>
              <w:pStyle w:val="ListParagraph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ind w:start="22"/>
              <w:contextualSpacing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35</w:t>
            </w:r>
          </w:p>
        </w:tc>
        <w:tc>
          <w:tcPr>
            <w:tcW w:w="4105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ДДС 02</w:t>
            </w:r>
          </w:p>
        </w:tc>
        <w:tc>
          <w:tcPr>
            <w:tcW w:w="322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с. Мугур-Аксы, ул. Найырал, д. 10</w:t>
            </w:r>
          </w:p>
        </w:tc>
        <w:tc>
          <w:tcPr>
            <w:tcW w:w="1979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830" w:type="dxa"/>
            <w:tcBorders/>
            <w:vAlign w:val="center"/>
          </w:tcPr>
          <w:p>
            <w:pPr>
              <w:pStyle w:val="ListParagraph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ind w:start="22"/>
              <w:contextualSpacing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36</w:t>
            </w:r>
          </w:p>
        </w:tc>
        <w:tc>
          <w:tcPr>
            <w:tcW w:w="4105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ДДС 03</w:t>
            </w:r>
          </w:p>
        </w:tc>
        <w:tc>
          <w:tcPr>
            <w:tcW w:w="322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с. Мугур-Аксы, ул. Кошкар-оола, д. 1</w:t>
            </w:r>
          </w:p>
        </w:tc>
        <w:tc>
          <w:tcPr>
            <w:tcW w:w="1979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39" w:type="dxa"/>
            <w:gridSpan w:val="4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МО Овюрский кожуун</w:t>
            </w:r>
          </w:p>
        </w:tc>
      </w:tr>
      <w:tr>
        <w:trPr>
          <w:trHeight w:val="255" w:hRule="atLeast"/>
        </w:trPr>
        <w:tc>
          <w:tcPr>
            <w:tcW w:w="830" w:type="dxa"/>
            <w:tcBorders/>
            <w:vAlign w:val="center"/>
          </w:tcPr>
          <w:p>
            <w:pPr>
              <w:pStyle w:val="ListParagraph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ind w:start="22"/>
              <w:contextualSpacing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37</w:t>
            </w:r>
          </w:p>
        </w:tc>
        <w:tc>
          <w:tcPr>
            <w:tcW w:w="4105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ЕДДС</w:t>
            </w:r>
          </w:p>
        </w:tc>
        <w:tc>
          <w:tcPr>
            <w:tcW w:w="322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с. Хандагайты, ул. Ленина, д. 1</w:t>
            </w:r>
          </w:p>
        </w:tc>
        <w:tc>
          <w:tcPr>
            <w:tcW w:w="1979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830" w:type="dxa"/>
            <w:tcBorders/>
            <w:vAlign w:val="center"/>
          </w:tcPr>
          <w:p>
            <w:pPr>
              <w:pStyle w:val="ListParagraph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ind w:start="22"/>
              <w:contextualSpacing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38</w:t>
            </w:r>
          </w:p>
        </w:tc>
        <w:tc>
          <w:tcPr>
            <w:tcW w:w="4105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 xml:space="preserve">ДДС 01 </w:t>
            </w:r>
          </w:p>
        </w:tc>
        <w:tc>
          <w:tcPr>
            <w:tcW w:w="322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с. Хандагайты, ул. Октябрьская, д. 3</w:t>
            </w:r>
          </w:p>
        </w:tc>
        <w:tc>
          <w:tcPr>
            <w:tcW w:w="1979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830" w:type="dxa"/>
            <w:tcBorders/>
            <w:vAlign w:val="center"/>
          </w:tcPr>
          <w:p>
            <w:pPr>
              <w:pStyle w:val="ListParagraph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ind w:start="22"/>
              <w:contextualSpacing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39</w:t>
            </w:r>
          </w:p>
        </w:tc>
        <w:tc>
          <w:tcPr>
            <w:tcW w:w="4105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ДДС 02</w:t>
            </w:r>
          </w:p>
        </w:tc>
        <w:tc>
          <w:tcPr>
            <w:tcW w:w="322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с. Хандагайты, ул. Орланмай, д. 17</w:t>
            </w:r>
          </w:p>
        </w:tc>
        <w:tc>
          <w:tcPr>
            <w:tcW w:w="1979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830" w:type="dxa"/>
            <w:tcBorders/>
            <w:vAlign w:val="center"/>
          </w:tcPr>
          <w:p>
            <w:pPr>
              <w:pStyle w:val="ListParagraph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ind w:start="22"/>
              <w:contextualSpacing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40</w:t>
            </w:r>
          </w:p>
        </w:tc>
        <w:tc>
          <w:tcPr>
            <w:tcW w:w="4105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ДДС 03</w:t>
            </w:r>
          </w:p>
        </w:tc>
        <w:tc>
          <w:tcPr>
            <w:tcW w:w="322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с. Хандагайты, ул. Октябрьская, д. 1</w:t>
            </w:r>
          </w:p>
        </w:tc>
        <w:tc>
          <w:tcPr>
            <w:tcW w:w="1979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39" w:type="dxa"/>
            <w:gridSpan w:val="4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МО Пий-Хемский кожуун</w:t>
            </w:r>
          </w:p>
        </w:tc>
      </w:tr>
      <w:tr>
        <w:trPr>
          <w:trHeight w:val="255" w:hRule="atLeast"/>
        </w:trPr>
        <w:tc>
          <w:tcPr>
            <w:tcW w:w="830" w:type="dxa"/>
            <w:tcBorders/>
            <w:vAlign w:val="center"/>
          </w:tcPr>
          <w:p>
            <w:pPr>
              <w:pStyle w:val="ListParagraph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ind w:start="22"/>
              <w:contextualSpacing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41</w:t>
            </w:r>
          </w:p>
        </w:tc>
        <w:tc>
          <w:tcPr>
            <w:tcW w:w="4105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ЕДДС</w:t>
            </w:r>
          </w:p>
        </w:tc>
        <w:tc>
          <w:tcPr>
            <w:tcW w:w="322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г. Туран, ул. Кочетова, д. 11</w:t>
            </w:r>
          </w:p>
        </w:tc>
        <w:tc>
          <w:tcPr>
            <w:tcW w:w="1979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830" w:type="dxa"/>
            <w:tcBorders/>
            <w:vAlign w:val="center"/>
          </w:tcPr>
          <w:p>
            <w:pPr>
              <w:pStyle w:val="ListParagraph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ind w:start="22"/>
              <w:contextualSpacing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42</w:t>
            </w:r>
          </w:p>
        </w:tc>
        <w:tc>
          <w:tcPr>
            <w:tcW w:w="4105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 xml:space="preserve">ДДС 01 </w:t>
            </w:r>
          </w:p>
        </w:tc>
        <w:tc>
          <w:tcPr>
            <w:tcW w:w="322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г. Туран, ул. Советская, д. 8</w:t>
            </w:r>
          </w:p>
        </w:tc>
        <w:tc>
          <w:tcPr>
            <w:tcW w:w="1979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830" w:type="dxa"/>
            <w:tcBorders/>
            <w:vAlign w:val="center"/>
          </w:tcPr>
          <w:p>
            <w:pPr>
              <w:pStyle w:val="ListParagraph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ind w:start="22"/>
              <w:contextualSpacing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43</w:t>
            </w:r>
          </w:p>
        </w:tc>
        <w:tc>
          <w:tcPr>
            <w:tcW w:w="4105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ДДС 02</w:t>
            </w:r>
          </w:p>
        </w:tc>
        <w:tc>
          <w:tcPr>
            <w:tcW w:w="322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г. Туран, ул. Дружбы, д. 36</w:t>
            </w:r>
          </w:p>
        </w:tc>
        <w:tc>
          <w:tcPr>
            <w:tcW w:w="1979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830" w:type="dxa"/>
            <w:tcBorders/>
            <w:vAlign w:val="center"/>
          </w:tcPr>
          <w:p>
            <w:pPr>
              <w:pStyle w:val="ListParagraph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ind w:start="22"/>
              <w:contextualSpacing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44</w:t>
            </w:r>
          </w:p>
        </w:tc>
        <w:tc>
          <w:tcPr>
            <w:tcW w:w="4105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ДДС 03</w:t>
            </w:r>
          </w:p>
        </w:tc>
        <w:tc>
          <w:tcPr>
            <w:tcW w:w="322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г. Туран, ул. Горная, д. 14</w:t>
            </w:r>
          </w:p>
        </w:tc>
        <w:tc>
          <w:tcPr>
            <w:tcW w:w="1979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39" w:type="dxa"/>
            <w:gridSpan w:val="4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МО Сут-Хольский кожуун</w:t>
            </w:r>
          </w:p>
        </w:tc>
      </w:tr>
      <w:tr>
        <w:trPr>
          <w:trHeight w:val="255" w:hRule="atLeast"/>
        </w:trPr>
        <w:tc>
          <w:tcPr>
            <w:tcW w:w="830" w:type="dxa"/>
            <w:tcBorders/>
            <w:vAlign w:val="center"/>
          </w:tcPr>
          <w:p>
            <w:pPr>
              <w:pStyle w:val="ListParagraph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ind w:start="22"/>
              <w:contextualSpacing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45</w:t>
            </w:r>
          </w:p>
        </w:tc>
        <w:tc>
          <w:tcPr>
            <w:tcW w:w="4105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ЕДДС</w:t>
            </w:r>
          </w:p>
        </w:tc>
        <w:tc>
          <w:tcPr>
            <w:tcW w:w="322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с. Суг-Аксы, ул. Алдан-Маадырская, д. 65</w:t>
            </w:r>
          </w:p>
        </w:tc>
        <w:tc>
          <w:tcPr>
            <w:tcW w:w="1979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830" w:type="dxa"/>
            <w:tcBorders/>
            <w:vAlign w:val="center"/>
          </w:tcPr>
          <w:p>
            <w:pPr>
              <w:pStyle w:val="ListParagraph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ind w:start="22"/>
              <w:contextualSpacing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46</w:t>
            </w:r>
          </w:p>
        </w:tc>
        <w:tc>
          <w:tcPr>
            <w:tcW w:w="4105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 xml:space="preserve">ДДС 01 </w:t>
            </w:r>
          </w:p>
        </w:tc>
        <w:tc>
          <w:tcPr>
            <w:tcW w:w="322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с. Суг-Аксы, ул. Интернациональная, д. 15</w:t>
            </w:r>
          </w:p>
        </w:tc>
        <w:tc>
          <w:tcPr>
            <w:tcW w:w="1979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830" w:type="dxa"/>
            <w:tcBorders/>
            <w:vAlign w:val="center"/>
          </w:tcPr>
          <w:p>
            <w:pPr>
              <w:pStyle w:val="ListParagraph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ind w:start="22"/>
              <w:contextualSpacing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47</w:t>
            </w:r>
          </w:p>
        </w:tc>
        <w:tc>
          <w:tcPr>
            <w:tcW w:w="4105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ДДС 02</w:t>
            </w:r>
          </w:p>
        </w:tc>
        <w:tc>
          <w:tcPr>
            <w:tcW w:w="322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с. Суг-Аксы, ул. Чогаалчылар, д. 38</w:t>
            </w:r>
          </w:p>
        </w:tc>
        <w:tc>
          <w:tcPr>
            <w:tcW w:w="1979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830" w:type="dxa"/>
            <w:tcBorders/>
            <w:vAlign w:val="center"/>
          </w:tcPr>
          <w:p>
            <w:pPr>
              <w:pStyle w:val="ListParagraph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ind w:start="22"/>
              <w:contextualSpacing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48</w:t>
            </w:r>
          </w:p>
        </w:tc>
        <w:tc>
          <w:tcPr>
            <w:tcW w:w="4105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ДДС 03</w:t>
            </w:r>
          </w:p>
        </w:tc>
        <w:tc>
          <w:tcPr>
            <w:tcW w:w="322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с. Суг-Аксы, ул. Алдан-Маадырская, д. 16а</w:t>
            </w:r>
          </w:p>
        </w:tc>
        <w:tc>
          <w:tcPr>
            <w:tcW w:w="1979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39" w:type="dxa"/>
            <w:gridSpan w:val="4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МО Тандинский кожуун</w:t>
            </w:r>
          </w:p>
        </w:tc>
      </w:tr>
      <w:tr>
        <w:trPr>
          <w:trHeight w:val="255" w:hRule="atLeast"/>
        </w:trPr>
        <w:tc>
          <w:tcPr>
            <w:tcW w:w="830" w:type="dxa"/>
            <w:tcBorders/>
            <w:vAlign w:val="center"/>
          </w:tcPr>
          <w:p>
            <w:pPr>
              <w:pStyle w:val="ListParagraph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ind w:start="22"/>
              <w:contextualSpacing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49</w:t>
            </w:r>
          </w:p>
        </w:tc>
        <w:tc>
          <w:tcPr>
            <w:tcW w:w="4105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ЕДДС</w:t>
            </w:r>
          </w:p>
        </w:tc>
        <w:tc>
          <w:tcPr>
            <w:tcW w:w="322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с. Бай-Хаак, ул. Оюн Данчая, д. 45</w:t>
            </w:r>
          </w:p>
        </w:tc>
        <w:tc>
          <w:tcPr>
            <w:tcW w:w="1979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830" w:type="dxa"/>
            <w:tcBorders/>
            <w:vAlign w:val="center"/>
          </w:tcPr>
          <w:p>
            <w:pPr>
              <w:pStyle w:val="ListParagraph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ind w:start="22"/>
              <w:contextualSpacing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50</w:t>
            </w:r>
          </w:p>
        </w:tc>
        <w:tc>
          <w:tcPr>
            <w:tcW w:w="4105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 xml:space="preserve">ДДС 01 </w:t>
            </w:r>
          </w:p>
        </w:tc>
        <w:tc>
          <w:tcPr>
            <w:tcW w:w="322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с. Бай-Хаак, ул. Пушкина, д. 67</w:t>
            </w:r>
          </w:p>
        </w:tc>
        <w:tc>
          <w:tcPr>
            <w:tcW w:w="1979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830" w:type="dxa"/>
            <w:tcBorders/>
            <w:vAlign w:val="center"/>
          </w:tcPr>
          <w:p>
            <w:pPr>
              <w:pStyle w:val="ListParagraph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ind w:start="22"/>
              <w:contextualSpacing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51</w:t>
            </w:r>
          </w:p>
        </w:tc>
        <w:tc>
          <w:tcPr>
            <w:tcW w:w="4105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ДДС 02</w:t>
            </w:r>
          </w:p>
        </w:tc>
        <w:tc>
          <w:tcPr>
            <w:tcW w:w="322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с. Бай-Хаак, ул. Советская, д. 70</w:t>
            </w:r>
          </w:p>
        </w:tc>
        <w:tc>
          <w:tcPr>
            <w:tcW w:w="1979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830" w:type="dxa"/>
            <w:tcBorders/>
            <w:vAlign w:val="center"/>
          </w:tcPr>
          <w:p>
            <w:pPr>
              <w:pStyle w:val="ListParagraph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ind w:start="22"/>
              <w:contextualSpacing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52</w:t>
            </w:r>
          </w:p>
        </w:tc>
        <w:tc>
          <w:tcPr>
            <w:tcW w:w="4105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ДДС 03</w:t>
            </w:r>
          </w:p>
        </w:tc>
        <w:tc>
          <w:tcPr>
            <w:tcW w:w="322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с. Бай-Хаак, ул. Советская, д. 112</w:t>
            </w:r>
          </w:p>
        </w:tc>
        <w:tc>
          <w:tcPr>
            <w:tcW w:w="1979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39" w:type="dxa"/>
            <w:gridSpan w:val="4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МО Тере-Хольский кожуун</w:t>
            </w:r>
          </w:p>
        </w:tc>
      </w:tr>
      <w:tr>
        <w:trPr>
          <w:trHeight w:val="255" w:hRule="atLeast"/>
        </w:trPr>
        <w:tc>
          <w:tcPr>
            <w:tcW w:w="830" w:type="dxa"/>
            <w:tcBorders/>
            <w:vAlign w:val="center"/>
          </w:tcPr>
          <w:p>
            <w:pPr>
              <w:pStyle w:val="ListParagraph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ind w:start="22"/>
              <w:contextualSpacing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53</w:t>
            </w:r>
          </w:p>
        </w:tc>
        <w:tc>
          <w:tcPr>
            <w:tcW w:w="4105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ЕДДС</w:t>
            </w:r>
          </w:p>
        </w:tc>
        <w:tc>
          <w:tcPr>
            <w:tcW w:w="322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с. Кунгуртуг, ул. Молодежная, д. 1б</w:t>
            </w:r>
          </w:p>
        </w:tc>
        <w:tc>
          <w:tcPr>
            <w:tcW w:w="1979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830" w:type="dxa"/>
            <w:tcBorders/>
            <w:vAlign w:val="center"/>
          </w:tcPr>
          <w:p>
            <w:pPr>
              <w:pStyle w:val="ListParagraph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ind w:start="22"/>
              <w:contextualSpacing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54</w:t>
            </w:r>
          </w:p>
        </w:tc>
        <w:tc>
          <w:tcPr>
            <w:tcW w:w="4105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 xml:space="preserve">ДДС 01 </w:t>
            </w:r>
          </w:p>
        </w:tc>
        <w:tc>
          <w:tcPr>
            <w:tcW w:w="322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с. Кунгуртуг, ул. Дружба, д. 41</w:t>
            </w:r>
          </w:p>
        </w:tc>
        <w:tc>
          <w:tcPr>
            <w:tcW w:w="1979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830" w:type="dxa"/>
            <w:tcBorders/>
            <w:vAlign w:val="center"/>
          </w:tcPr>
          <w:p>
            <w:pPr>
              <w:pStyle w:val="ListParagraph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ind w:start="22"/>
              <w:contextualSpacing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55</w:t>
            </w:r>
          </w:p>
        </w:tc>
        <w:tc>
          <w:tcPr>
            <w:tcW w:w="4105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ДДС 03</w:t>
            </w:r>
          </w:p>
        </w:tc>
        <w:tc>
          <w:tcPr>
            <w:tcW w:w="322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с. Кунгуртуг, ул. Молодежная, д. б/н</w:t>
            </w:r>
          </w:p>
        </w:tc>
        <w:tc>
          <w:tcPr>
            <w:tcW w:w="1979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39" w:type="dxa"/>
            <w:gridSpan w:val="4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МО Тес-Хемский кожуун</w:t>
            </w:r>
          </w:p>
        </w:tc>
      </w:tr>
      <w:tr>
        <w:trPr>
          <w:trHeight w:val="255" w:hRule="atLeast"/>
        </w:trPr>
        <w:tc>
          <w:tcPr>
            <w:tcW w:w="830" w:type="dxa"/>
            <w:tcBorders/>
            <w:vAlign w:val="center"/>
          </w:tcPr>
          <w:p>
            <w:pPr>
              <w:pStyle w:val="ListParagraph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ind w:start="22"/>
              <w:contextualSpacing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56</w:t>
            </w:r>
          </w:p>
        </w:tc>
        <w:tc>
          <w:tcPr>
            <w:tcW w:w="4105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ЕДДС</w:t>
            </w:r>
          </w:p>
        </w:tc>
        <w:tc>
          <w:tcPr>
            <w:tcW w:w="322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с. Самагалтай, ул. Кунаа, д. 58</w:t>
            </w:r>
          </w:p>
        </w:tc>
        <w:tc>
          <w:tcPr>
            <w:tcW w:w="1979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830" w:type="dxa"/>
            <w:tcBorders/>
            <w:vAlign w:val="center"/>
          </w:tcPr>
          <w:p>
            <w:pPr>
              <w:pStyle w:val="ListParagraph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ind w:start="22"/>
              <w:contextualSpacing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57</w:t>
            </w:r>
          </w:p>
        </w:tc>
        <w:tc>
          <w:tcPr>
            <w:tcW w:w="4105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 xml:space="preserve">ДДС 01 </w:t>
            </w:r>
          </w:p>
        </w:tc>
        <w:tc>
          <w:tcPr>
            <w:tcW w:w="322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с. Самагалтай, ул. Амбын-Ноян, д. 18</w:t>
            </w:r>
          </w:p>
        </w:tc>
        <w:tc>
          <w:tcPr>
            <w:tcW w:w="1979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830" w:type="dxa"/>
            <w:tcBorders/>
            <w:vAlign w:val="center"/>
          </w:tcPr>
          <w:p>
            <w:pPr>
              <w:pStyle w:val="ListParagraph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ind w:start="22"/>
              <w:contextualSpacing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58</w:t>
            </w:r>
          </w:p>
        </w:tc>
        <w:tc>
          <w:tcPr>
            <w:tcW w:w="4105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ДДС 02</w:t>
            </w:r>
          </w:p>
        </w:tc>
        <w:tc>
          <w:tcPr>
            <w:tcW w:w="322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с. Самагалтай, ул. Шумовых, д. 31</w:t>
            </w:r>
          </w:p>
        </w:tc>
        <w:tc>
          <w:tcPr>
            <w:tcW w:w="1979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830" w:type="dxa"/>
            <w:tcBorders/>
            <w:vAlign w:val="center"/>
          </w:tcPr>
          <w:p>
            <w:pPr>
              <w:pStyle w:val="ListParagraph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ind w:start="22"/>
              <w:contextualSpacing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59</w:t>
            </w:r>
          </w:p>
        </w:tc>
        <w:tc>
          <w:tcPr>
            <w:tcW w:w="4105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ДДС 03</w:t>
            </w:r>
          </w:p>
        </w:tc>
        <w:tc>
          <w:tcPr>
            <w:tcW w:w="322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с. Самагалтай, ул. Кунаа, д. 53</w:t>
            </w:r>
          </w:p>
        </w:tc>
        <w:tc>
          <w:tcPr>
            <w:tcW w:w="1979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39" w:type="dxa"/>
            <w:gridSpan w:val="4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МО Тоджинский кожуун</w:t>
            </w:r>
          </w:p>
        </w:tc>
      </w:tr>
      <w:tr>
        <w:trPr>
          <w:trHeight w:val="255" w:hRule="atLeast"/>
        </w:trPr>
        <w:tc>
          <w:tcPr>
            <w:tcW w:w="830" w:type="dxa"/>
            <w:tcBorders/>
            <w:vAlign w:val="center"/>
          </w:tcPr>
          <w:p>
            <w:pPr>
              <w:pStyle w:val="ListParagraph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ind w:start="22"/>
              <w:contextualSpacing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60</w:t>
            </w:r>
          </w:p>
        </w:tc>
        <w:tc>
          <w:tcPr>
            <w:tcW w:w="4105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ЕДДС</w:t>
            </w:r>
          </w:p>
        </w:tc>
        <w:tc>
          <w:tcPr>
            <w:tcW w:w="322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с. Тоора-Хем, ул. Октябрьская, д. 20</w:t>
            </w:r>
          </w:p>
        </w:tc>
        <w:tc>
          <w:tcPr>
            <w:tcW w:w="1979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830" w:type="dxa"/>
            <w:tcBorders/>
            <w:vAlign w:val="center"/>
          </w:tcPr>
          <w:p>
            <w:pPr>
              <w:pStyle w:val="ListParagraph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ind w:start="22"/>
              <w:contextualSpacing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61</w:t>
            </w:r>
          </w:p>
        </w:tc>
        <w:tc>
          <w:tcPr>
            <w:tcW w:w="4105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 xml:space="preserve">ДДС 01 </w:t>
            </w:r>
          </w:p>
        </w:tc>
        <w:tc>
          <w:tcPr>
            <w:tcW w:w="322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с. Тоора-Хем, ул. Енисейская, д. 90</w:t>
            </w:r>
          </w:p>
        </w:tc>
        <w:tc>
          <w:tcPr>
            <w:tcW w:w="1979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830" w:type="dxa"/>
            <w:tcBorders/>
            <w:vAlign w:val="center"/>
          </w:tcPr>
          <w:p>
            <w:pPr>
              <w:pStyle w:val="ListParagraph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ind w:start="22"/>
              <w:contextualSpacing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62</w:t>
            </w:r>
          </w:p>
        </w:tc>
        <w:tc>
          <w:tcPr>
            <w:tcW w:w="4105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ДДС 02</w:t>
            </w:r>
          </w:p>
        </w:tc>
        <w:tc>
          <w:tcPr>
            <w:tcW w:w="322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с. Тоора-Хем, ул. Октябрьская, д. 22</w:t>
            </w:r>
          </w:p>
        </w:tc>
        <w:tc>
          <w:tcPr>
            <w:tcW w:w="1979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830" w:type="dxa"/>
            <w:tcBorders/>
            <w:vAlign w:val="center"/>
          </w:tcPr>
          <w:p>
            <w:pPr>
              <w:pStyle w:val="ListParagraph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ind w:start="22"/>
              <w:contextualSpacing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63</w:t>
            </w:r>
          </w:p>
        </w:tc>
        <w:tc>
          <w:tcPr>
            <w:tcW w:w="4105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ДДС 03</w:t>
            </w:r>
          </w:p>
        </w:tc>
        <w:tc>
          <w:tcPr>
            <w:tcW w:w="322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с. Тоора-Хем, ул. Дружба, д. 8</w:t>
            </w:r>
          </w:p>
        </w:tc>
        <w:tc>
          <w:tcPr>
            <w:tcW w:w="1979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39" w:type="dxa"/>
            <w:gridSpan w:val="4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МО Улуг-Хемский кожуун</w:t>
            </w:r>
          </w:p>
        </w:tc>
      </w:tr>
      <w:tr>
        <w:trPr>
          <w:trHeight w:val="255" w:hRule="atLeast"/>
        </w:trPr>
        <w:tc>
          <w:tcPr>
            <w:tcW w:w="830" w:type="dxa"/>
            <w:tcBorders/>
            <w:vAlign w:val="center"/>
          </w:tcPr>
          <w:p>
            <w:pPr>
              <w:pStyle w:val="ListParagraph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ind w:start="22"/>
              <w:contextualSpacing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64</w:t>
            </w:r>
          </w:p>
        </w:tc>
        <w:tc>
          <w:tcPr>
            <w:tcW w:w="4105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ЕДДС</w:t>
            </w:r>
          </w:p>
        </w:tc>
        <w:tc>
          <w:tcPr>
            <w:tcW w:w="322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г. Шагонар, ул. Октябрьская, д.1</w:t>
            </w:r>
          </w:p>
        </w:tc>
        <w:tc>
          <w:tcPr>
            <w:tcW w:w="1979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830" w:type="dxa"/>
            <w:tcBorders/>
            <w:vAlign w:val="center"/>
          </w:tcPr>
          <w:p>
            <w:pPr>
              <w:pStyle w:val="ListParagraph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ind w:start="22"/>
              <w:contextualSpacing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65</w:t>
            </w:r>
          </w:p>
        </w:tc>
        <w:tc>
          <w:tcPr>
            <w:tcW w:w="4105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 xml:space="preserve">ДДС 01 </w:t>
            </w:r>
          </w:p>
        </w:tc>
        <w:tc>
          <w:tcPr>
            <w:tcW w:w="322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г. Шагонар, ул. Магистральная, д. 15</w:t>
            </w:r>
          </w:p>
        </w:tc>
        <w:tc>
          <w:tcPr>
            <w:tcW w:w="1979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830" w:type="dxa"/>
            <w:tcBorders/>
            <w:vAlign w:val="center"/>
          </w:tcPr>
          <w:p>
            <w:pPr>
              <w:pStyle w:val="ListParagraph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ind w:start="22"/>
              <w:contextualSpacing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66</w:t>
            </w:r>
          </w:p>
        </w:tc>
        <w:tc>
          <w:tcPr>
            <w:tcW w:w="4105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ДДС 02</w:t>
            </w:r>
          </w:p>
        </w:tc>
        <w:tc>
          <w:tcPr>
            <w:tcW w:w="322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г. Шагонар, ул. Дружбы, д. 16</w:t>
            </w:r>
          </w:p>
        </w:tc>
        <w:tc>
          <w:tcPr>
            <w:tcW w:w="1979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830" w:type="dxa"/>
            <w:tcBorders/>
            <w:vAlign w:val="center"/>
          </w:tcPr>
          <w:p>
            <w:pPr>
              <w:pStyle w:val="ListParagraph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ind w:start="22"/>
              <w:contextualSpacing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67</w:t>
            </w:r>
          </w:p>
        </w:tc>
        <w:tc>
          <w:tcPr>
            <w:tcW w:w="4105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ДДС 03</w:t>
            </w:r>
          </w:p>
        </w:tc>
        <w:tc>
          <w:tcPr>
            <w:tcW w:w="322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г. Шагонар, ул. Октябрьская, д. 46</w:t>
            </w:r>
          </w:p>
        </w:tc>
        <w:tc>
          <w:tcPr>
            <w:tcW w:w="1979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39" w:type="dxa"/>
            <w:gridSpan w:val="4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МО Чаа-Хольский кожуун</w:t>
            </w:r>
          </w:p>
        </w:tc>
      </w:tr>
      <w:tr>
        <w:trPr>
          <w:trHeight w:val="255" w:hRule="atLeast"/>
        </w:trPr>
        <w:tc>
          <w:tcPr>
            <w:tcW w:w="830" w:type="dxa"/>
            <w:tcBorders/>
            <w:vAlign w:val="center"/>
          </w:tcPr>
          <w:p>
            <w:pPr>
              <w:pStyle w:val="ListParagraph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ind w:start="22"/>
              <w:contextualSpacing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68</w:t>
            </w:r>
          </w:p>
        </w:tc>
        <w:tc>
          <w:tcPr>
            <w:tcW w:w="4105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ЕДДС</w:t>
            </w:r>
          </w:p>
        </w:tc>
        <w:tc>
          <w:tcPr>
            <w:tcW w:w="322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с. Чаа-Холь, ул. Ленина, д. 8</w:t>
            </w:r>
          </w:p>
        </w:tc>
        <w:tc>
          <w:tcPr>
            <w:tcW w:w="1979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830" w:type="dxa"/>
            <w:tcBorders/>
            <w:vAlign w:val="center"/>
          </w:tcPr>
          <w:p>
            <w:pPr>
              <w:pStyle w:val="ListParagraph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ind w:start="22"/>
              <w:contextualSpacing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69</w:t>
            </w:r>
          </w:p>
        </w:tc>
        <w:tc>
          <w:tcPr>
            <w:tcW w:w="4105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 xml:space="preserve">ДДС 01 </w:t>
            </w:r>
          </w:p>
        </w:tc>
        <w:tc>
          <w:tcPr>
            <w:tcW w:w="322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с. Чаа-Холь, ул. 60 лет Октября, д. 1а</w:t>
            </w:r>
          </w:p>
        </w:tc>
        <w:tc>
          <w:tcPr>
            <w:tcW w:w="1979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830" w:type="dxa"/>
            <w:tcBorders/>
            <w:vAlign w:val="center"/>
          </w:tcPr>
          <w:p>
            <w:pPr>
              <w:pStyle w:val="ListParagraph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ind w:start="22"/>
              <w:contextualSpacing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70</w:t>
            </w:r>
          </w:p>
        </w:tc>
        <w:tc>
          <w:tcPr>
            <w:tcW w:w="4105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ДДС 02</w:t>
            </w:r>
          </w:p>
        </w:tc>
        <w:tc>
          <w:tcPr>
            <w:tcW w:w="322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с. Чаа-Холь, ул. Сундуй Андрея, д. 4</w:t>
            </w:r>
          </w:p>
        </w:tc>
        <w:tc>
          <w:tcPr>
            <w:tcW w:w="1979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830" w:type="dxa"/>
            <w:tcBorders/>
            <w:vAlign w:val="center"/>
          </w:tcPr>
          <w:p>
            <w:pPr>
              <w:pStyle w:val="ListParagraph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ind w:start="22"/>
              <w:contextualSpacing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71</w:t>
            </w:r>
          </w:p>
        </w:tc>
        <w:tc>
          <w:tcPr>
            <w:tcW w:w="4105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ДДС 03</w:t>
            </w:r>
          </w:p>
        </w:tc>
        <w:tc>
          <w:tcPr>
            <w:tcW w:w="322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с. Чаа-Холь, ул. Сундуй Андрея, д. 13</w:t>
            </w:r>
          </w:p>
        </w:tc>
        <w:tc>
          <w:tcPr>
            <w:tcW w:w="1979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39" w:type="dxa"/>
            <w:gridSpan w:val="4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МО Чеди-Хольский кожуун</w:t>
            </w:r>
          </w:p>
        </w:tc>
      </w:tr>
      <w:tr>
        <w:trPr>
          <w:trHeight w:val="255" w:hRule="atLeast"/>
        </w:trPr>
        <w:tc>
          <w:tcPr>
            <w:tcW w:w="830" w:type="dxa"/>
            <w:tcBorders/>
            <w:vAlign w:val="center"/>
          </w:tcPr>
          <w:p>
            <w:pPr>
              <w:pStyle w:val="ListParagraph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ind w:start="22"/>
              <w:contextualSpacing/>
              <w:jc w:val="start"/>
              <w:rPr>
                <w:sz w:val="23"/>
                <w:szCs w:val="23"/>
                <w:lang w:val="en-US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72</w:t>
            </w:r>
          </w:p>
        </w:tc>
        <w:tc>
          <w:tcPr>
            <w:tcW w:w="4105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ЕДДС</w:t>
            </w:r>
          </w:p>
        </w:tc>
        <w:tc>
          <w:tcPr>
            <w:tcW w:w="322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с. Хову-Аксы, ул. Гагарина, д.11</w:t>
            </w:r>
          </w:p>
        </w:tc>
        <w:tc>
          <w:tcPr>
            <w:tcW w:w="1979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830" w:type="dxa"/>
            <w:tcBorders/>
            <w:vAlign w:val="center"/>
          </w:tcPr>
          <w:p>
            <w:pPr>
              <w:pStyle w:val="ListParagraph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ind w:start="22"/>
              <w:contextualSpacing/>
              <w:jc w:val="start"/>
              <w:rPr>
                <w:sz w:val="23"/>
                <w:szCs w:val="23"/>
                <w:lang w:val="en-US"/>
              </w:rPr>
            </w:pPr>
            <w:r>
              <w:rPr>
                <w:kern w:val="0"/>
                <w:sz w:val="23"/>
                <w:szCs w:val="23"/>
                <w:lang w:val="en-US" w:bidi="ar-SA"/>
              </w:rPr>
              <w:t>73</w:t>
            </w:r>
          </w:p>
        </w:tc>
        <w:tc>
          <w:tcPr>
            <w:tcW w:w="4105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 xml:space="preserve">ДДС 01 </w:t>
            </w:r>
          </w:p>
        </w:tc>
        <w:tc>
          <w:tcPr>
            <w:tcW w:w="322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с. Хову-Аксы, ул. Гагарина, д.11</w:t>
            </w:r>
          </w:p>
        </w:tc>
        <w:tc>
          <w:tcPr>
            <w:tcW w:w="1979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830" w:type="dxa"/>
            <w:tcBorders/>
            <w:vAlign w:val="center"/>
          </w:tcPr>
          <w:p>
            <w:pPr>
              <w:pStyle w:val="ListParagraph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ind w:start="22"/>
              <w:contextualSpacing/>
              <w:jc w:val="start"/>
              <w:rPr>
                <w:sz w:val="23"/>
                <w:szCs w:val="23"/>
                <w:lang w:val="en-US"/>
              </w:rPr>
            </w:pPr>
            <w:r>
              <w:rPr>
                <w:kern w:val="0"/>
                <w:sz w:val="23"/>
                <w:szCs w:val="23"/>
                <w:lang w:val="en-US" w:bidi="ar-SA"/>
              </w:rPr>
              <w:t>74</w:t>
            </w:r>
          </w:p>
        </w:tc>
        <w:tc>
          <w:tcPr>
            <w:tcW w:w="4105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ДДС 02</w:t>
            </w:r>
          </w:p>
        </w:tc>
        <w:tc>
          <w:tcPr>
            <w:tcW w:w="322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с. Хову-Аксы, ул. Гагарина, д. 21</w:t>
            </w:r>
          </w:p>
        </w:tc>
        <w:tc>
          <w:tcPr>
            <w:tcW w:w="1979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830" w:type="dxa"/>
            <w:tcBorders/>
            <w:vAlign w:val="center"/>
          </w:tcPr>
          <w:p>
            <w:pPr>
              <w:pStyle w:val="ListParagraph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ind w:start="22"/>
              <w:contextualSpacing/>
              <w:jc w:val="start"/>
              <w:rPr>
                <w:sz w:val="23"/>
                <w:szCs w:val="23"/>
                <w:lang w:val="en-US"/>
              </w:rPr>
            </w:pPr>
            <w:r>
              <w:rPr>
                <w:kern w:val="0"/>
                <w:sz w:val="23"/>
                <w:szCs w:val="23"/>
                <w:lang w:val="en-US" w:bidi="ar-SA"/>
              </w:rPr>
              <w:t>75</w:t>
            </w:r>
          </w:p>
        </w:tc>
        <w:tc>
          <w:tcPr>
            <w:tcW w:w="4105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ДДС 03</w:t>
            </w:r>
          </w:p>
        </w:tc>
        <w:tc>
          <w:tcPr>
            <w:tcW w:w="322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с. Хову-Аксы, ул. Спортивная, д. 12</w:t>
            </w:r>
          </w:p>
        </w:tc>
        <w:tc>
          <w:tcPr>
            <w:tcW w:w="1979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0139" w:type="dxa"/>
            <w:gridSpan w:val="4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МО Эрзинский кожуун</w:t>
            </w:r>
          </w:p>
        </w:tc>
      </w:tr>
      <w:tr>
        <w:trPr>
          <w:trHeight w:val="255" w:hRule="atLeast"/>
        </w:trPr>
        <w:tc>
          <w:tcPr>
            <w:tcW w:w="830" w:type="dxa"/>
            <w:tcBorders/>
            <w:vAlign w:val="center"/>
          </w:tcPr>
          <w:p>
            <w:pPr>
              <w:pStyle w:val="ListParagraph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ind w:start="22"/>
              <w:contextualSpacing/>
              <w:jc w:val="start"/>
              <w:rPr>
                <w:sz w:val="23"/>
                <w:szCs w:val="23"/>
                <w:lang w:val="en-US"/>
              </w:rPr>
            </w:pPr>
            <w:r>
              <w:rPr>
                <w:kern w:val="0"/>
                <w:sz w:val="23"/>
                <w:szCs w:val="23"/>
                <w:lang w:val="en-US" w:bidi="ar-SA"/>
              </w:rPr>
              <w:t>76</w:t>
            </w:r>
          </w:p>
        </w:tc>
        <w:tc>
          <w:tcPr>
            <w:tcW w:w="4105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ЕДДС</w:t>
            </w:r>
          </w:p>
        </w:tc>
        <w:tc>
          <w:tcPr>
            <w:tcW w:w="322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с. Эрзин, ул. Комсомольская, д. 29</w:t>
            </w:r>
          </w:p>
        </w:tc>
        <w:tc>
          <w:tcPr>
            <w:tcW w:w="1979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830" w:type="dxa"/>
            <w:tcBorders/>
            <w:vAlign w:val="center"/>
          </w:tcPr>
          <w:p>
            <w:pPr>
              <w:pStyle w:val="ListParagraph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ind w:start="22"/>
              <w:contextualSpacing/>
              <w:jc w:val="start"/>
              <w:rPr>
                <w:sz w:val="23"/>
                <w:szCs w:val="23"/>
                <w:lang w:val="en-US"/>
              </w:rPr>
            </w:pPr>
            <w:r>
              <w:rPr>
                <w:kern w:val="0"/>
                <w:sz w:val="23"/>
                <w:szCs w:val="23"/>
                <w:lang w:val="en-US" w:bidi="ar-SA"/>
              </w:rPr>
              <w:t>77</w:t>
            </w:r>
          </w:p>
        </w:tc>
        <w:tc>
          <w:tcPr>
            <w:tcW w:w="4105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 xml:space="preserve">ДДС 01 </w:t>
            </w:r>
          </w:p>
        </w:tc>
        <w:tc>
          <w:tcPr>
            <w:tcW w:w="322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с. Эрзин, ул. Пушкина, д. 36</w:t>
            </w:r>
          </w:p>
        </w:tc>
        <w:tc>
          <w:tcPr>
            <w:tcW w:w="1979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830" w:type="dxa"/>
            <w:tcBorders/>
            <w:vAlign w:val="center"/>
          </w:tcPr>
          <w:p>
            <w:pPr>
              <w:pStyle w:val="ListParagraph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ind w:start="22"/>
              <w:contextualSpacing/>
              <w:jc w:val="start"/>
              <w:rPr>
                <w:sz w:val="23"/>
                <w:szCs w:val="23"/>
                <w:lang w:val="en-US"/>
              </w:rPr>
            </w:pPr>
            <w:r>
              <w:rPr>
                <w:kern w:val="0"/>
                <w:sz w:val="23"/>
                <w:szCs w:val="23"/>
                <w:lang w:val="en-US" w:bidi="ar-SA"/>
              </w:rPr>
              <w:t>78</w:t>
            </w:r>
          </w:p>
        </w:tc>
        <w:tc>
          <w:tcPr>
            <w:tcW w:w="4105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ДДС 02</w:t>
            </w:r>
          </w:p>
        </w:tc>
        <w:tc>
          <w:tcPr>
            <w:tcW w:w="322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с. Эрзин, ул. Дружбы, д. 51</w:t>
            </w:r>
          </w:p>
        </w:tc>
        <w:tc>
          <w:tcPr>
            <w:tcW w:w="1979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830" w:type="dxa"/>
            <w:tcBorders/>
            <w:vAlign w:val="center"/>
          </w:tcPr>
          <w:p>
            <w:pPr>
              <w:pStyle w:val="ListParagraph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ind w:start="22"/>
              <w:contextualSpacing/>
              <w:jc w:val="start"/>
              <w:rPr>
                <w:sz w:val="23"/>
                <w:szCs w:val="23"/>
                <w:lang w:val="en-US"/>
              </w:rPr>
            </w:pPr>
            <w:r>
              <w:rPr>
                <w:kern w:val="0"/>
                <w:sz w:val="23"/>
                <w:szCs w:val="23"/>
                <w:lang w:val="en-US" w:bidi="ar-SA"/>
              </w:rPr>
              <w:t>79</w:t>
            </w:r>
          </w:p>
        </w:tc>
        <w:tc>
          <w:tcPr>
            <w:tcW w:w="4105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ДДС 03</w:t>
            </w:r>
          </w:p>
        </w:tc>
        <w:tc>
          <w:tcPr>
            <w:tcW w:w="322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start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с. Эрзин, ул. Дружбы, д. 51</w:t>
            </w:r>
          </w:p>
        </w:tc>
        <w:tc>
          <w:tcPr>
            <w:tcW w:w="1979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  <w:lang w:val="ru-RU" w:bidi="ar-SA"/>
              </w:rPr>
              <w:t>1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center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Normal"/>
        <w:rPr>
          <w:sz w:val="23"/>
          <w:szCs w:val="23"/>
        </w:rPr>
      </w:pPr>
      <w:r>
        <w:rPr>
          <w:sz w:val="23"/>
          <w:szCs w:val="23"/>
        </w:rPr>
      </w:r>
      <w:r>
        <w:br w:type="page"/>
      </w:r>
    </w:p>
    <w:p>
      <w:pPr>
        <w:pStyle w:val="Normal"/>
        <w:widowControl w:val="false"/>
        <w:tabs>
          <w:tab w:val="clear" w:pos="708"/>
          <w:tab w:val="left" w:pos="1134" w:leader="none"/>
        </w:tabs>
        <w:spacing w:before="0" w:after="0"/>
        <w:ind w:firstLine="567"/>
        <w:jc w:val="end"/>
        <w:rPr>
          <w:sz w:val="23"/>
          <w:szCs w:val="23"/>
        </w:rPr>
      </w:pPr>
      <w:r>
        <w:rPr>
          <w:sz w:val="23"/>
          <w:szCs w:val="23"/>
        </w:rPr>
        <w:t xml:space="preserve">Приложение № 2 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end"/>
        <w:rPr>
          <w:sz w:val="23"/>
          <w:szCs w:val="23"/>
        </w:rPr>
      </w:pPr>
      <w:r>
        <w:rPr>
          <w:sz w:val="23"/>
          <w:szCs w:val="23"/>
        </w:rPr>
        <w:t>к Техническому заданию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end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Normal"/>
        <w:widowControl w:val="false"/>
        <w:tabs>
          <w:tab w:val="clear" w:pos="708"/>
          <w:tab w:val="left" w:pos="1134" w:leader="none"/>
        </w:tabs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Список программно-аппаратных и технических средств АИС Системы-112 Республики Тыва, входящих в техническую поддержку 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ind w:firstLine="567"/>
        <w:jc w:val="center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Normal"/>
        <w:widowControl w:val="false"/>
        <w:ind w:hanging="142"/>
        <w:jc w:val="both"/>
        <w:rPr>
          <w:sz w:val="23"/>
          <w:szCs w:val="23"/>
        </w:rPr>
      </w:pPr>
      <w:r>
        <w:rPr>
          <w:sz w:val="23"/>
          <w:szCs w:val="23"/>
        </w:rPr>
        <w:t>Центр обработки данных</w:t>
      </w:r>
    </w:p>
    <w:p>
      <w:pPr>
        <w:pStyle w:val="Normal"/>
        <w:widowControl w:val="false"/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</w:r>
    </w:p>
    <w:tbl>
      <w:tblPr>
        <w:tblW w:w="9918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000" w:noHBand="0" w:noVBand="0" w:firstColumn="0" w:lastRow="0" w:lastColumn="0" w:firstRow="0"/>
      </w:tblPr>
      <w:tblGrid>
        <w:gridCol w:w="458"/>
        <w:gridCol w:w="4072"/>
        <w:gridCol w:w="4396"/>
        <w:gridCol w:w="991"/>
      </w:tblGrid>
      <w:tr>
        <w:trPr>
          <w:trHeight w:val="197" w:hRule="atLeast"/>
        </w:trPr>
        <w:tc>
          <w:tcPr>
            <w:tcW w:w="4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keepLines/>
              <w:numPr>
                <w:ilvl w:val="0"/>
                <w:numId w:val="0"/>
              </w:numPr>
              <w:outlineLvl w:val="0"/>
              <w:rPr>
                <w:b/>
                <w:color w:val="000000"/>
                <w:sz w:val="23"/>
                <w:szCs w:val="23"/>
              </w:rPr>
            </w:pPr>
            <w:r>
              <w:rPr>
                <w:b/>
                <w:color w:val="000000"/>
                <w:sz w:val="23"/>
                <w:szCs w:val="23"/>
              </w:rPr>
              <w:t>№</w:t>
            </w:r>
          </w:p>
        </w:tc>
        <w:tc>
          <w:tcPr>
            <w:tcW w:w="40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keepLines/>
              <w:numPr>
                <w:ilvl w:val="0"/>
                <w:numId w:val="0"/>
              </w:numPr>
              <w:outlineLvl w:val="0"/>
              <w:rPr>
                <w:b/>
                <w:color w:val="000000"/>
                <w:sz w:val="23"/>
                <w:szCs w:val="23"/>
              </w:rPr>
            </w:pPr>
            <w:r>
              <w:rPr>
                <w:b/>
                <w:color w:val="000000"/>
                <w:sz w:val="23"/>
                <w:szCs w:val="23"/>
              </w:rPr>
              <w:t>Наименование</w:t>
            </w:r>
          </w:p>
        </w:tc>
        <w:tc>
          <w:tcPr>
            <w:tcW w:w="43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keepLines/>
              <w:numPr>
                <w:ilvl w:val="0"/>
                <w:numId w:val="0"/>
              </w:numPr>
              <w:outlineLvl w:val="0"/>
              <w:rPr>
                <w:b/>
                <w:color w:val="000000"/>
                <w:sz w:val="23"/>
                <w:szCs w:val="23"/>
              </w:rPr>
            </w:pPr>
            <w:r>
              <w:rPr>
                <w:b/>
                <w:color w:val="000000"/>
                <w:sz w:val="23"/>
                <w:szCs w:val="23"/>
              </w:rPr>
              <w:t>Тип, модель</w:t>
            </w:r>
          </w:p>
        </w:tc>
        <w:tc>
          <w:tcPr>
            <w:tcW w:w="9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keepLines/>
              <w:numPr>
                <w:ilvl w:val="0"/>
                <w:numId w:val="0"/>
              </w:numPr>
              <w:outlineLvl w:val="0"/>
              <w:rPr>
                <w:b/>
                <w:color w:val="000000"/>
                <w:sz w:val="23"/>
                <w:szCs w:val="23"/>
              </w:rPr>
            </w:pPr>
            <w:r>
              <w:rPr>
                <w:b/>
                <w:color w:val="000000"/>
                <w:sz w:val="23"/>
                <w:szCs w:val="23"/>
              </w:rPr>
              <w:t>Кол-во</w:t>
            </w:r>
          </w:p>
        </w:tc>
      </w:tr>
      <w:tr>
        <w:trPr/>
        <w:tc>
          <w:tcPr>
            <w:tcW w:w="4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keepLines/>
              <w:numPr>
                <w:ilvl w:val="0"/>
                <w:numId w:val="0"/>
              </w:numPr>
              <w:outlineLvl w:val="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</w:t>
            </w:r>
          </w:p>
        </w:tc>
        <w:tc>
          <w:tcPr>
            <w:tcW w:w="40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keepLines/>
              <w:numPr>
                <w:ilvl w:val="0"/>
                <w:numId w:val="0"/>
              </w:numPr>
              <w:outlineLvl w:val="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Коммутатор ядра</w:t>
            </w:r>
          </w:p>
        </w:tc>
        <w:tc>
          <w:tcPr>
            <w:tcW w:w="43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keepLines/>
              <w:numPr>
                <w:ilvl w:val="0"/>
                <w:numId w:val="0"/>
              </w:numPr>
              <w:outlineLvl w:val="0"/>
              <w:rPr>
                <w:color w:val="365F91"/>
                <w:sz w:val="23"/>
                <w:szCs w:val="23"/>
                <w:lang w:eastAsia="en-US"/>
              </w:rPr>
            </w:pPr>
            <w:r>
              <w:rPr>
                <w:color w:val="000000"/>
                <w:sz w:val="23"/>
                <w:szCs w:val="23"/>
                <w:lang w:val="en-US"/>
              </w:rPr>
              <w:t>Huawei</w:t>
            </w:r>
            <w:r>
              <w:rPr>
                <w:color w:val="000000"/>
                <w:sz w:val="23"/>
                <w:szCs w:val="23"/>
              </w:rPr>
              <w:t xml:space="preserve"> </w:t>
            </w:r>
            <w:r>
              <w:rPr>
                <w:color w:val="000000"/>
                <w:sz w:val="23"/>
                <w:szCs w:val="23"/>
                <w:lang w:val="en-US"/>
              </w:rPr>
              <w:t>S57</w:t>
            </w:r>
            <w:r>
              <w:rPr>
                <w:color w:val="000000"/>
                <w:sz w:val="23"/>
                <w:szCs w:val="23"/>
              </w:rPr>
              <w:t>20-28</w:t>
            </w:r>
            <w:r>
              <w:rPr>
                <w:color w:val="000000"/>
                <w:sz w:val="23"/>
                <w:szCs w:val="23"/>
                <w:lang w:val="en-US"/>
              </w:rPr>
              <w:t>P-SI</w:t>
            </w:r>
          </w:p>
        </w:tc>
        <w:tc>
          <w:tcPr>
            <w:tcW w:w="9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keepLines/>
              <w:numPr>
                <w:ilvl w:val="0"/>
                <w:numId w:val="0"/>
              </w:numPr>
              <w:jc w:val="center"/>
              <w:outlineLvl w:val="0"/>
              <w:rPr>
                <w:color w:val="000000"/>
                <w:sz w:val="23"/>
                <w:szCs w:val="23"/>
                <w:lang w:val="en-US"/>
              </w:rPr>
            </w:pPr>
            <w:r>
              <w:rPr>
                <w:color w:val="000000"/>
                <w:sz w:val="23"/>
                <w:szCs w:val="23"/>
                <w:lang w:val="en-US"/>
              </w:rPr>
              <w:t>2</w:t>
            </w:r>
          </w:p>
        </w:tc>
      </w:tr>
      <w:tr>
        <w:trPr/>
        <w:tc>
          <w:tcPr>
            <w:tcW w:w="4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keepLines/>
              <w:numPr>
                <w:ilvl w:val="0"/>
                <w:numId w:val="0"/>
              </w:numPr>
              <w:outlineLvl w:val="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</w:t>
            </w:r>
          </w:p>
        </w:tc>
        <w:tc>
          <w:tcPr>
            <w:tcW w:w="40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keepLines/>
              <w:numPr>
                <w:ilvl w:val="0"/>
                <w:numId w:val="0"/>
              </w:numPr>
              <w:outlineLvl w:val="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Коммутатор доступа</w:t>
            </w:r>
          </w:p>
        </w:tc>
        <w:tc>
          <w:tcPr>
            <w:tcW w:w="43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keepLines/>
              <w:numPr>
                <w:ilvl w:val="0"/>
                <w:numId w:val="0"/>
              </w:numPr>
              <w:outlineLvl w:val="0"/>
              <w:rPr>
                <w:color w:val="000000"/>
                <w:sz w:val="23"/>
                <w:szCs w:val="23"/>
                <w:lang w:val="en-US"/>
              </w:rPr>
            </w:pPr>
            <w:r>
              <w:rPr>
                <w:color w:val="000000"/>
                <w:sz w:val="23"/>
                <w:szCs w:val="23"/>
                <w:lang w:val="en-US"/>
              </w:rPr>
              <w:t>Huawei S2750-28TP-PWR-EI-AC</w:t>
            </w:r>
          </w:p>
        </w:tc>
        <w:tc>
          <w:tcPr>
            <w:tcW w:w="9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keepLines/>
              <w:numPr>
                <w:ilvl w:val="0"/>
                <w:numId w:val="0"/>
              </w:numPr>
              <w:jc w:val="center"/>
              <w:outlineLvl w:val="0"/>
              <w:rPr>
                <w:color w:val="000000"/>
                <w:sz w:val="23"/>
                <w:szCs w:val="23"/>
                <w:lang w:val="en-US"/>
              </w:rPr>
            </w:pPr>
            <w:r>
              <w:rPr>
                <w:color w:val="000000"/>
                <w:sz w:val="23"/>
                <w:szCs w:val="23"/>
                <w:lang w:val="en-US"/>
              </w:rPr>
              <w:t>2</w:t>
            </w:r>
          </w:p>
        </w:tc>
      </w:tr>
      <w:tr>
        <w:trPr/>
        <w:tc>
          <w:tcPr>
            <w:tcW w:w="4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keepLines/>
              <w:numPr>
                <w:ilvl w:val="0"/>
                <w:numId w:val="0"/>
              </w:numPr>
              <w:outlineLvl w:val="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</w:t>
            </w:r>
          </w:p>
        </w:tc>
        <w:tc>
          <w:tcPr>
            <w:tcW w:w="40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keepLines/>
              <w:numPr>
                <w:ilvl w:val="0"/>
                <w:numId w:val="0"/>
              </w:numPr>
              <w:outlineLvl w:val="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Сервер</w:t>
            </w:r>
          </w:p>
        </w:tc>
        <w:tc>
          <w:tcPr>
            <w:tcW w:w="43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keepLines/>
              <w:numPr>
                <w:ilvl w:val="0"/>
                <w:numId w:val="0"/>
              </w:numPr>
              <w:outlineLvl w:val="0"/>
              <w:rPr>
                <w:color w:val="000000"/>
                <w:sz w:val="23"/>
                <w:szCs w:val="23"/>
                <w:lang w:val="en-US"/>
              </w:rPr>
            </w:pPr>
            <w:r>
              <w:rPr>
                <w:color w:val="000000"/>
                <w:sz w:val="23"/>
                <w:szCs w:val="23"/>
                <w:lang w:val="en-US"/>
              </w:rPr>
              <w:t>HUAWEI RH1288 V3</w:t>
            </w:r>
          </w:p>
        </w:tc>
        <w:tc>
          <w:tcPr>
            <w:tcW w:w="9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keepLines/>
              <w:numPr>
                <w:ilvl w:val="0"/>
                <w:numId w:val="0"/>
              </w:numPr>
              <w:jc w:val="center"/>
              <w:outlineLvl w:val="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  <w:lang w:val="en-US"/>
              </w:rPr>
              <w:t>6</w:t>
            </w:r>
          </w:p>
        </w:tc>
      </w:tr>
      <w:tr>
        <w:trPr/>
        <w:tc>
          <w:tcPr>
            <w:tcW w:w="4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keepLines/>
              <w:numPr>
                <w:ilvl w:val="0"/>
                <w:numId w:val="0"/>
              </w:numPr>
              <w:outlineLvl w:val="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4</w:t>
            </w:r>
          </w:p>
        </w:tc>
        <w:tc>
          <w:tcPr>
            <w:tcW w:w="40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keepLines/>
              <w:numPr>
                <w:ilvl w:val="0"/>
                <w:numId w:val="0"/>
              </w:numPr>
              <w:outlineLvl w:val="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Система хранения данных</w:t>
            </w:r>
          </w:p>
        </w:tc>
        <w:tc>
          <w:tcPr>
            <w:tcW w:w="43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keepLines/>
              <w:numPr>
                <w:ilvl w:val="0"/>
                <w:numId w:val="0"/>
              </w:numPr>
              <w:outlineLvl w:val="0"/>
              <w:rPr>
                <w:color w:val="000000"/>
                <w:sz w:val="23"/>
                <w:szCs w:val="23"/>
                <w:lang w:val="en-US"/>
              </w:rPr>
            </w:pPr>
            <w:r>
              <w:rPr>
                <w:color w:val="000000"/>
                <w:sz w:val="23"/>
                <w:szCs w:val="23"/>
                <w:lang w:val="en-US"/>
              </w:rPr>
              <w:t>OceanStor 5300 V3</w:t>
            </w:r>
          </w:p>
        </w:tc>
        <w:tc>
          <w:tcPr>
            <w:tcW w:w="9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keepLines/>
              <w:numPr>
                <w:ilvl w:val="0"/>
                <w:numId w:val="0"/>
              </w:numPr>
              <w:jc w:val="center"/>
              <w:outlineLvl w:val="0"/>
              <w:rPr>
                <w:color w:val="000000"/>
                <w:sz w:val="23"/>
                <w:szCs w:val="23"/>
                <w:lang w:val="en-US"/>
              </w:rPr>
            </w:pPr>
            <w:r>
              <w:rPr>
                <w:color w:val="000000"/>
                <w:sz w:val="23"/>
                <w:szCs w:val="23"/>
                <w:lang w:val="en-US"/>
              </w:rPr>
              <w:t>1</w:t>
            </w:r>
          </w:p>
        </w:tc>
      </w:tr>
      <w:tr>
        <w:trPr/>
        <w:tc>
          <w:tcPr>
            <w:tcW w:w="4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keepLines/>
              <w:numPr>
                <w:ilvl w:val="0"/>
                <w:numId w:val="0"/>
              </w:numPr>
              <w:outlineLvl w:val="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5</w:t>
            </w:r>
          </w:p>
        </w:tc>
        <w:tc>
          <w:tcPr>
            <w:tcW w:w="40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keepLines/>
              <w:numPr>
                <w:ilvl w:val="0"/>
                <w:numId w:val="0"/>
              </w:numPr>
              <w:outlineLvl w:val="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Автоматическая телефонная станция</w:t>
            </w:r>
          </w:p>
        </w:tc>
        <w:tc>
          <w:tcPr>
            <w:tcW w:w="43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keepLines/>
              <w:numPr>
                <w:ilvl w:val="0"/>
                <w:numId w:val="0"/>
              </w:numPr>
              <w:outlineLvl w:val="0"/>
              <w:rPr>
                <w:color w:val="365F91"/>
                <w:sz w:val="23"/>
                <w:szCs w:val="23"/>
                <w:lang w:eastAsia="en-US"/>
              </w:rPr>
            </w:pPr>
            <w:r>
              <w:rPr>
                <w:color w:val="000000"/>
                <w:sz w:val="23"/>
                <w:szCs w:val="23"/>
              </w:rPr>
              <w:t xml:space="preserve">Протей – </w:t>
            </w:r>
            <w:r>
              <w:rPr>
                <w:color w:val="000000"/>
                <w:sz w:val="23"/>
                <w:szCs w:val="23"/>
                <w:lang w:val="en-US"/>
              </w:rPr>
              <w:t>imSwitch5 112T5</w:t>
            </w:r>
          </w:p>
        </w:tc>
        <w:tc>
          <w:tcPr>
            <w:tcW w:w="9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keepLines/>
              <w:numPr>
                <w:ilvl w:val="0"/>
                <w:numId w:val="0"/>
              </w:numPr>
              <w:jc w:val="center"/>
              <w:outlineLvl w:val="0"/>
              <w:rPr>
                <w:color w:val="000000"/>
                <w:sz w:val="23"/>
                <w:szCs w:val="23"/>
                <w:lang w:val="en-US"/>
              </w:rPr>
            </w:pPr>
            <w:r>
              <w:rPr>
                <w:color w:val="000000"/>
                <w:sz w:val="23"/>
                <w:szCs w:val="23"/>
                <w:lang w:val="en-US"/>
              </w:rPr>
              <w:t>1</w:t>
            </w:r>
          </w:p>
        </w:tc>
      </w:tr>
      <w:tr>
        <w:trPr/>
        <w:tc>
          <w:tcPr>
            <w:tcW w:w="4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keepLines/>
              <w:numPr>
                <w:ilvl w:val="0"/>
                <w:numId w:val="0"/>
              </w:numPr>
              <w:outlineLvl w:val="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6</w:t>
            </w:r>
          </w:p>
        </w:tc>
        <w:tc>
          <w:tcPr>
            <w:tcW w:w="40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keepLines/>
              <w:numPr>
                <w:ilvl w:val="0"/>
                <w:numId w:val="0"/>
              </w:numPr>
              <w:outlineLvl w:val="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Медиашлюз</w:t>
            </w:r>
          </w:p>
        </w:tc>
        <w:tc>
          <w:tcPr>
            <w:tcW w:w="43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keepLines/>
              <w:numPr>
                <w:ilvl w:val="0"/>
                <w:numId w:val="0"/>
              </w:numPr>
              <w:outlineLvl w:val="0"/>
              <w:rPr>
                <w:color w:val="365F91"/>
                <w:sz w:val="23"/>
                <w:szCs w:val="23"/>
                <w:lang w:eastAsia="en-US"/>
              </w:rPr>
            </w:pPr>
            <w:r>
              <w:rPr>
                <w:color w:val="000000"/>
                <w:sz w:val="23"/>
                <w:szCs w:val="23"/>
              </w:rPr>
              <w:t xml:space="preserve">Протей </w:t>
            </w:r>
            <w:r>
              <w:rPr>
                <w:color w:val="000000"/>
                <w:sz w:val="23"/>
                <w:szCs w:val="23"/>
                <w:lang w:val="en-US"/>
              </w:rPr>
              <w:t>Tiger MSC 60/2000</w:t>
            </w:r>
          </w:p>
        </w:tc>
        <w:tc>
          <w:tcPr>
            <w:tcW w:w="9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keepLines/>
              <w:numPr>
                <w:ilvl w:val="0"/>
                <w:numId w:val="0"/>
              </w:numPr>
              <w:jc w:val="center"/>
              <w:outlineLvl w:val="0"/>
              <w:rPr>
                <w:color w:val="000000"/>
                <w:sz w:val="23"/>
                <w:szCs w:val="23"/>
                <w:lang w:val="en-US"/>
              </w:rPr>
            </w:pPr>
            <w:r>
              <w:rPr>
                <w:color w:val="000000"/>
                <w:sz w:val="23"/>
                <w:szCs w:val="23"/>
                <w:lang w:val="en-US"/>
              </w:rPr>
              <w:t>2</w:t>
            </w:r>
          </w:p>
        </w:tc>
      </w:tr>
    </w:tbl>
    <w:p>
      <w:pPr>
        <w:pStyle w:val="Normal"/>
        <w:widowControl w:val="false"/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Normal"/>
        <w:widowControl w:val="false"/>
        <w:ind w:hanging="142"/>
        <w:jc w:val="both"/>
        <w:rPr>
          <w:sz w:val="23"/>
          <w:szCs w:val="23"/>
        </w:rPr>
      </w:pPr>
      <w:r>
        <w:rPr>
          <w:sz w:val="23"/>
          <w:szCs w:val="23"/>
        </w:rPr>
        <w:t>Резервный центр обработки данных</w:t>
      </w:r>
    </w:p>
    <w:p>
      <w:pPr>
        <w:pStyle w:val="Normal"/>
        <w:widowControl w:val="false"/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</w:r>
    </w:p>
    <w:tbl>
      <w:tblPr>
        <w:tblW w:w="9918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000" w:noHBand="0" w:noVBand="0" w:firstColumn="0" w:lastRow="0" w:lastColumn="0" w:firstRow="0"/>
      </w:tblPr>
      <w:tblGrid>
        <w:gridCol w:w="458"/>
        <w:gridCol w:w="4072"/>
        <w:gridCol w:w="4396"/>
        <w:gridCol w:w="991"/>
      </w:tblGrid>
      <w:tr>
        <w:trPr/>
        <w:tc>
          <w:tcPr>
            <w:tcW w:w="4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keepLines/>
              <w:numPr>
                <w:ilvl w:val="0"/>
                <w:numId w:val="0"/>
              </w:numPr>
              <w:outlineLvl w:val="0"/>
              <w:rPr>
                <w:b/>
                <w:color w:val="000000"/>
                <w:sz w:val="23"/>
                <w:szCs w:val="23"/>
              </w:rPr>
            </w:pPr>
            <w:r>
              <w:rPr>
                <w:b/>
                <w:color w:val="000000"/>
                <w:sz w:val="23"/>
                <w:szCs w:val="23"/>
              </w:rPr>
              <w:t>№</w:t>
            </w:r>
          </w:p>
        </w:tc>
        <w:tc>
          <w:tcPr>
            <w:tcW w:w="40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keepLines/>
              <w:numPr>
                <w:ilvl w:val="0"/>
                <w:numId w:val="0"/>
              </w:numPr>
              <w:outlineLvl w:val="0"/>
              <w:rPr>
                <w:b/>
                <w:color w:val="000000"/>
                <w:sz w:val="23"/>
                <w:szCs w:val="23"/>
              </w:rPr>
            </w:pPr>
            <w:r>
              <w:rPr>
                <w:b/>
                <w:color w:val="000000"/>
                <w:sz w:val="23"/>
                <w:szCs w:val="23"/>
              </w:rPr>
              <w:t>Наименование</w:t>
            </w:r>
          </w:p>
        </w:tc>
        <w:tc>
          <w:tcPr>
            <w:tcW w:w="43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keepLines/>
              <w:numPr>
                <w:ilvl w:val="0"/>
                <w:numId w:val="0"/>
              </w:numPr>
              <w:outlineLvl w:val="0"/>
              <w:rPr>
                <w:b/>
                <w:color w:val="000000"/>
                <w:sz w:val="23"/>
                <w:szCs w:val="23"/>
              </w:rPr>
            </w:pPr>
            <w:r>
              <w:rPr>
                <w:b/>
                <w:color w:val="000000"/>
                <w:sz w:val="23"/>
                <w:szCs w:val="23"/>
              </w:rPr>
              <w:t>Тип, модель</w:t>
            </w:r>
          </w:p>
        </w:tc>
        <w:tc>
          <w:tcPr>
            <w:tcW w:w="9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keepLines/>
              <w:numPr>
                <w:ilvl w:val="0"/>
                <w:numId w:val="0"/>
              </w:numPr>
              <w:outlineLvl w:val="0"/>
              <w:rPr>
                <w:b/>
                <w:color w:val="000000"/>
                <w:sz w:val="23"/>
                <w:szCs w:val="23"/>
              </w:rPr>
            </w:pPr>
            <w:r>
              <w:rPr>
                <w:b/>
                <w:color w:val="000000"/>
                <w:sz w:val="23"/>
                <w:szCs w:val="23"/>
              </w:rPr>
              <w:t>Кол-во</w:t>
            </w:r>
          </w:p>
        </w:tc>
      </w:tr>
      <w:tr>
        <w:trPr/>
        <w:tc>
          <w:tcPr>
            <w:tcW w:w="4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keepLines/>
              <w:numPr>
                <w:ilvl w:val="0"/>
                <w:numId w:val="0"/>
              </w:numPr>
              <w:outlineLvl w:val="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</w:t>
            </w:r>
          </w:p>
        </w:tc>
        <w:tc>
          <w:tcPr>
            <w:tcW w:w="40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keepLines/>
              <w:numPr>
                <w:ilvl w:val="0"/>
                <w:numId w:val="0"/>
              </w:numPr>
              <w:outlineLvl w:val="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Коммутатор ядра</w:t>
            </w:r>
          </w:p>
        </w:tc>
        <w:tc>
          <w:tcPr>
            <w:tcW w:w="43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keepLines/>
              <w:numPr>
                <w:ilvl w:val="0"/>
                <w:numId w:val="0"/>
              </w:numPr>
              <w:outlineLvl w:val="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НЗС </w:t>
            </w:r>
            <w:r>
              <w:rPr>
                <w:color w:val="000000"/>
                <w:sz w:val="23"/>
                <w:szCs w:val="23"/>
                <w:lang w:val="en-US"/>
              </w:rPr>
              <w:t xml:space="preserve">S5130 Series </w:t>
            </w:r>
            <w:r>
              <w:rPr>
                <w:color w:val="000000"/>
                <w:sz w:val="23"/>
                <w:szCs w:val="23"/>
              </w:rPr>
              <w:t>НЗС</w:t>
            </w:r>
          </w:p>
        </w:tc>
        <w:tc>
          <w:tcPr>
            <w:tcW w:w="9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keepLines/>
              <w:numPr>
                <w:ilvl w:val="0"/>
                <w:numId w:val="0"/>
              </w:numPr>
              <w:jc w:val="center"/>
              <w:outlineLvl w:val="0"/>
              <w:rPr>
                <w:color w:val="000000"/>
                <w:sz w:val="23"/>
                <w:szCs w:val="23"/>
                <w:lang w:val="en-US"/>
              </w:rPr>
            </w:pPr>
            <w:r>
              <w:rPr>
                <w:color w:val="000000"/>
                <w:sz w:val="23"/>
                <w:szCs w:val="23"/>
                <w:lang w:val="en-US"/>
              </w:rPr>
              <w:t>2</w:t>
            </w:r>
          </w:p>
        </w:tc>
      </w:tr>
      <w:tr>
        <w:trPr/>
        <w:tc>
          <w:tcPr>
            <w:tcW w:w="4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keepLines/>
              <w:numPr>
                <w:ilvl w:val="0"/>
                <w:numId w:val="0"/>
              </w:numPr>
              <w:outlineLvl w:val="0"/>
              <w:rPr>
                <w:color w:val="000000"/>
                <w:sz w:val="23"/>
                <w:szCs w:val="23"/>
                <w:lang w:val="en-US"/>
              </w:rPr>
            </w:pPr>
            <w:r>
              <w:rPr>
                <w:color w:val="000000"/>
                <w:sz w:val="23"/>
                <w:szCs w:val="23"/>
                <w:lang w:val="en-US"/>
              </w:rPr>
              <w:t>2</w:t>
            </w:r>
          </w:p>
        </w:tc>
        <w:tc>
          <w:tcPr>
            <w:tcW w:w="40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keepLines/>
              <w:numPr>
                <w:ilvl w:val="0"/>
                <w:numId w:val="0"/>
              </w:numPr>
              <w:outlineLvl w:val="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Коммутатор доступа</w:t>
            </w:r>
          </w:p>
        </w:tc>
        <w:tc>
          <w:tcPr>
            <w:tcW w:w="43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keepLines/>
              <w:numPr>
                <w:ilvl w:val="0"/>
                <w:numId w:val="0"/>
              </w:numPr>
              <w:outlineLvl w:val="0"/>
              <w:rPr>
                <w:color w:val="365F91"/>
                <w:sz w:val="23"/>
                <w:szCs w:val="23"/>
                <w:lang w:eastAsia="en-US"/>
              </w:rPr>
            </w:pPr>
            <w:r>
              <w:rPr>
                <w:color w:val="000000"/>
                <w:sz w:val="23"/>
                <w:szCs w:val="23"/>
              </w:rPr>
              <w:t xml:space="preserve">НЗС </w:t>
            </w:r>
            <w:r>
              <w:rPr>
                <w:color w:val="000000"/>
                <w:sz w:val="23"/>
                <w:szCs w:val="23"/>
                <w:lang w:val="en-US"/>
              </w:rPr>
              <w:t xml:space="preserve">S5130 Series </w:t>
            </w:r>
            <w:r>
              <w:rPr>
                <w:color w:val="000000"/>
                <w:sz w:val="23"/>
                <w:szCs w:val="23"/>
              </w:rPr>
              <w:t>НЗС</w:t>
            </w:r>
          </w:p>
        </w:tc>
        <w:tc>
          <w:tcPr>
            <w:tcW w:w="9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keepLines/>
              <w:numPr>
                <w:ilvl w:val="0"/>
                <w:numId w:val="0"/>
              </w:numPr>
              <w:jc w:val="center"/>
              <w:outlineLvl w:val="0"/>
              <w:rPr>
                <w:color w:val="000000"/>
                <w:sz w:val="23"/>
                <w:szCs w:val="23"/>
                <w:lang w:val="en-US"/>
              </w:rPr>
            </w:pPr>
            <w:r>
              <w:rPr>
                <w:color w:val="000000"/>
                <w:sz w:val="23"/>
                <w:szCs w:val="23"/>
                <w:lang w:val="en-US"/>
              </w:rPr>
              <w:t>1</w:t>
            </w:r>
          </w:p>
        </w:tc>
      </w:tr>
      <w:tr>
        <w:trPr/>
        <w:tc>
          <w:tcPr>
            <w:tcW w:w="4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keepLines/>
              <w:numPr>
                <w:ilvl w:val="0"/>
                <w:numId w:val="0"/>
              </w:numPr>
              <w:outlineLvl w:val="0"/>
              <w:rPr>
                <w:color w:val="000000"/>
                <w:sz w:val="23"/>
                <w:szCs w:val="23"/>
                <w:lang w:val="en-US"/>
              </w:rPr>
            </w:pPr>
            <w:r>
              <w:rPr>
                <w:color w:val="000000"/>
                <w:sz w:val="23"/>
                <w:szCs w:val="23"/>
                <w:lang w:val="en-US"/>
              </w:rPr>
              <w:t>3</w:t>
            </w:r>
          </w:p>
        </w:tc>
        <w:tc>
          <w:tcPr>
            <w:tcW w:w="40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keepLines/>
              <w:numPr>
                <w:ilvl w:val="0"/>
                <w:numId w:val="0"/>
              </w:numPr>
              <w:outlineLvl w:val="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Сервер</w:t>
            </w:r>
          </w:p>
        </w:tc>
        <w:tc>
          <w:tcPr>
            <w:tcW w:w="43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keepLines/>
              <w:numPr>
                <w:ilvl w:val="0"/>
                <w:numId w:val="0"/>
              </w:numPr>
              <w:outlineLvl w:val="0"/>
              <w:rPr>
                <w:color w:val="000000"/>
                <w:sz w:val="23"/>
                <w:szCs w:val="23"/>
                <w:lang w:val="en-US"/>
              </w:rPr>
            </w:pPr>
            <w:r>
              <w:rPr>
                <w:color w:val="000000"/>
                <w:sz w:val="23"/>
                <w:szCs w:val="23"/>
                <w:lang w:val="en-US"/>
              </w:rPr>
              <w:t>DEPO Storm 3450A1</w:t>
            </w:r>
          </w:p>
        </w:tc>
        <w:tc>
          <w:tcPr>
            <w:tcW w:w="9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keepLines/>
              <w:numPr>
                <w:ilvl w:val="0"/>
                <w:numId w:val="0"/>
              </w:numPr>
              <w:tabs>
                <w:tab w:val="clear" w:pos="708"/>
                <w:tab w:val="left" w:pos="300" w:leader="none"/>
                <w:tab w:val="center" w:pos="388" w:leader="none"/>
              </w:tabs>
              <w:jc w:val="center"/>
              <w:outlineLvl w:val="0"/>
              <w:rPr>
                <w:color w:val="000000"/>
                <w:sz w:val="23"/>
                <w:szCs w:val="23"/>
                <w:lang w:val="en-US"/>
              </w:rPr>
            </w:pPr>
            <w:r>
              <w:rPr>
                <w:color w:val="000000"/>
                <w:sz w:val="23"/>
                <w:szCs w:val="23"/>
                <w:lang w:val="en-US"/>
              </w:rPr>
              <w:t>6</w:t>
            </w:r>
          </w:p>
        </w:tc>
      </w:tr>
      <w:tr>
        <w:trPr/>
        <w:tc>
          <w:tcPr>
            <w:tcW w:w="4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keepLines/>
              <w:numPr>
                <w:ilvl w:val="0"/>
                <w:numId w:val="0"/>
              </w:numPr>
              <w:outlineLvl w:val="0"/>
              <w:rPr>
                <w:color w:val="000000"/>
                <w:sz w:val="23"/>
                <w:szCs w:val="23"/>
                <w:lang w:val="en-US"/>
              </w:rPr>
            </w:pPr>
            <w:r>
              <w:rPr>
                <w:color w:val="000000"/>
                <w:sz w:val="23"/>
                <w:szCs w:val="23"/>
                <w:lang w:val="en-US"/>
              </w:rPr>
              <w:t>4</w:t>
            </w:r>
          </w:p>
        </w:tc>
        <w:tc>
          <w:tcPr>
            <w:tcW w:w="40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keepLines/>
              <w:numPr>
                <w:ilvl w:val="0"/>
                <w:numId w:val="0"/>
              </w:numPr>
              <w:outlineLvl w:val="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Система хранения данных</w:t>
            </w:r>
          </w:p>
        </w:tc>
        <w:tc>
          <w:tcPr>
            <w:tcW w:w="43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keepLines/>
              <w:numPr>
                <w:ilvl w:val="0"/>
                <w:numId w:val="0"/>
              </w:numPr>
              <w:outlineLvl w:val="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  <w:lang w:val="en-US"/>
              </w:rPr>
              <w:t>Infortrend DS1000</w:t>
            </w:r>
          </w:p>
        </w:tc>
        <w:tc>
          <w:tcPr>
            <w:tcW w:w="9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keepLines/>
              <w:numPr>
                <w:ilvl w:val="0"/>
                <w:numId w:val="0"/>
              </w:numPr>
              <w:jc w:val="center"/>
              <w:outlineLvl w:val="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  <w:lang w:val="en-US"/>
              </w:rPr>
              <w:t>1</w:t>
            </w:r>
          </w:p>
        </w:tc>
      </w:tr>
      <w:tr>
        <w:trPr/>
        <w:tc>
          <w:tcPr>
            <w:tcW w:w="4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keepLines/>
              <w:numPr>
                <w:ilvl w:val="0"/>
                <w:numId w:val="0"/>
              </w:numPr>
              <w:outlineLvl w:val="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6</w:t>
            </w:r>
          </w:p>
        </w:tc>
        <w:tc>
          <w:tcPr>
            <w:tcW w:w="40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keepLines/>
              <w:numPr>
                <w:ilvl w:val="0"/>
                <w:numId w:val="0"/>
              </w:numPr>
              <w:outlineLvl w:val="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Автоматическая телефонная станция</w:t>
            </w:r>
          </w:p>
        </w:tc>
        <w:tc>
          <w:tcPr>
            <w:tcW w:w="43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keepLines/>
              <w:numPr>
                <w:ilvl w:val="0"/>
                <w:numId w:val="0"/>
              </w:numPr>
              <w:outlineLvl w:val="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Протей – </w:t>
            </w:r>
            <w:r>
              <w:rPr>
                <w:color w:val="000000"/>
                <w:sz w:val="23"/>
                <w:szCs w:val="23"/>
                <w:lang w:val="en-US"/>
              </w:rPr>
              <w:t>imSwitch5 112T5</w:t>
            </w:r>
          </w:p>
        </w:tc>
        <w:tc>
          <w:tcPr>
            <w:tcW w:w="9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keepLines/>
              <w:numPr>
                <w:ilvl w:val="0"/>
                <w:numId w:val="0"/>
              </w:numPr>
              <w:jc w:val="center"/>
              <w:outlineLvl w:val="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  <w:lang w:val="en-US"/>
              </w:rPr>
              <w:t>1</w:t>
            </w:r>
          </w:p>
        </w:tc>
      </w:tr>
      <w:tr>
        <w:trPr/>
        <w:tc>
          <w:tcPr>
            <w:tcW w:w="4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keepLines/>
              <w:numPr>
                <w:ilvl w:val="0"/>
                <w:numId w:val="0"/>
              </w:numPr>
              <w:outlineLvl w:val="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7</w:t>
            </w:r>
          </w:p>
        </w:tc>
        <w:tc>
          <w:tcPr>
            <w:tcW w:w="40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keepLines/>
              <w:numPr>
                <w:ilvl w:val="0"/>
                <w:numId w:val="0"/>
              </w:numPr>
              <w:outlineLvl w:val="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Медиашлюз</w:t>
            </w:r>
          </w:p>
        </w:tc>
        <w:tc>
          <w:tcPr>
            <w:tcW w:w="43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keepLines/>
              <w:numPr>
                <w:ilvl w:val="0"/>
                <w:numId w:val="0"/>
              </w:numPr>
              <w:outlineLvl w:val="0"/>
              <w:rPr>
                <w:color w:val="000000"/>
                <w:sz w:val="23"/>
                <w:szCs w:val="23"/>
                <w:lang w:val="en-US"/>
              </w:rPr>
            </w:pPr>
            <w:r>
              <w:rPr>
                <w:color w:val="000000"/>
                <w:sz w:val="23"/>
                <w:szCs w:val="23"/>
              </w:rPr>
              <w:t xml:space="preserve">Протей </w:t>
            </w:r>
            <w:r>
              <w:rPr>
                <w:color w:val="000000"/>
                <w:sz w:val="23"/>
                <w:szCs w:val="23"/>
                <w:lang w:val="en-US"/>
              </w:rPr>
              <w:t>Tiger MSC 60/2000</w:t>
            </w:r>
          </w:p>
        </w:tc>
        <w:tc>
          <w:tcPr>
            <w:tcW w:w="9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keepLines/>
              <w:numPr>
                <w:ilvl w:val="0"/>
                <w:numId w:val="0"/>
              </w:numPr>
              <w:jc w:val="center"/>
              <w:outlineLvl w:val="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  <w:lang w:val="en-US"/>
              </w:rPr>
              <w:t>2</w:t>
            </w:r>
          </w:p>
        </w:tc>
      </w:tr>
      <w:tr>
        <w:trPr/>
        <w:tc>
          <w:tcPr>
            <w:tcW w:w="4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keepLines/>
              <w:numPr>
                <w:ilvl w:val="0"/>
                <w:numId w:val="0"/>
              </w:numPr>
              <w:outlineLvl w:val="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8</w:t>
            </w:r>
          </w:p>
        </w:tc>
        <w:tc>
          <w:tcPr>
            <w:tcW w:w="40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keepLines/>
              <w:numPr>
                <w:ilvl w:val="0"/>
                <w:numId w:val="0"/>
              </w:numPr>
              <w:outlineLvl w:val="0"/>
              <w:rPr>
                <w:color w:val="365F91"/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</w:rPr>
              <w:t>Источник бесперебойного питания</w:t>
            </w:r>
          </w:p>
        </w:tc>
        <w:tc>
          <w:tcPr>
            <w:tcW w:w="43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keepLines/>
              <w:numPr>
                <w:ilvl w:val="0"/>
                <w:numId w:val="0"/>
              </w:numPr>
              <w:outlineLvl w:val="0"/>
              <w:rPr>
                <w:color w:val="000000"/>
                <w:sz w:val="23"/>
                <w:szCs w:val="23"/>
                <w:lang w:val="en-US"/>
              </w:rPr>
            </w:pPr>
            <w:r>
              <w:rPr>
                <w:rFonts w:eastAsia="Calibri"/>
                <w:sz w:val="23"/>
                <w:szCs w:val="23"/>
                <w:lang w:val="en-US" w:eastAsia="en-US"/>
              </w:rPr>
              <w:t>Cyber Power</w:t>
            </w:r>
          </w:p>
        </w:tc>
        <w:tc>
          <w:tcPr>
            <w:tcW w:w="9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keepLines/>
              <w:numPr>
                <w:ilvl w:val="0"/>
                <w:numId w:val="0"/>
              </w:numPr>
              <w:jc w:val="center"/>
              <w:outlineLvl w:val="0"/>
              <w:rPr>
                <w:color w:val="000000"/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>2</w:t>
            </w:r>
          </w:p>
        </w:tc>
      </w:tr>
    </w:tbl>
    <w:p>
      <w:pPr>
        <w:pStyle w:val="Normal"/>
        <w:widowControl w:val="false"/>
        <w:jc w:val="both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Normal"/>
        <w:widowControl w:val="false"/>
        <w:jc w:val="both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Normal"/>
        <w:widowControl w:val="false"/>
        <w:jc w:val="both"/>
        <w:rPr>
          <w:sz w:val="23"/>
          <w:szCs w:val="23"/>
        </w:rPr>
      </w:pPr>
      <w:r>
        <w:rPr>
          <w:sz w:val="23"/>
          <w:szCs w:val="23"/>
        </w:rPr>
        <w:t>ЕДДС МО Республики Тыва</w:t>
      </w:r>
    </w:p>
    <w:p>
      <w:pPr>
        <w:pStyle w:val="Normal"/>
        <w:widowControl w:val="false"/>
        <w:jc w:val="both"/>
        <w:rPr>
          <w:sz w:val="23"/>
          <w:szCs w:val="23"/>
        </w:rPr>
      </w:pPr>
      <w:r>
        <w:rPr>
          <w:sz w:val="23"/>
          <w:szCs w:val="23"/>
        </w:rPr>
      </w:r>
    </w:p>
    <w:tbl>
      <w:tblPr>
        <w:tblW w:w="9918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000" w:noHBand="0" w:noVBand="0" w:firstColumn="0" w:lastRow="0" w:lastColumn="0" w:firstRow="0"/>
      </w:tblPr>
      <w:tblGrid>
        <w:gridCol w:w="458"/>
        <w:gridCol w:w="3789"/>
        <w:gridCol w:w="4679"/>
        <w:gridCol w:w="991"/>
      </w:tblGrid>
      <w:tr>
        <w:trPr/>
        <w:tc>
          <w:tcPr>
            <w:tcW w:w="4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Heading1"/>
              <w:numPr>
                <w:ilvl w:val="0"/>
                <w:numId w:val="0"/>
              </w:numPr>
              <w:spacing w:lineRule="auto" w:line="240" w:before="0" w:after="0"/>
              <w:ind w:hanging="0" w:start="0"/>
              <w:jc w:val="start"/>
              <w:rPr>
                <w:color w:val="000000"/>
                <w:sz w:val="23"/>
                <w:szCs w:val="23"/>
                <w:lang w:eastAsia="ru-RU"/>
              </w:rPr>
            </w:pPr>
            <w:r>
              <w:rPr>
                <w:color w:val="000000"/>
                <w:sz w:val="23"/>
                <w:szCs w:val="23"/>
                <w:lang w:eastAsia="ru-RU"/>
              </w:rPr>
              <w:t>№</w:t>
            </w:r>
          </w:p>
        </w:tc>
        <w:tc>
          <w:tcPr>
            <w:tcW w:w="37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Heading1"/>
              <w:numPr>
                <w:ilvl w:val="0"/>
                <w:numId w:val="0"/>
              </w:numPr>
              <w:spacing w:lineRule="auto" w:line="240" w:before="0" w:after="0"/>
              <w:ind w:hanging="0" w:start="0"/>
              <w:jc w:val="start"/>
              <w:rPr>
                <w:color w:val="000000"/>
                <w:sz w:val="23"/>
                <w:szCs w:val="23"/>
                <w:lang w:eastAsia="ru-RU"/>
              </w:rPr>
            </w:pPr>
            <w:r>
              <w:rPr>
                <w:color w:val="000000"/>
                <w:sz w:val="23"/>
                <w:szCs w:val="23"/>
                <w:lang w:eastAsia="ru-RU"/>
              </w:rPr>
              <w:t>Наименование</w:t>
            </w:r>
          </w:p>
        </w:tc>
        <w:tc>
          <w:tcPr>
            <w:tcW w:w="46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Heading1"/>
              <w:numPr>
                <w:ilvl w:val="0"/>
                <w:numId w:val="0"/>
              </w:numPr>
              <w:spacing w:lineRule="auto" w:line="240" w:before="0" w:after="0"/>
              <w:ind w:hanging="0" w:start="0"/>
              <w:jc w:val="start"/>
              <w:rPr>
                <w:color w:val="000000"/>
                <w:sz w:val="23"/>
                <w:szCs w:val="23"/>
                <w:lang w:eastAsia="ru-RU"/>
              </w:rPr>
            </w:pPr>
            <w:r>
              <w:rPr>
                <w:color w:val="000000"/>
                <w:sz w:val="23"/>
                <w:szCs w:val="23"/>
                <w:lang w:eastAsia="ru-RU"/>
              </w:rPr>
              <w:t>Тип, модель</w:t>
            </w:r>
          </w:p>
        </w:tc>
        <w:tc>
          <w:tcPr>
            <w:tcW w:w="9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Heading1"/>
              <w:numPr>
                <w:ilvl w:val="0"/>
                <w:numId w:val="0"/>
              </w:numPr>
              <w:spacing w:lineRule="auto" w:line="240" w:before="0" w:after="0"/>
              <w:ind w:hanging="0" w:start="0"/>
              <w:jc w:val="start"/>
              <w:rPr>
                <w:color w:val="000000"/>
                <w:sz w:val="23"/>
                <w:szCs w:val="23"/>
                <w:lang w:eastAsia="ru-RU"/>
              </w:rPr>
            </w:pPr>
            <w:r>
              <w:rPr>
                <w:b w:val="false"/>
                <w:color w:val="000000"/>
                <w:sz w:val="23"/>
                <w:szCs w:val="23"/>
              </w:rPr>
              <w:t>Кол-во</w:t>
            </w:r>
          </w:p>
        </w:tc>
      </w:tr>
      <w:tr>
        <w:trPr/>
        <w:tc>
          <w:tcPr>
            <w:tcW w:w="4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Heading1"/>
              <w:numPr>
                <w:ilvl w:val="0"/>
                <w:numId w:val="0"/>
              </w:numPr>
              <w:spacing w:lineRule="auto" w:line="240" w:before="0" w:after="0"/>
              <w:ind w:hanging="0" w:start="0"/>
              <w:jc w:val="start"/>
              <w:rPr>
                <w:b w:val="false"/>
                <w:color w:val="000000"/>
                <w:sz w:val="23"/>
                <w:szCs w:val="23"/>
                <w:lang w:val="en-US" w:eastAsia="ru-RU"/>
              </w:rPr>
            </w:pPr>
            <w:r>
              <w:rPr>
                <w:b w:val="false"/>
                <w:color w:val="000000"/>
                <w:sz w:val="23"/>
                <w:szCs w:val="23"/>
                <w:lang w:val="en-US" w:eastAsia="ru-RU"/>
              </w:rPr>
              <w:t>1</w:t>
            </w:r>
          </w:p>
        </w:tc>
        <w:tc>
          <w:tcPr>
            <w:tcW w:w="37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Heading1"/>
              <w:numPr>
                <w:ilvl w:val="0"/>
                <w:numId w:val="0"/>
              </w:numPr>
              <w:spacing w:lineRule="auto" w:line="240" w:before="0" w:after="0"/>
              <w:ind w:hanging="0" w:start="0"/>
              <w:jc w:val="start"/>
              <w:rPr>
                <w:b w:val="false"/>
                <w:color w:val="000000"/>
                <w:sz w:val="23"/>
                <w:szCs w:val="23"/>
                <w:lang w:eastAsia="ru-RU"/>
              </w:rPr>
            </w:pPr>
            <w:r>
              <w:rPr>
                <w:b w:val="false"/>
                <w:color w:val="000000"/>
                <w:sz w:val="23"/>
                <w:szCs w:val="23"/>
                <w:lang w:eastAsia="ru-RU"/>
              </w:rPr>
              <w:t>Источник бесперебойного питания</w:t>
            </w:r>
          </w:p>
        </w:tc>
        <w:tc>
          <w:tcPr>
            <w:tcW w:w="46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Heading1"/>
              <w:numPr>
                <w:ilvl w:val="0"/>
                <w:numId w:val="0"/>
              </w:numPr>
              <w:spacing w:lineRule="auto" w:line="240" w:before="0" w:after="0"/>
              <w:ind w:hanging="0" w:start="0"/>
              <w:jc w:val="start"/>
              <w:rPr>
                <w:b w:val="false"/>
                <w:color w:val="000000"/>
                <w:sz w:val="23"/>
                <w:szCs w:val="23"/>
                <w:lang w:val="en-US" w:eastAsia="ru-RU"/>
              </w:rPr>
            </w:pPr>
            <w:r>
              <w:rPr>
                <w:b w:val="false"/>
                <w:color w:val="000000"/>
                <w:sz w:val="23"/>
                <w:szCs w:val="23"/>
                <w:lang w:val="en-US" w:eastAsia="ru-RU"/>
              </w:rPr>
              <w:t>UPS IPPON Smart Winner 1000</w:t>
            </w:r>
          </w:p>
        </w:tc>
        <w:tc>
          <w:tcPr>
            <w:tcW w:w="9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Heading1"/>
              <w:numPr>
                <w:ilvl w:val="0"/>
                <w:numId w:val="0"/>
              </w:numPr>
              <w:spacing w:lineRule="auto" w:line="240" w:before="0" w:after="0"/>
              <w:ind w:hanging="0" w:start="0"/>
              <w:jc w:val="center"/>
              <w:rPr>
                <w:b w:val="false"/>
                <w:color w:val="000000"/>
                <w:sz w:val="23"/>
                <w:szCs w:val="23"/>
                <w:lang w:val="en-US" w:eastAsia="ru-RU"/>
              </w:rPr>
            </w:pPr>
            <w:r>
              <w:rPr>
                <w:b w:val="false"/>
                <w:color w:val="000000"/>
                <w:sz w:val="23"/>
                <w:szCs w:val="23"/>
                <w:lang w:eastAsia="ru-RU"/>
              </w:rPr>
              <w:t>19</w:t>
            </w:r>
          </w:p>
        </w:tc>
      </w:tr>
      <w:tr>
        <w:trPr/>
        <w:tc>
          <w:tcPr>
            <w:tcW w:w="4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Heading1"/>
              <w:numPr>
                <w:ilvl w:val="0"/>
                <w:numId w:val="0"/>
              </w:numPr>
              <w:spacing w:lineRule="auto" w:line="240" w:before="0" w:after="0"/>
              <w:ind w:hanging="0" w:start="0"/>
              <w:jc w:val="start"/>
              <w:rPr>
                <w:b w:val="false"/>
                <w:color w:val="000000"/>
                <w:sz w:val="23"/>
                <w:szCs w:val="23"/>
                <w:lang w:eastAsia="ru-RU"/>
              </w:rPr>
            </w:pPr>
            <w:r>
              <w:rPr>
                <w:b w:val="false"/>
                <w:color w:val="000000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37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Heading1"/>
              <w:numPr>
                <w:ilvl w:val="0"/>
                <w:numId w:val="0"/>
              </w:numPr>
              <w:spacing w:lineRule="auto" w:line="240" w:before="0" w:after="0"/>
              <w:ind w:hanging="0" w:start="0"/>
              <w:jc w:val="start"/>
              <w:rPr>
                <w:b w:val="false"/>
                <w:color w:val="000000"/>
                <w:sz w:val="23"/>
                <w:szCs w:val="23"/>
                <w:lang w:eastAsia="ru-RU"/>
              </w:rPr>
            </w:pPr>
            <w:r>
              <w:rPr>
                <w:b w:val="false"/>
                <w:color w:val="000000"/>
                <w:sz w:val="23"/>
                <w:szCs w:val="23"/>
                <w:lang w:eastAsia="ru-RU"/>
              </w:rPr>
              <w:t>Маршрутизатор</w:t>
            </w:r>
          </w:p>
        </w:tc>
        <w:tc>
          <w:tcPr>
            <w:tcW w:w="46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Heading1"/>
              <w:numPr>
                <w:ilvl w:val="0"/>
                <w:numId w:val="0"/>
              </w:numPr>
              <w:spacing w:lineRule="auto" w:line="240" w:before="0" w:after="0"/>
              <w:ind w:hanging="0" w:start="0"/>
              <w:jc w:val="start"/>
              <w:rPr>
                <w:b w:val="false"/>
                <w:color w:val="000000"/>
                <w:sz w:val="23"/>
                <w:szCs w:val="23"/>
                <w:lang w:val="en-US" w:eastAsia="ru-RU"/>
              </w:rPr>
            </w:pPr>
            <w:r>
              <w:rPr>
                <w:b w:val="false"/>
                <w:color w:val="000000"/>
                <w:sz w:val="23"/>
                <w:szCs w:val="23"/>
                <w:lang w:val="en-US" w:eastAsia="ru-RU"/>
              </w:rPr>
              <w:t>MikroTik hEX</w:t>
            </w:r>
          </w:p>
        </w:tc>
        <w:tc>
          <w:tcPr>
            <w:tcW w:w="9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Heading1"/>
              <w:numPr>
                <w:ilvl w:val="0"/>
                <w:numId w:val="0"/>
              </w:numPr>
              <w:spacing w:lineRule="auto" w:line="240" w:before="0" w:after="0"/>
              <w:ind w:hanging="0" w:start="0"/>
              <w:jc w:val="center"/>
              <w:rPr>
                <w:b w:val="false"/>
                <w:color w:val="000000"/>
                <w:sz w:val="23"/>
                <w:szCs w:val="23"/>
                <w:lang w:eastAsia="ru-RU"/>
              </w:rPr>
            </w:pPr>
            <w:r>
              <w:rPr>
                <w:b w:val="false"/>
                <w:color w:val="000000"/>
                <w:sz w:val="23"/>
                <w:szCs w:val="23"/>
                <w:lang w:eastAsia="ru-RU"/>
              </w:rPr>
              <w:t>19</w:t>
            </w:r>
          </w:p>
        </w:tc>
      </w:tr>
      <w:tr>
        <w:trPr/>
        <w:tc>
          <w:tcPr>
            <w:tcW w:w="4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Heading1"/>
              <w:numPr>
                <w:ilvl w:val="0"/>
                <w:numId w:val="0"/>
              </w:numPr>
              <w:spacing w:lineRule="auto" w:line="240" w:before="0" w:after="0"/>
              <w:ind w:hanging="0" w:start="0"/>
              <w:jc w:val="start"/>
              <w:rPr>
                <w:b w:val="false"/>
                <w:color w:val="000000"/>
                <w:sz w:val="23"/>
                <w:szCs w:val="23"/>
                <w:lang w:eastAsia="ru-RU"/>
              </w:rPr>
            </w:pPr>
            <w:r>
              <w:rPr>
                <w:b w:val="false"/>
                <w:color w:val="000000"/>
                <w:sz w:val="23"/>
                <w:szCs w:val="23"/>
                <w:lang w:val="en-US" w:eastAsia="ru-RU"/>
              </w:rPr>
              <w:t>3</w:t>
            </w:r>
          </w:p>
        </w:tc>
        <w:tc>
          <w:tcPr>
            <w:tcW w:w="37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Heading1"/>
              <w:numPr>
                <w:ilvl w:val="0"/>
                <w:numId w:val="0"/>
              </w:numPr>
              <w:spacing w:lineRule="auto" w:line="240" w:before="0" w:after="0"/>
              <w:ind w:hanging="0" w:start="0"/>
              <w:jc w:val="start"/>
              <w:rPr>
                <w:b w:val="false"/>
                <w:color w:val="000000"/>
                <w:sz w:val="23"/>
                <w:szCs w:val="23"/>
                <w:lang w:eastAsia="ru-RU"/>
              </w:rPr>
            </w:pPr>
            <w:r>
              <w:rPr>
                <w:b w:val="false"/>
                <w:color w:val="000000"/>
                <w:sz w:val="23"/>
                <w:szCs w:val="23"/>
                <w:lang w:eastAsia="ru-RU"/>
              </w:rPr>
              <w:t>Медиашлюз</w:t>
            </w:r>
          </w:p>
        </w:tc>
        <w:tc>
          <w:tcPr>
            <w:tcW w:w="467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Heading1"/>
              <w:numPr>
                <w:ilvl w:val="0"/>
                <w:numId w:val="0"/>
              </w:numPr>
              <w:spacing w:lineRule="auto" w:line="240" w:before="0" w:after="0"/>
              <w:ind w:hanging="0" w:start="0"/>
              <w:jc w:val="start"/>
              <w:rPr>
                <w:b w:val="false"/>
                <w:sz w:val="23"/>
                <w:szCs w:val="23"/>
              </w:rPr>
            </w:pPr>
            <w:r>
              <w:rPr>
                <w:b w:val="false"/>
                <w:color w:val="000000"/>
                <w:sz w:val="23"/>
                <w:szCs w:val="23"/>
                <w:lang w:val="en-US" w:eastAsia="ru-RU"/>
              </w:rPr>
              <w:t>Протей Tiger</w:t>
            </w:r>
            <w:r>
              <w:rPr>
                <w:b w:val="false"/>
                <w:color w:val="000000"/>
                <w:sz w:val="23"/>
                <w:szCs w:val="23"/>
                <w:lang w:eastAsia="ru-RU"/>
              </w:rPr>
              <w:t xml:space="preserve"> </w:t>
            </w:r>
            <w:r>
              <w:rPr>
                <w:b w:val="false"/>
                <w:color w:val="000000"/>
                <w:sz w:val="23"/>
                <w:szCs w:val="23"/>
                <w:lang w:val="en-US" w:eastAsia="ru-RU"/>
              </w:rPr>
              <w:t>MSC</w:t>
            </w:r>
            <w:r>
              <w:rPr>
                <w:b w:val="false"/>
                <w:color w:val="000000"/>
                <w:sz w:val="23"/>
                <w:szCs w:val="23"/>
                <w:lang w:eastAsia="ru-RU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Heading1"/>
              <w:numPr>
                <w:ilvl w:val="0"/>
                <w:numId w:val="0"/>
              </w:numPr>
              <w:spacing w:lineRule="auto" w:line="240" w:before="0" w:after="0"/>
              <w:ind w:hanging="0" w:start="0"/>
              <w:jc w:val="center"/>
              <w:rPr>
                <w:b w:val="false"/>
                <w:color w:val="000000"/>
                <w:sz w:val="23"/>
                <w:szCs w:val="23"/>
                <w:lang w:eastAsia="ru-RU"/>
              </w:rPr>
            </w:pPr>
            <w:r>
              <w:rPr>
                <w:b w:val="false"/>
                <w:color w:val="000000"/>
                <w:sz w:val="23"/>
                <w:szCs w:val="23"/>
                <w:lang w:eastAsia="ru-RU"/>
              </w:rPr>
              <w:t>17</w:t>
            </w:r>
          </w:p>
        </w:tc>
      </w:tr>
    </w:tbl>
    <w:p>
      <w:pPr>
        <w:pStyle w:val="Normal"/>
        <w:widowControl w:val="false"/>
        <w:jc w:val="both"/>
        <w:rPr>
          <w:sz w:val="23"/>
          <w:szCs w:val="23"/>
        </w:rPr>
      </w:pPr>
      <w:r>
        <w:rPr>
          <w:sz w:val="23"/>
          <w:szCs w:val="23"/>
        </w:rPr>
      </w:r>
    </w:p>
    <w:sectPr>
      <w:type w:val="nextPage"/>
      <w:pgSz w:w="11906" w:h="16838"/>
      <w:pgMar w:left="1134" w:right="707" w:gutter="0" w:header="0" w:top="567" w:footer="0" w:bottom="709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Arial">
    <w:charset w:val="01" w:characterSet="utf-8"/>
    <w:family w:val="swiss"/>
    <w:pitch w:val="variable"/>
  </w:font>
  <w:font w:name="Segoe UI">
    <w:charset w:val="01" w:characterSet="utf-8"/>
    <w:family w:val="swiss"/>
    <w:pitch w:val="variable"/>
  </w:font>
  <w:font w:name="Liberation Sans">
    <w:altName w:val="Arial"/>
    <w:charset w:val="01" w:characterSet="utf-8"/>
    <w:family w:val="swiss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suff w:val="space"/>
      <w:lvlText w:val="%1"/>
      <w:lvlJc w:val="start"/>
      <w:pPr>
        <w:tabs>
          <w:tab w:val="num" w:pos="0"/>
        </w:tabs>
        <w:ind w:start="0" w:firstLine="709"/>
      </w:pPr>
      <w:rPr>
        <w:sz w:val="26"/>
        <w:i w:val="false"/>
        <w:b/>
        <w:szCs w:val="26"/>
      </w:rPr>
    </w:lvl>
    <w:lvl w:ilvl="1">
      <w:start w:val="1"/>
      <w:pStyle w:val="Heading2"/>
      <w:numFmt w:val="decimal"/>
      <w:suff w:val="space"/>
      <w:lvlText w:val="%1.%2"/>
      <w:lvlJc w:val="start"/>
      <w:pPr>
        <w:tabs>
          <w:tab w:val="num" w:pos="0"/>
        </w:tabs>
        <w:ind w:start="426" w:firstLine="709"/>
      </w:pPr>
      <w:rPr>
        <w:sz w:val="24"/>
        <w:i w:val="false"/>
        <w:b/>
        <w:szCs w:val="24"/>
      </w:rPr>
    </w:lvl>
    <w:lvl w:ilvl="2">
      <w:start w:val="1"/>
      <w:pStyle w:val="Heading3"/>
      <w:numFmt w:val="decimal"/>
      <w:suff w:val="space"/>
      <w:lvlText w:val="%1.%2.%3"/>
      <w:lvlJc w:val="start"/>
      <w:pPr>
        <w:tabs>
          <w:tab w:val="num" w:pos="0"/>
        </w:tabs>
        <w:ind w:start="0" w:firstLine="709"/>
      </w:pPr>
      <w:rPr>
        <w:sz w:val="30"/>
        <w:i w:val="false"/>
        <w:b/>
      </w:rPr>
    </w:lvl>
    <w:lvl w:ilvl="3">
      <w:start w:val="1"/>
      <w:pStyle w:val="Heading4"/>
      <w:numFmt w:val="decimal"/>
      <w:suff w:val="space"/>
      <w:lvlText w:val="%1.%2.%3.%4"/>
      <w:lvlJc w:val="start"/>
      <w:pPr>
        <w:tabs>
          <w:tab w:val="num" w:pos="0"/>
        </w:tabs>
        <w:ind w:start="0" w:firstLine="709"/>
      </w:pPr>
      <w:rPr>
        <w:sz w:val="28"/>
        <w:i w:val="false"/>
        <w:b/>
      </w:rPr>
    </w:lvl>
    <w:lvl w:ilvl="4">
      <w:start w:val="1"/>
      <w:numFmt w:val="decimal"/>
      <w:lvlText w:val="%1.%2.%3.%4.%5"/>
      <w:lvlJc w:val="start"/>
      <w:pPr>
        <w:tabs>
          <w:tab w:val="num" w:pos="0"/>
        </w:tabs>
        <w:ind w:start="1008" w:hanging="1008"/>
      </w:pPr>
      <w:rPr/>
    </w:lvl>
    <w:lvl w:ilvl="5">
      <w:start w:val="1"/>
      <w:numFmt w:val="decimal"/>
      <w:lvlText w:val="%1.%2.%3.%4.%5.%6"/>
      <w:lvlJc w:val="start"/>
      <w:pPr>
        <w:tabs>
          <w:tab w:val="num" w:pos="0"/>
        </w:tabs>
        <w:ind w:start="1152" w:hanging="1152"/>
      </w:pPr>
      <w:rPr/>
    </w:lvl>
    <w:lvl w:ilvl="6">
      <w:start w:val="1"/>
      <w:numFmt w:val="decimal"/>
      <w:lvlText w:val="%1.%2.%3.%4.%5.%6.%7"/>
      <w:lvlJc w:val="start"/>
      <w:pPr>
        <w:tabs>
          <w:tab w:val="num" w:pos="0"/>
        </w:tabs>
        <w:ind w:start="1296" w:hanging="1296"/>
      </w:pPr>
      <w:rPr/>
    </w:lvl>
    <w:lvl w:ilvl="7">
      <w:start w:val="1"/>
      <w:numFmt w:val="decimal"/>
      <w:lvlText w:val="%1.%2.%3.%4.%5.%6.%7.%8"/>
      <w:lvlJc w:val="start"/>
      <w:pPr>
        <w:tabs>
          <w:tab w:val="num" w:pos="0"/>
        </w:tabs>
        <w:ind w:start="1440" w:hanging="1440"/>
      </w:pPr>
      <w:rPr/>
    </w:lvl>
    <w:lvl w:ilvl="8">
      <w:start w:val="1"/>
      <w:numFmt w:val="decimal"/>
      <w:lvlText w:val="%1.%2.%3.%4.%5.%6.%7.%8.%9"/>
      <w:lvlJc w:val="start"/>
      <w:pPr>
        <w:tabs>
          <w:tab w:val="num" w:pos="0"/>
        </w:tabs>
        <w:ind w:start="1584" w:hanging="1584"/>
      </w:pPr>
      <w:rPr/>
    </w:lvl>
  </w:abstractNum>
  <w:abstractNum w:abstractNumId="2">
    <w:lvl w:ilvl="0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"/>
      <w:lvlJc w:val="start"/>
      <w:pPr>
        <w:tabs>
          <w:tab w:val="num" w:pos="0"/>
        </w:tabs>
        <w:ind w:start="1276" w:hanging="284"/>
      </w:pPr>
      <w:rPr>
        <w:rFonts w:ascii="Symbol" w:hAnsi="Symbol" w:cs="Symbol" w:hint="default"/>
      </w:rPr>
    </w:lvl>
    <w:lvl w:ilvl="2">
      <w:start w:val="1"/>
      <w:numFmt w:val="lowerRoman"/>
      <w:lvlText w:val="%3)"/>
      <w:lvlJc w:val="start"/>
      <w:pPr>
        <w:tabs>
          <w:tab w:val="num" w:pos="0"/>
        </w:tabs>
        <w:ind w:start="1440" w:hanging="360"/>
      </w:pPr>
      <w:rPr/>
    </w:lvl>
    <w:lvl w:ilvl="3">
      <w:start w:val="1"/>
      <w:numFmt w:val="decimal"/>
      <w:lvlText w:val="(%4)"/>
      <w:lvlJc w:val="start"/>
      <w:pPr>
        <w:tabs>
          <w:tab w:val="num" w:pos="0"/>
        </w:tabs>
        <w:ind w:start="1800" w:hanging="360"/>
      </w:pPr>
      <w:rPr/>
    </w:lvl>
    <w:lvl w:ilvl="4">
      <w:start w:val="1"/>
      <w:numFmt w:val="lowerLetter"/>
      <w:lvlText w:val="(%5)"/>
      <w:lvlJc w:val="start"/>
      <w:pPr>
        <w:tabs>
          <w:tab w:val="num" w:pos="0"/>
        </w:tabs>
        <w:ind w:start="2160" w:hanging="360"/>
      </w:pPr>
      <w:rPr/>
    </w:lvl>
    <w:lvl w:ilvl="5">
      <w:start w:val="1"/>
      <w:numFmt w:val="lowerRoman"/>
      <w:lvlText w:val="(%6)"/>
      <w:lvlJc w:val="start"/>
      <w:pPr>
        <w:tabs>
          <w:tab w:val="num" w:pos="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288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3240" w:hanging="360"/>
      </w:pPr>
      <w:rPr/>
    </w:lvl>
    <w:lvl w:ilvl="8">
      <w:start w:val="1"/>
      <w:numFmt w:val="lowerRoman"/>
      <w:lvlText w:val="%9."/>
      <w:lvlJc w:val="start"/>
      <w:pPr>
        <w:tabs>
          <w:tab w:val="num" w:pos="0"/>
        </w:tabs>
        <w:ind w:start="3600" w:hanging="360"/>
      </w:pPr>
      <w:rPr/>
    </w:lvl>
  </w:abstractNum>
  <w:abstractNum w:abstractNumId="3">
    <w:lvl w:ilvl="0">
      <w:start w:val="1"/>
      <w:numFmt w:val="decimal"/>
      <w:suff w:val="space"/>
      <w:lvlText w:val="%1)"/>
      <w:lvlJc w:val="start"/>
      <w:pPr>
        <w:tabs>
          <w:tab w:val="num" w:pos="0"/>
        </w:tabs>
        <w:ind w:start="0" w:firstLine="709"/>
      </w:pPr>
      <w:rPr>
        <w:sz w:val="24"/>
        <w:rFonts w:ascii="Times New Roman" w:hAnsi="Times New Roman"/>
      </w:rPr>
    </w:lvl>
    <w:lvl w:ilvl="1">
      <w:start w:val="1"/>
      <w:numFmt w:val="russianLower"/>
      <w:suff w:val="space"/>
      <w:lvlText w:val="%2)"/>
      <w:lvlJc w:val="start"/>
      <w:pPr>
        <w:tabs>
          <w:tab w:val="num" w:pos="0"/>
        </w:tabs>
        <w:ind w:start="1276" w:hanging="284"/>
      </w:pPr>
      <w:rPr>
        <w:sz w:val="24"/>
        <w:rFonts w:ascii="Times New Roman" w:hAnsi="Times New Roman"/>
      </w:rPr>
    </w:lvl>
    <w:lvl w:ilvl="2">
      <w:start w:val="1"/>
      <w:numFmt w:val="bullet"/>
      <w:suff w:val="space"/>
      <w:lvlText w:val="–"/>
      <w:lvlJc w:val="start"/>
      <w:pPr>
        <w:tabs>
          <w:tab w:val="num" w:pos="0"/>
        </w:tabs>
        <w:ind w:start="1843" w:hanging="284"/>
      </w:pPr>
      <w:rPr>
        <w:rFonts w:ascii="Times New Roman" w:hAnsi="Times New Roman" w:cs="Times New Roman" w:hint="default"/>
        <w:sz w:val="24"/>
      </w:rPr>
    </w:lvl>
    <w:lvl w:ilvl="3">
      <w:start w:val="1"/>
      <w:numFmt w:val="bullet"/>
      <w:suff w:val="space"/>
      <w:lvlText w:val=""/>
      <w:lvlJc w:val="start"/>
      <w:pPr>
        <w:tabs>
          <w:tab w:val="num" w:pos="0"/>
        </w:tabs>
        <w:ind w:start="2126" w:hanging="283"/>
      </w:pPr>
      <w:rPr>
        <w:rFonts w:ascii="Symbol" w:hAnsi="Symbol" w:cs="Symbol" w:hint="default"/>
        <w:sz w:val="24"/>
      </w:rPr>
    </w:lvl>
    <w:lvl w:ilvl="4">
      <w:start w:val="1"/>
      <w:numFmt w:val="lowerLetter"/>
      <w:lvlText w:val="(%5)"/>
      <w:lvlJc w:val="start"/>
      <w:pPr>
        <w:tabs>
          <w:tab w:val="num" w:pos="0"/>
        </w:tabs>
        <w:ind w:start="2880" w:hanging="360"/>
      </w:pPr>
      <w:rPr/>
    </w:lvl>
    <w:lvl w:ilvl="5">
      <w:start w:val="1"/>
      <w:numFmt w:val="lowerRoman"/>
      <w:lvlText w:val="(%6)"/>
      <w:lvlJc w:val="start"/>
      <w:pPr>
        <w:tabs>
          <w:tab w:val="num" w:pos="0"/>
        </w:tabs>
        <w:ind w:start="3240" w:hanging="36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360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3960" w:hanging="360"/>
      </w:pPr>
      <w:rPr/>
    </w:lvl>
    <w:lvl w:ilvl="8">
      <w:start w:val="1"/>
      <w:numFmt w:val="lowerRoman"/>
      <w:lvlText w:val="%9."/>
      <w:lvlJc w:val="start"/>
      <w:pPr>
        <w:tabs>
          <w:tab w:val="num" w:pos="0"/>
        </w:tabs>
        <w:ind w:start="4320" w:hanging="360"/>
      </w:pPr>
      <w:rPr/>
    </w:lvl>
  </w:abstractNum>
  <w:abstractNum w:abstractNumId="4">
    <w:lvl w:ilvl="0">
      <w:start w:val="1"/>
      <w:numFmt w:val="decimal"/>
      <w:suff w:val="space"/>
      <w:lvlText w:val="%1)"/>
      <w:lvlJc w:val="start"/>
      <w:pPr>
        <w:tabs>
          <w:tab w:val="num" w:pos="0"/>
        </w:tabs>
        <w:ind w:start="0" w:firstLine="709"/>
      </w:pPr>
      <w:rPr>
        <w:sz w:val="24"/>
        <w:rFonts w:ascii="Times New Roman" w:hAnsi="Times New Roman"/>
      </w:rPr>
    </w:lvl>
    <w:lvl w:ilvl="1">
      <w:start w:val="1"/>
      <w:numFmt w:val="russianLower"/>
      <w:suff w:val="space"/>
      <w:lvlText w:val="%2)"/>
      <w:lvlJc w:val="start"/>
      <w:pPr>
        <w:tabs>
          <w:tab w:val="num" w:pos="0"/>
        </w:tabs>
        <w:ind w:start="1276" w:hanging="284"/>
      </w:pPr>
      <w:rPr>
        <w:sz w:val="24"/>
        <w:rFonts w:ascii="Times New Roman" w:hAnsi="Times New Roman"/>
      </w:rPr>
    </w:lvl>
    <w:lvl w:ilvl="2">
      <w:start w:val="1"/>
      <w:numFmt w:val="bullet"/>
      <w:suff w:val="space"/>
      <w:lvlText w:val="–"/>
      <w:lvlJc w:val="start"/>
      <w:pPr>
        <w:tabs>
          <w:tab w:val="num" w:pos="0"/>
        </w:tabs>
        <w:ind w:start="1843" w:hanging="284"/>
      </w:pPr>
      <w:rPr>
        <w:rFonts w:ascii="Times New Roman" w:hAnsi="Times New Roman" w:cs="Times New Roman" w:hint="default"/>
        <w:sz w:val="24"/>
      </w:rPr>
    </w:lvl>
    <w:lvl w:ilvl="3">
      <w:start w:val="1"/>
      <w:numFmt w:val="bullet"/>
      <w:suff w:val="space"/>
      <w:lvlText w:val=""/>
      <w:lvlJc w:val="start"/>
      <w:pPr>
        <w:tabs>
          <w:tab w:val="num" w:pos="0"/>
        </w:tabs>
        <w:ind w:start="2126" w:hanging="283"/>
      </w:pPr>
      <w:rPr>
        <w:rFonts w:ascii="Symbol" w:hAnsi="Symbol" w:cs="Symbol" w:hint="default"/>
        <w:sz w:val="24"/>
      </w:rPr>
    </w:lvl>
    <w:lvl w:ilvl="4">
      <w:start w:val="1"/>
      <w:numFmt w:val="lowerLetter"/>
      <w:lvlText w:val="(%5)"/>
      <w:lvlJc w:val="start"/>
      <w:pPr>
        <w:tabs>
          <w:tab w:val="num" w:pos="0"/>
        </w:tabs>
        <w:ind w:start="2880" w:hanging="360"/>
      </w:pPr>
      <w:rPr/>
    </w:lvl>
    <w:lvl w:ilvl="5">
      <w:start w:val="1"/>
      <w:numFmt w:val="lowerRoman"/>
      <w:lvlText w:val="(%6)"/>
      <w:lvlJc w:val="start"/>
      <w:pPr>
        <w:tabs>
          <w:tab w:val="num" w:pos="0"/>
        </w:tabs>
        <w:ind w:start="3240" w:hanging="36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360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3960" w:hanging="360"/>
      </w:pPr>
      <w:rPr/>
    </w:lvl>
    <w:lvl w:ilvl="8">
      <w:start w:val="1"/>
      <w:numFmt w:val="lowerRoman"/>
      <w:lvlText w:val="%9."/>
      <w:lvlJc w:val="start"/>
      <w:pPr>
        <w:tabs>
          <w:tab w:val="num" w:pos="0"/>
        </w:tabs>
        <w:ind w:start="4320" w:hanging="360"/>
      </w:pPr>
      <w:rPr/>
    </w:lvl>
  </w:abstractNum>
  <w:abstractNum w:abstractNumId="5">
    <w:lvl w:ilvl="0">
      <w:start w:val="1"/>
      <w:numFmt w:val="bullet"/>
      <w:lvlText w:val="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bullet"/>
      <w:lvlText w:val="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numFmt w:val="decimal"/>
      <w:lvlText w:val="%1."/>
      <w:lvlJc w:val="start"/>
      <w:pPr>
        <w:tabs>
          <w:tab w:val="num" w:pos="0"/>
        </w:tabs>
        <w:ind w:start="1287" w:hanging="360"/>
      </w:pPr>
      <w:rPr/>
    </w:lvl>
    <w:lvl w:ilvl="1">
      <w:start w:val="1"/>
      <w:isLgl/>
      <w:numFmt w:val="decimal"/>
      <w:lvlText w:val="%1.%2."/>
      <w:lvlJc w:val="start"/>
      <w:pPr>
        <w:tabs>
          <w:tab w:val="num" w:pos="0"/>
        </w:tabs>
        <w:ind w:start="1287" w:hanging="360"/>
      </w:pPr>
      <w:rPr>
        <w:b/>
      </w:rPr>
    </w:lvl>
    <w:lvl w:ilvl="2">
      <w:start w:val="1"/>
      <w:isLgl/>
      <w:numFmt w:val="decimal"/>
      <w:lvlText w:val="%1.%2.%3."/>
      <w:lvlJc w:val="start"/>
      <w:pPr>
        <w:tabs>
          <w:tab w:val="num" w:pos="0"/>
        </w:tabs>
        <w:ind w:start="1647" w:hanging="720"/>
      </w:pPr>
      <w:rPr>
        <w:b/>
      </w:rPr>
    </w:lvl>
    <w:lvl w:ilvl="3">
      <w:start w:val="1"/>
      <w:isLgl/>
      <w:numFmt w:val="decimal"/>
      <w:lvlText w:val="%1.%2.%3.%4."/>
      <w:lvlJc w:val="start"/>
      <w:pPr>
        <w:tabs>
          <w:tab w:val="num" w:pos="0"/>
        </w:tabs>
        <w:ind w:start="1647" w:hanging="720"/>
      </w:pPr>
      <w:rPr>
        <w:b/>
      </w:rPr>
    </w:lvl>
    <w:lvl w:ilvl="4">
      <w:start w:val="1"/>
      <w:isLgl/>
      <w:numFmt w:val="decimal"/>
      <w:lvlText w:val="%1.%2.%3.%4.%5."/>
      <w:lvlJc w:val="start"/>
      <w:pPr>
        <w:tabs>
          <w:tab w:val="num" w:pos="0"/>
        </w:tabs>
        <w:ind w:start="2007" w:hanging="1080"/>
      </w:pPr>
      <w:rPr/>
    </w:lvl>
    <w:lvl w:ilvl="5">
      <w:start w:val="1"/>
      <w:isLgl/>
      <w:numFmt w:val="decimal"/>
      <w:lvlText w:val="%1.%2.%3.%4.%5.%6."/>
      <w:lvlJc w:val="start"/>
      <w:pPr>
        <w:tabs>
          <w:tab w:val="num" w:pos="0"/>
        </w:tabs>
        <w:ind w:start="2007" w:hanging="1080"/>
      </w:pPr>
      <w:rPr/>
    </w:lvl>
    <w:lvl w:ilvl="6">
      <w:start w:val="1"/>
      <w:isLgl/>
      <w:numFmt w:val="decimal"/>
      <w:lvlText w:val="%1.%2.%3.%4.%5.%6.%7."/>
      <w:lvlJc w:val="start"/>
      <w:pPr>
        <w:tabs>
          <w:tab w:val="num" w:pos="0"/>
        </w:tabs>
        <w:ind w:start="2367" w:hanging="1440"/>
      </w:pPr>
      <w:rPr/>
    </w:lvl>
    <w:lvl w:ilvl="7">
      <w:start w:val="1"/>
      <w:isLgl/>
      <w:numFmt w:val="decimal"/>
      <w:lvlText w:val="%1.%2.%3.%4.%5.%6.%7.%8."/>
      <w:lvlJc w:val="start"/>
      <w:pPr>
        <w:tabs>
          <w:tab w:val="num" w:pos="0"/>
        </w:tabs>
        <w:ind w:start="2367" w:hanging="1440"/>
      </w:pPr>
      <w:rPr/>
    </w:lvl>
    <w:lvl w:ilvl="8">
      <w:start w:val="1"/>
      <w:isLgl/>
      <w:numFmt w:val="decimal"/>
      <w:lvlText w:val="%1.%2.%3.%4.%5.%6.%7.%8.%9."/>
      <w:lvlJc w:val="start"/>
      <w:pPr>
        <w:tabs>
          <w:tab w:val="num" w:pos="0"/>
        </w:tabs>
        <w:ind w:start="2727" w:hanging="1800"/>
      </w:pPr>
      <w:rPr/>
    </w:lvl>
  </w:abstractNum>
  <w:abstractNum w:abstractNumId="8">
    <w:lvl w:ilvl="0">
      <w:start w:val="1"/>
      <w:numFmt w:val="decimal"/>
      <w:lvlText w:val="%1."/>
      <w:lvlJc w:val="start"/>
      <w:pPr>
        <w:tabs>
          <w:tab w:val="num" w:pos="284"/>
        </w:tabs>
        <w:ind w:start="0" w:firstLine="709"/>
      </w:pPr>
      <w:rPr/>
    </w:lvl>
    <w:lvl w:ilvl="1">
      <w:start w:val="1"/>
      <w:numFmt w:val="decimal"/>
      <w:lvlText w:val="%1.%2."/>
      <w:lvlJc w:val="start"/>
      <w:pPr>
        <w:tabs>
          <w:tab w:val="num" w:pos="284"/>
        </w:tabs>
        <w:ind w:start="0" w:firstLine="709"/>
      </w:pPr>
      <w:rPr>
        <w:b/>
      </w:rPr>
    </w:lvl>
    <w:lvl w:ilvl="2">
      <w:start w:val="1"/>
      <w:numFmt w:val="decimal"/>
      <w:lvlText w:val="%1.%2.%3."/>
      <w:lvlJc w:val="start"/>
      <w:pPr>
        <w:tabs>
          <w:tab w:val="num" w:pos="284"/>
        </w:tabs>
        <w:ind w:start="0" w:firstLine="709"/>
      </w:pPr>
      <w:rPr/>
    </w:lvl>
    <w:lvl w:ilvl="3">
      <w:start w:val="1"/>
      <w:numFmt w:val="decimal"/>
      <w:lvlText w:val="%1.%2.%3.%4."/>
      <w:lvlJc w:val="start"/>
      <w:pPr>
        <w:tabs>
          <w:tab w:val="num" w:pos="284"/>
        </w:tabs>
        <w:ind w:start="0" w:firstLine="709"/>
      </w:pPr>
      <w:rPr/>
    </w:lvl>
    <w:lvl w:ilvl="4">
      <w:start w:val="1"/>
      <w:numFmt w:val="decimal"/>
      <w:lvlText w:val="%1.%2.%3.%4.%5."/>
      <w:lvlJc w:val="start"/>
      <w:pPr>
        <w:tabs>
          <w:tab w:val="num" w:pos="284"/>
        </w:tabs>
        <w:ind w:start="0" w:firstLine="709"/>
      </w:pPr>
      <w:rPr/>
    </w:lvl>
    <w:lvl w:ilvl="5">
      <w:start w:val="1"/>
      <w:numFmt w:val="decimal"/>
      <w:lvlText w:val="%1.%2.%3.%4.%5.%6"/>
      <w:lvlJc w:val="start"/>
      <w:pPr>
        <w:tabs>
          <w:tab w:val="num" w:pos="1861"/>
        </w:tabs>
        <w:ind w:start="1861" w:hanging="1152"/>
      </w:pPr>
      <w:rPr/>
    </w:lvl>
    <w:lvl w:ilvl="6">
      <w:start w:val="1"/>
      <w:numFmt w:val="decimal"/>
      <w:lvlText w:val="%1.%2.%3.%4.%5.%6.%7"/>
      <w:lvlJc w:val="start"/>
      <w:pPr>
        <w:tabs>
          <w:tab w:val="num" w:pos="2005"/>
        </w:tabs>
        <w:ind w:start="2005" w:hanging="1296"/>
      </w:pPr>
      <w:rPr/>
    </w:lvl>
    <w:lvl w:ilvl="7">
      <w:start w:val="1"/>
      <w:numFmt w:val="decimal"/>
      <w:lvlText w:val="%1.%2.%3.%4.%5.%6.%7.%8"/>
      <w:lvlJc w:val="start"/>
      <w:pPr>
        <w:tabs>
          <w:tab w:val="num" w:pos="2149"/>
        </w:tabs>
        <w:ind w:start="2149" w:hanging="1440"/>
      </w:pPr>
      <w:rPr/>
    </w:lvl>
    <w:lvl w:ilvl="8">
      <w:start w:val="1"/>
      <w:numFmt w:val="decimal"/>
      <w:lvlText w:val="%1.%2.%3.%4.%5.%6.%7.%8.%9"/>
      <w:lvlJc w:val="start"/>
      <w:pPr>
        <w:tabs>
          <w:tab w:val="num" w:pos="2293"/>
        </w:tabs>
        <w:ind w:start="2293" w:hanging="1584"/>
      </w:pPr>
      <w:rPr/>
    </w:lvl>
  </w:abstractNum>
  <w:abstractNum w:abstractNumId="9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10">
    <w:lvl w:ilvl="0">
      <w:start w:val="1"/>
      <w:numFmt w:val="bullet"/>
      <w:lvlText w:val=""/>
      <w:lvlJc w:val="start"/>
      <w:pPr>
        <w:tabs>
          <w:tab w:val="num" w:pos="0"/>
        </w:tabs>
        <w:ind w:start="64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250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322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94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466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538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610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682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7548" w:hanging="360"/>
      </w:pPr>
      <w:rPr>
        <w:rFonts w:ascii="Wingdings" w:hAnsi="Wingdings" w:cs="Wingdings" w:hint="default"/>
      </w:rPr>
    </w:lvl>
  </w:abstractNum>
  <w:abstractNum w:abstractNumId="11">
    <w:lvl w:ilvl="0">
      <w:start w:val="1"/>
      <w:numFmt w:val="bullet"/>
      <w:lvlText w:val="−"/>
      <w:lvlJc w:val="start"/>
      <w:pPr>
        <w:tabs>
          <w:tab w:val="num" w:pos="0"/>
        </w:tabs>
        <w:ind w:star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120" w:hanging="360"/>
      </w:pPr>
      <w:rPr>
        <w:rFonts w:ascii="Wingdings" w:hAnsi="Wingdings" w:cs="Wingdings" w:hint="default"/>
      </w:rPr>
    </w:lvl>
  </w:abstractNum>
  <w:abstractNum w:abstractNumId="12">
    <w:lvl w:ilvl="0">
      <w:start w:val="1"/>
      <w:numFmt w:val="bullet"/>
      <w:lvlText w:val=""/>
      <w:lvlJc w:val="start"/>
      <w:pPr>
        <w:tabs>
          <w:tab w:val="num" w:pos="0"/>
        </w:tabs>
        <w:ind w:star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7047" w:hanging="360"/>
      </w:pPr>
      <w:rPr>
        <w:rFonts w:ascii="Wingdings" w:hAnsi="Wingdings" w:cs="Wingdings" w:hint="default"/>
      </w:rPr>
    </w:lvl>
  </w:abstractNum>
  <w:abstractNum w:abstractNumId="13">
    <w:lvl w:ilvl="0">
      <w:start w:val="1"/>
      <w:numFmt w:val="decimal"/>
      <w:lvlText w:val="%1."/>
      <w:lvlJc w:val="start"/>
      <w:pPr>
        <w:tabs>
          <w:tab w:val="num" w:pos="0"/>
        </w:tabs>
        <w:ind w:start="2061" w:hanging="360"/>
      </w:pPr>
      <w:rPr/>
    </w:lvl>
    <w:lvl w:ilvl="1">
      <w:start w:val="1"/>
      <w:numFmt w:val="bullet"/>
      <w:lvlText w:val="o"/>
      <w:lvlJc w:val="start"/>
      <w:pPr>
        <w:tabs>
          <w:tab w:val="num" w:pos="0"/>
        </w:tabs>
        <w:ind w:start="278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350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422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494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566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638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710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7821" w:hanging="360"/>
      </w:pPr>
      <w:rPr>
        <w:rFonts w:ascii="Wingdings" w:hAnsi="Wingdings" w:cs="Wingdings" w:hint="default"/>
      </w:rPr>
    </w:lvl>
  </w:abstractNum>
  <w:abstractNum w:abstractNumId="14">
    <w:lvl w:ilvl="0">
      <w:start w:val="1"/>
      <w:numFmt w:val="bullet"/>
      <w:lvlText w:val=""/>
      <w:lvlJc w:val="start"/>
      <w:pPr>
        <w:tabs>
          <w:tab w:val="num" w:pos="0"/>
        </w:tabs>
        <w:ind w:star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7047" w:hanging="360"/>
      </w:pPr>
      <w:rPr>
        <w:rFonts w:ascii="Wingdings" w:hAnsi="Wingdings" w:cs="Wingdings" w:hint="default"/>
      </w:rPr>
    </w:lvl>
  </w:abstractNum>
  <w:abstractNum w:abstractNumId="15">
    <w:lvl w:ilvl="0">
      <w:start w:val="1"/>
      <w:numFmt w:val="bullet"/>
      <w:lvlText w:val=""/>
      <w:lvlJc w:val="start"/>
      <w:pPr>
        <w:tabs>
          <w:tab w:val="num" w:pos="0"/>
        </w:tabs>
        <w:ind w:star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7047" w:hanging="360"/>
      </w:pPr>
      <w:rPr>
        <w:rFonts w:ascii="Wingdings" w:hAnsi="Wingdings" w:cs="Wingdings" w:hint="default"/>
      </w:rPr>
    </w:lvl>
  </w:abstractNum>
  <w:abstractNum w:abstractNumId="16">
    <w:lvl w:ilvl="0">
      <w:start w:val="1"/>
      <w:numFmt w:val="bullet"/>
      <w:lvlText w:val=""/>
      <w:lvlJc w:val="start"/>
      <w:pPr>
        <w:tabs>
          <w:tab w:val="num" w:pos="0"/>
        </w:tabs>
        <w:ind w:start="1571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301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73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517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89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7331" w:hanging="360"/>
      </w:pPr>
      <w:rPr>
        <w:rFonts w:ascii="Wingdings" w:hAnsi="Wingdings" w:cs="Wingdings" w:hint="default"/>
      </w:rPr>
    </w:lvl>
  </w:abstractNum>
  <w:abstractNum w:abstractNumId="17">
    <w:lvl w:ilvl="0">
      <w:start w:val="1"/>
      <w:numFmt w:val="bullet"/>
      <w:lvlText w:val="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18">
    <w:lvl w:ilvl="0">
      <w:start w:val="1"/>
      <w:numFmt w:val="bullet"/>
      <w:lvlText w:val="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19">
    <w:lvl w:ilvl="0">
      <w:start w:val="1"/>
      <w:numFmt w:val="bullet"/>
      <w:lvlText w:val=""/>
      <w:lvlJc w:val="start"/>
      <w:pPr>
        <w:tabs>
          <w:tab w:val="num" w:pos="0"/>
        </w:tabs>
        <w:ind w:start="1428" w:hanging="360"/>
      </w:pPr>
      <w:rPr>
        <w:rFonts w:ascii="Symbol" w:hAnsi="Symbol" w:cs="Symbol" w:hint="default"/>
      </w:rPr>
    </w:lvl>
    <w:lvl w:ilvl="1">
      <w:start w:val="1"/>
      <w:numFmt w:val="bullet"/>
      <w:lvlText w:val="•"/>
      <w:lvlJc w:val="start"/>
      <w:pPr>
        <w:tabs>
          <w:tab w:val="num" w:pos="0"/>
        </w:tabs>
        <w:ind w:start="2148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7188" w:hanging="360"/>
      </w:pPr>
      <w:rPr>
        <w:rFonts w:ascii="Wingdings" w:hAnsi="Wingdings" w:cs="Wingdings" w:hint="default"/>
      </w:rPr>
    </w:lvl>
  </w:abstractNum>
  <w:abstractNum w:abstractNumId="20">
    <w:lvl w:ilvl="0">
      <w:start w:val="5"/>
      <w:numFmt w:val="decimal"/>
      <w:lvlText w:val="%1."/>
      <w:lvlJc w:val="start"/>
      <w:pPr>
        <w:tabs>
          <w:tab w:val="num" w:pos="0"/>
        </w:tabs>
        <w:ind w:start="360" w:hanging="360"/>
      </w:pPr>
      <w:rPr/>
    </w:lvl>
    <w:lvl w:ilvl="1">
      <w:start w:val="2"/>
      <w:numFmt w:val="decimal"/>
      <w:lvlText w:val="%1.%2."/>
      <w:lvlJc w:val="start"/>
      <w:pPr>
        <w:tabs>
          <w:tab w:val="num" w:pos="0"/>
        </w:tabs>
        <w:ind w:start="792" w:hanging="432"/>
      </w:pPr>
      <w:rPr>
        <w:sz w:val="24"/>
        <w:i w:val="false"/>
        <w:szCs w:val="24"/>
      </w:rPr>
    </w:lvl>
    <w:lvl w:ilvl="2">
      <w:start w:val="1"/>
      <w:numFmt w:val="decimal"/>
      <w:lvlText w:val="%1.%2.%3."/>
      <w:lvlJc w:val="start"/>
      <w:pPr>
        <w:tabs>
          <w:tab w:val="num" w:pos="0"/>
        </w:tabs>
        <w:ind w:start="1213" w:hanging="504"/>
      </w:pPr>
      <w:rPr>
        <w:i w:val="false"/>
      </w:rPr>
    </w:lvl>
    <w:lvl w:ilvl="3">
      <w:start w:val="1"/>
      <w:numFmt w:val="decimal"/>
      <w:lvlText w:val="%1.%2.%3.%4."/>
      <w:lvlJc w:val="start"/>
      <w:pPr>
        <w:tabs>
          <w:tab w:val="num" w:pos="0"/>
        </w:tabs>
        <w:ind w:start="0" w:hanging="0"/>
      </w:pPr>
      <w:rPr>
        <w:sz w:val="24"/>
        <w:i w:val="false"/>
        <w:szCs w:val="24"/>
      </w:rPr>
    </w:lvl>
    <w:lvl w:ilvl="4">
      <w:start w:val="1"/>
      <w:numFmt w:val="decimal"/>
      <w:lvlText w:val="%1.%2.%3.%4.%5."/>
      <w:lvlJc w:val="start"/>
      <w:pPr>
        <w:tabs>
          <w:tab w:val="num" w:pos="0"/>
        </w:tabs>
        <w:ind w:start="2232" w:hanging="792"/>
      </w:pPr>
      <w:rPr/>
    </w:lvl>
    <w:lvl w:ilvl="5">
      <w:start w:val="1"/>
      <w:numFmt w:val="decimal"/>
      <w:lvlText w:val="%1.%2.%3.%4.%5.%6."/>
      <w:lvlJc w:val="start"/>
      <w:pPr>
        <w:tabs>
          <w:tab w:val="num" w:pos="0"/>
        </w:tabs>
        <w:ind w:start="2736" w:hanging="936"/>
      </w:pPr>
      <w:rPr/>
    </w:lvl>
    <w:lvl w:ilvl="6">
      <w:start w:val="1"/>
      <w:numFmt w:val="decimal"/>
      <w:lvlText w:val="%1.%2.%3.%4.%5.%6.%7."/>
      <w:lvlJc w:val="start"/>
      <w:pPr>
        <w:tabs>
          <w:tab w:val="num" w:pos="0"/>
        </w:tabs>
        <w:ind w:start="3240" w:hanging="1080"/>
      </w:pPr>
      <w:rPr/>
    </w:lvl>
    <w:lvl w:ilvl="7">
      <w:start w:val="1"/>
      <w:numFmt w:val="decimal"/>
      <w:lvlText w:val="%1.%2.%3.%4.%5.%6.%7.%8."/>
      <w:lvlJc w:val="start"/>
      <w:pPr>
        <w:tabs>
          <w:tab w:val="num" w:pos="0"/>
        </w:tabs>
        <w:ind w:start="3744" w:hanging="1224"/>
      </w:pPr>
      <w:rPr/>
    </w:lvl>
    <w:lvl w:ilvl="8">
      <w:start w:val="1"/>
      <w:numFmt w:val="decimal"/>
      <w:lvlText w:val="Таблица %9."/>
      <w:lvlJc w:val="start"/>
      <w:pPr>
        <w:tabs>
          <w:tab w:val="num" w:pos="0"/>
        </w:tabs>
        <w:ind w:start="4320" w:hanging="1440"/>
      </w:pPr>
      <w:rPr/>
    </w:lvl>
  </w:abstractNum>
  <w:abstractNum w:abstractNumId="21">
    <w:lvl w:ilvl="0">
      <w:start w:val="1"/>
      <w:numFmt w:val="bullet"/>
      <w:lvlText w:val=""/>
      <w:lvlJc w:val="start"/>
      <w:pPr>
        <w:tabs>
          <w:tab w:val="num" w:pos="0"/>
        </w:tabs>
        <w:ind w:star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7047" w:hanging="360"/>
      </w:pPr>
      <w:rPr>
        <w:rFonts w:ascii="Wingdings" w:hAnsi="Wingdings" w:cs="Wingdings" w:hint="default"/>
      </w:rPr>
    </w:lvl>
  </w:abstractNum>
  <w:abstractNum w:abstractNumId="22">
    <w:lvl w:ilvl="0">
      <w:start w:val="1"/>
      <w:numFmt w:val="bullet"/>
      <w:lvlText w:val=""/>
      <w:lvlJc w:val="start"/>
      <w:pPr>
        <w:tabs>
          <w:tab w:val="num" w:pos="0"/>
        </w:tabs>
        <w:ind w:start="185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257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329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401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473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545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617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689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7614" w:hanging="360"/>
      </w:pPr>
      <w:rPr>
        <w:rFonts w:ascii="Wingdings" w:hAnsi="Wingdings" w:cs="Wingdings" w:hint="default"/>
      </w:rPr>
    </w:lvl>
  </w:abstractNum>
  <w:abstractNum w:abstractNumId="23">
    <w:lvl w:ilvl="0">
      <w:start w:val="1"/>
      <w:numFmt w:val="bullet"/>
      <w:lvlText w:val=""/>
      <w:lvlJc w:val="start"/>
      <w:pPr>
        <w:tabs>
          <w:tab w:val="num" w:pos="0"/>
        </w:tabs>
        <w:ind w:start="185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257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329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401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473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545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617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689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7614" w:hanging="360"/>
      </w:pPr>
      <w:rPr>
        <w:rFonts w:ascii="Wingdings" w:hAnsi="Wingdings" w:cs="Wingdings" w:hint="default"/>
      </w:rPr>
    </w:lvl>
  </w:abstractNum>
  <w:abstractNum w:abstractNumId="24">
    <w:lvl w:ilvl="0">
      <w:start w:val="1"/>
      <w:numFmt w:val="bullet"/>
      <w:lvlText w:val=""/>
      <w:lvlJc w:val="start"/>
      <w:pPr>
        <w:tabs>
          <w:tab w:val="num" w:pos="0"/>
        </w:tabs>
        <w:ind w:start="149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221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93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65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437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509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81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653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7254" w:hanging="360"/>
      </w:pPr>
      <w:rPr>
        <w:rFonts w:ascii="Wingdings" w:hAnsi="Wingdings" w:cs="Wingdings" w:hint="default"/>
      </w:rPr>
    </w:lvl>
  </w:abstractNum>
  <w:abstractNum w:abstractNumId="25">
    <w:lvl w:ilvl="0">
      <w:start w:val="1"/>
      <w:numFmt w:val="bullet"/>
      <w:lvlText w:val="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26">
    <w:lvl w:ilvl="0">
      <w:start w:val="4"/>
      <w:numFmt w:val="decimal"/>
      <w:lvlText w:val="%1."/>
      <w:lvlJc w:val="start"/>
      <w:pPr>
        <w:tabs>
          <w:tab w:val="num" w:pos="0"/>
        </w:tabs>
        <w:ind w:start="360" w:hanging="360"/>
      </w:pPr>
      <w:rPr/>
    </w:lvl>
    <w:lvl w:ilvl="1">
      <w:start w:val="2"/>
      <w:numFmt w:val="decimal"/>
      <w:lvlText w:val="%1.%2."/>
      <w:lvlJc w:val="start"/>
      <w:pPr>
        <w:tabs>
          <w:tab w:val="num" w:pos="0"/>
        </w:tabs>
        <w:ind w:start="1287" w:hanging="360"/>
      </w:pPr>
      <w:rPr/>
    </w:lvl>
    <w:lvl w:ilvl="2">
      <w:start w:val="1"/>
      <w:numFmt w:val="decimal"/>
      <w:lvlText w:val="%1.%2.%3."/>
      <w:lvlJc w:val="start"/>
      <w:pPr>
        <w:tabs>
          <w:tab w:val="num" w:pos="0"/>
        </w:tabs>
        <w:ind w:start="2574" w:hanging="720"/>
      </w:pPr>
      <w:rPr/>
    </w:lvl>
    <w:lvl w:ilvl="3">
      <w:start w:val="1"/>
      <w:numFmt w:val="decimal"/>
      <w:lvlText w:val="%1.%2.%3.%4."/>
      <w:lvlJc w:val="start"/>
      <w:pPr>
        <w:tabs>
          <w:tab w:val="num" w:pos="0"/>
        </w:tabs>
        <w:ind w:start="3501" w:hanging="720"/>
      </w:pPr>
      <w:rPr/>
    </w:lvl>
    <w:lvl w:ilvl="4">
      <w:start w:val="1"/>
      <w:numFmt w:val="decimal"/>
      <w:lvlText w:val="%1.%2.%3.%4.%5."/>
      <w:lvlJc w:val="start"/>
      <w:pPr>
        <w:tabs>
          <w:tab w:val="num" w:pos="0"/>
        </w:tabs>
        <w:ind w:start="4788" w:hanging="1080"/>
      </w:pPr>
      <w:rPr/>
    </w:lvl>
    <w:lvl w:ilvl="5">
      <w:start w:val="1"/>
      <w:numFmt w:val="decimal"/>
      <w:lvlText w:val="%1.%2.%3.%4.%5.%6."/>
      <w:lvlJc w:val="start"/>
      <w:pPr>
        <w:tabs>
          <w:tab w:val="num" w:pos="0"/>
        </w:tabs>
        <w:ind w:start="5715" w:hanging="1080"/>
      </w:pPr>
      <w:rPr/>
    </w:lvl>
    <w:lvl w:ilvl="6">
      <w:start w:val="1"/>
      <w:numFmt w:val="decimal"/>
      <w:lvlText w:val="%1.%2.%3.%4.%5.%6.%7."/>
      <w:lvlJc w:val="start"/>
      <w:pPr>
        <w:tabs>
          <w:tab w:val="num" w:pos="0"/>
        </w:tabs>
        <w:ind w:start="7002" w:hanging="1440"/>
      </w:pPr>
      <w:rPr/>
    </w:lvl>
    <w:lvl w:ilvl="7">
      <w:start w:val="1"/>
      <w:numFmt w:val="decimal"/>
      <w:lvlText w:val="%1.%2.%3.%4.%5.%6.%7.%8."/>
      <w:lvlJc w:val="start"/>
      <w:pPr>
        <w:tabs>
          <w:tab w:val="num" w:pos="0"/>
        </w:tabs>
        <w:ind w:start="7929" w:hanging="1440"/>
      </w:pPr>
      <w:rPr/>
    </w:lvl>
    <w:lvl w:ilvl="8">
      <w:start w:val="1"/>
      <w:numFmt w:val="decimal"/>
      <w:lvlText w:val="%1.%2.%3.%4.%5.%6.%7.%8.%9."/>
      <w:lvlJc w:val="start"/>
      <w:pPr>
        <w:tabs>
          <w:tab w:val="num" w:pos="0"/>
        </w:tabs>
        <w:ind w:start="9216" w:hanging="1800"/>
      </w:pPr>
      <w:rPr/>
    </w:lvl>
  </w:abstractNum>
  <w:abstractNum w:abstractNumId="27">
    <w:lvl w:ilvl="0">
      <w:start w:val="4"/>
      <w:numFmt w:val="decimal"/>
      <w:lvlText w:val="%1"/>
      <w:lvlJc w:val="start"/>
      <w:pPr>
        <w:tabs>
          <w:tab w:val="num" w:pos="0"/>
        </w:tabs>
        <w:ind w:start="660" w:hanging="660"/>
      </w:pPr>
      <w:rPr/>
    </w:lvl>
    <w:lvl w:ilvl="1">
      <w:start w:val="1"/>
      <w:numFmt w:val="decimal"/>
      <w:lvlText w:val="%1.%2"/>
      <w:lvlJc w:val="start"/>
      <w:pPr>
        <w:tabs>
          <w:tab w:val="num" w:pos="0"/>
        </w:tabs>
        <w:ind w:start="660" w:hanging="660"/>
      </w:pPr>
      <w:rPr/>
    </w:lvl>
    <w:lvl w:ilvl="2">
      <w:start w:val="1"/>
      <w:numFmt w:val="decimal"/>
      <w:lvlText w:val="%1.%2.%3"/>
      <w:lvlJc w:val="start"/>
      <w:pPr>
        <w:tabs>
          <w:tab w:val="num" w:pos="0"/>
        </w:tabs>
        <w:ind w:start="720" w:hanging="720"/>
      </w:pPr>
      <w:rPr/>
    </w:lvl>
    <w:lvl w:ilvl="3">
      <w:start w:val="2"/>
      <w:numFmt w:val="decimal"/>
      <w:lvlText w:val="%1.%2.%3.%4"/>
      <w:lvlJc w:val="start"/>
      <w:pPr>
        <w:tabs>
          <w:tab w:val="num" w:pos="0"/>
        </w:tabs>
        <w:ind w:start="720" w:hanging="720"/>
      </w:pPr>
      <w:rPr/>
    </w:lvl>
    <w:lvl w:ilvl="4">
      <w:start w:val="1"/>
      <w:numFmt w:val="decimal"/>
      <w:lvlText w:val="%1.%2.%3.%4.%5"/>
      <w:lvlJc w:val="start"/>
      <w:pPr>
        <w:tabs>
          <w:tab w:val="num" w:pos="0"/>
        </w:tabs>
        <w:ind w:start="1080" w:hanging="1080"/>
      </w:pPr>
      <w:rPr/>
    </w:lvl>
    <w:lvl w:ilvl="5">
      <w:start w:val="1"/>
      <w:numFmt w:val="decimal"/>
      <w:lvlText w:val="%1.%2.%3.%4.%5.%6"/>
      <w:lvlJc w:val="start"/>
      <w:pPr>
        <w:tabs>
          <w:tab w:val="num" w:pos="0"/>
        </w:tabs>
        <w:ind w:start="1080" w:hanging="1080"/>
      </w:pPr>
      <w:rPr/>
    </w:lvl>
    <w:lvl w:ilvl="6">
      <w:start w:val="1"/>
      <w:numFmt w:val="decimal"/>
      <w:lvlText w:val="%1.%2.%3.%4.%5.%6.%7"/>
      <w:lvlJc w:val="start"/>
      <w:pPr>
        <w:tabs>
          <w:tab w:val="num" w:pos="0"/>
        </w:tabs>
        <w:ind w:start="1440" w:hanging="1440"/>
      </w:pPr>
      <w:rPr/>
    </w:lvl>
    <w:lvl w:ilvl="7">
      <w:start w:val="1"/>
      <w:numFmt w:val="decimal"/>
      <w:lvlText w:val="%1.%2.%3.%4.%5.%6.%7.%8"/>
      <w:lvlJc w:val="start"/>
      <w:pPr>
        <w:tabs>
          <w:tab w:val="num" w:pos="0"/>
        </w:tabs>
        <w:ind w:start="1440" w:hanging="1440"/>
      </w:pPr>
      <w:rPr/>
    </w:lvl>
    <w:lvl w:ilvl="8">
      <w:start w:val="1"/>
      <w:numFmt w:val="decimal"/>
      <w:lvlText w:val="%1.%2.%3.%4.%5.%6.%7.%8.%9"/>
      <w:lvlJc w:val="start"/>
      <w:pPr>
        <w:tabs>
          <w:tab w:val="num" w:pos="0"/>
        </w:tabs>
        <w:ind w:start="1800" w:hanging="180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4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bidi w:val="0"/>
      <w:spacing w:lineRule="auto" w:line="240"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paragraph" w:styleId="Heading1">
    <w:name w:val="heading 1"/>
    <w:basedOn w:val="Normal"/>
    <w:next w:val="Normal"/>
    <w:link w:val="1"/>
    <w:uiPriority w:val="9"/>
    <w:qFormat/>
    <w:pPr>
      <w:keepNext w:val="true"/>
      <w:keepLines/>
      <w:numPr>
        <w:ilvl w:val="0"/>
        <w:numId w:val="1"/>
      </w:numPr>
      <w:spacing w:lineRule="auto" w:line="360" w:before="240" w:after="240"/>
      <w:jc w:val="both"/>
      <w:outlineLvl w:val="0"/>
    </w:pPr>
    <w:rPr>
      <w:b/>
      <w:sz w:val="34"/>
      <w:szCs w:val="32"/>
      <w:lang w:eastAsia="en-US"/>
    </w:rPr>
  </w:style>
  <w:style w:type="paragraph" w:styleId="Heading2">
    <w:name w:val="heading 2"/>
    <w:basedOn w:val="Normal"/>
    <w:next w:val="Normal"/>
    <w:link w:val="21"/>
    <w:uiPriority w:val="9"/>
    <w:unhideWhenUsed/>
    <w:qFormat/>
    <w:pPr>
      <w:keepNext w:val="true"/>
      <w:keepLines/>
      <w:numPr>
        <w:ilvl w:val="1"/>
        <w:numId w:val="1"/>
      </w:numPr>
      <w:spacing w:lineRule="auto" w:line="360" w:before="200" w:after="200"/>
      <w:jc w:val="both"/>
      <w:outlineLvl w:val="1"/>
    </w:pPr>
    <w:rPr>
      <w:b/>
      <w:sz w:val="32"/>
      <w:szCs w:val="26"/>
      <w:lang w:eastAsia="en-US"/>
    </w:rPr>
  </w:style>
  <w:style w:type="paragraph" w:styleId="Heading3">
    <w:name w:val="heading 3"/>
    <w:basedOn w:val="Normal"/>
    <w:next w:val="Normal"/>
    <w:link w:val="3"/>
    <w:uiPriority w:val="9"/>
    <w:unhideWhenUsed/>
    <w:qFormat/>
    <w:pPr>
      <w:keepNext w:val="true"/>
      <w:keepLines/>
      <w:numPr>
        <w:ilvl w:val="2"/>
        <w:numId w:val="1"/>
      </w:numPr>
      <w:spacing w:lineRule="auto" w:line="360" w:before="160" w:after="160"/>
      <w:jc w:val="both"/>
      <w:outlineLvl w:val="2"/>
    </w:pPr>
    <w:rPr>
      <w:b/>
      <w:sz w:val="30"/>
      <w:lang w:eastAsia="en-US"/>
    </w:rPr>
  </w:style>
  <w:style w:type="paragraph" w:styleId="Heading4">
    <w:name w:val="heading 4"/>
    <w:basedOn w:val="Normal"/>
    <w:next w:val="Normal"/>
    <w:link w:val="4"/>
    <w:uiPriority w:val="9"/>
    <w:unhideWhenUsed/>
    <w:qFormat/>
    <w:pPr>
      <w:keepNext w:val="true"/>
      <w:keepLines/>
      <w:numPr>
        <w:ilvl w:val="3"/>
        <w:numId w:val="1"/>
      </w:numPr>
      <w:spacing w:lineRule="auto" w:line="360" w:before="120" w:after="120"/>
      <w:jc w:val="both"/>
      <w:outlineLvl w:val="3"/>
    </w:pPr>
    <w:rPr>
      <w:b/>
      <w:iCs/>
      <w:sz w:val="28"/>
      <w:lang w:eastAsia="en-US"/>
    </w:rPr>
  </w:style>
  <w:style w:type="paragraph" w:styleId="Heading5">
    <w:name w:val="heading 5"/>
    <w:basedOn w:val="Normal"/>
    <w:next w:val="Normal"/>
    <w:link w:val="5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Heading6">
    <w:name w:val="heading 6"/>
    <w:basedOn w:val="Normal"/>
    <w:next w:val="Normal"/>
    <w:link w:val="6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Heading7">
    <w:name w:val="heading 7"/>
    <w:basedOn w:val="Normal"/>
    <w:next w:val="Normal"/>
    <w:link w:val="7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next w:val="Normal"/>
    <w:link w:val="8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next w:val="Normal"/>
    <w:link w:val="9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5Char" w:customStyle="1">
    <w:name w:val="Heading 5 Char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 w:customStyle="1">
    <w:name w:val="Heading 6 Char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 w:customStyle="1">
    <w:name w:val="Heading 7 Char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 w:customStyle="1">
    <w:name w:val="Heading 8 Char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 w:customStyle="1">
    <w:name w:val="Heading 9 Char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 w:customStyle="1">
    <w:name w:val="Title Char"/>
    <w:basedOn w:val="DefaultParagraphFont"/>
    <w:uiPriority w:val="10"/>
    <w:qFormat/>
    <w:rPr>
      <w:sz w:val="48"/>
      <w:szCs w:val="48"/>
    </w:rPr>
  </w:style>
  <w:style w:type="character" w:styleId="SubtitleChar" w:customStyle="1">
    <w:name w:val="Subtitle Char"/>
    <w:basedOn w:val="DefaultParagraphFont"/>
    <w:uiPriority w:val="11"/>
    <w:qFormat/>
    <w:rPr>
      <w:sz w:val="24"/>
      <w:szCs w:val="24"/>
    </w:rPr>
  </w:style>
  <w:style w:type="character" w:styleId="QuoteChar" w:customStyle="1">
    <w:name w:val="Quote Char"/>
    <w:uiPriority w:val="29"/>
    <w:qFormat/>
    <w:rPr>
      <w:i/>
    </w:rPr>
  </w:style>
  <w:style w:type="character" w:styleId="IntenseQuoteChar" w:customStyle="1">
    <w:name w:val="Intense Quote Char"/>
    <w:uiPriority w:val="30"/>
    <w:qFormat/>
    <w:rPr>
      <w:i/>
    </w:rPr>
  </w:style>
  <w:style w:type="character" w:styleId="FootnoteTextChar" w:customStyle="1">
    <w:name w:val="Footnote Text Char"/>
    <w:uiPriority w:val="99"/>
    <w:qFormat/>
    <w:rPr>
      <w:sz w:val="18"/>
    </w:rPr>
  </w:style>
  <w:style w:type="character" w:styleId="EndnoteTextChar" w:customStyle="1">
    <w:name w:val="Endnote Text Char"/>
    <w:uiPriority w:val="99"/>
    <w:qFormat/>
    <w:rPr>
      <w:sz w:val="20"/>
    </w:rPr>
  </w:style>
  <w:style w:type="character" w:styleId="Heading1Char" w:customStyle="1">
    <w:name w:val="Heading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Heading2Char" w:customStyle="1">
    <w:name w:val="Heading 2 Char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Heading3Char" w:customStyle="1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 w:customStyle="1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5" w:customStyle="1">
    <w:name w:val="Заголовок 5 Знак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" w:customStyle="1">
    <w:name w:val="Заголовок 6 Знак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" w:customStyle="1">
    <w:name w:val="Заголовок 7 Знак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" w:customStyle="1">
    <w:name w:val="Заголовок 8 Знак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9" w:customStyle="1">
    <w:name w:val="Заголовок 9 Знак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Style5" w:customStyle="1">
    <w:name w:val="Заголовок Знак"/>
    <w:basedOn w:val="DefaultParagraphFont"/>
    <w:uiPriority w:val="10"/>
    <w:qFormat/>
    <w:rPr>
      <w:sz w:val="48"/>
      <w:szCs w:val="48"/>
    </w:rPr>
  </w:style>
  <w:style w:type="character" w:styleId="Style6" w:customStyle="1">
    <w:name w:val="Подзаголовок Знак"/>
    <w:basedOn w:val="DefaultParagraphFont"/>
    <w:uiPriority w:val="11"/>
    <w:qFormat/>
    <w:rPr>
      <w:sz w:val="24"/>
      <w:szCs w:val="24"/>
    </w:rPr>
  </w:style>
  <w:style w:type="character" w:styleId="2" w:customStyle="1">
    <w:name w:val="Цитата 2 Знак"/>
    <w:link w:val="Quote"/>
    <w:uiPriority w:val="29"/>
    <w:qFormat/>
    <w:rPr>
      <w:i/>
    </w:rPr>
  </w:style>
  <w:style w:type="character" w:styleId="Style7" w:customStyle="1">
    <w:name w:val="Выделенная цитата Знак"/>
    <w:link w:val="IntenseQuote"/>
    <w:uiPriority w:val="30"/>
    <w:qFormat/>
    <w:rPr>
      <w:i/>
    </w:rPr>
  </w:style>
  <w:style w:type="character" w:styleId="HeaderChar" w:customStyle="1">
    <w:name w:val="Header Char"/>
    <w:basedOn w:val="DefaultParagraphFont"/>
    <w:uiPriority w:val="99"/>
    <w:qFormat/>
    <w:rPr/>
  </w:style>
  <w:style w:type="character" w:styleId="FooterChar" w:customStyle="1">
    <w:name w:val="Footer Char"/>
    <w:basedOn w:val="DefaultParagraphFont"/>
    <w:uiPriority w:val="99"/>
    <w:qFormat/>
    <w:rPr/>
  </w:style>
  <w:style w:type="character" w:styleId="Style8" w:customStyle="1">
    <w:name w:val="Название объекта Знак"/>
    <w:uiPriority w:val="99"/>
    <w:qFormat/>
    <w:rPr/>
  </w:style>
  <w:style w:type="character" w:styleId="Style9" w:customStyle="1">
    <w:name w:val="Текст сноски Знак"/>
    <w:uiPriority w:val="99"/>
    <w:qFormat/>
    <w:rPr>
      <w:sz w:val="18"/>
    </w:rPr>
  </w:style>
  <w:style w:type="character" w:styleId="Style10">
    <w:name w:val="Символ сноски"/>
    <w:basedOn w:val="DefaultParagraphFont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1" w:customStyle="1">
    <w:name w:val="Текст концевой сноски Знак"/>
    <w:uiPriority w:val="99"/>
    <w:qFormat/>
    <w:rPr>
      <w:sz w:val="20"/>
    </w:rPr>
  </w:style>
  <w:style w:type="character" w:styleId="Style12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1" w:customStyle="1">
    <w:name w:val="Заголовок 1 Знак"/>
    <w:basedOn w:val="DefaultParagraphFont"/>
    <w:uiPriority w:val="9"/>
    <w:qFormat/>
    <w:rPr>
      <w:rFonts w:ascii="Times New Roman" w:hAnsi="Times New Roman" w:eastAsia="Times New Roman" w:cs="Times New Roman"/>
      <w:b/>
      <w:sz w:val="34"/>
      <w:szCs w:val="32"/>
    </w:rPr>
  </w:style>
  <w:style w:type="character" w:styleId="21" w:customStyle="1">
    <w:name w:val="Заголовок 2 Знак"/>
    <w:basedOn w:val="DefaultParagraphFont"/>
    <w:uiPriority w:val="9"/>
    <w:qFormat/>
    <w:rPr>
      <w:rFonts w:ascii="Times New Roman" w:hAnsi="Times New Roman" w:eastAsia="Times New Roman" w:cs="Times New Roman"/>
      <w:b/>
      <w:sz w:val="32"/>
      <w:szCs w:val="26"/>
    </w:rPr>
  </w:style>
  <w:style w:type="character" w:styleId="3" w:customStyle="1">
    <w:name w:val="Заголовок 3 Знак"/>
    <w:basedOn w:val="DefaultParagraphFont"/>
    <w:uiPriority w:val="9"/>
    <w:qFormat/>
    <w:rPr>
      <w:rFonts w:ascii="Times New Roman" w:hAnsi="Times New Roman" w:eastAsia="Times New Roman" w:cs="Times New Roman"/>
      <w:b/>
      <w:sz w:val="30"/>
      <w:szCs w:val="24"/>
    </w:rPr>
  </w:style>
  <w:style w:type="character" w:styleId="4" w:customStyle="1">
    <w:name w:val="Заголовок 4 Знак"/>
    <w:basedOn w:val="DefaultParagraphFont"/>
    <w:uiPriority w:val="9"/>
    <w:qFormat/>
    <w:rPr>
      <w:rFonts w:ascii="Times New Roman" w:hAnsi="Times New Roman" w:eastAsia="Times New Roman" w:cs="Times New Roman"/>
      <w:b/>
      <w:iCs/>
      <w:sz w:val="28"/>
      <w:szCs w:val="24"/>
    </w:rPr>
  </w:style>
  <w:style w:type="character" w:styleId="Hyperlink">
    <w:name w:val="Hyperlink"/>
    <w:basedOn w:val="DefaultParagraphFont"/>
    <w:uiPriority w:val="99"/>
    <w:rPr>
      <w:color w:themeColor="hyperlink" w:val="0563C1"/>
      <w:u w:val="single"/>
    </w:rPr>
  </w:style>
  <w:style w:type="character" w:styleId="Style13" w:customStyle="1">
    <w:name w:val="Основной текст Знак"/>
    <w:basedOn w:val="DefaultParagraphFont"/>
    <w:qFormat/>
    <w:rPr>
      <w:rFonts w:ascii="Times New Roman" w:hAnsi="Times New Roman" w:eastAsia="Times New Roman" w:cs="Times New Roman"/>
      <w:color w:val="00000A"/>
      <w:sz w:val="24"/>
      <w:szCs w:val="24"/>
      <w:lang w:eastAsia="zh-CN"/>
    </w:rPr>
  </w:style>
  <w:style w:type="character" w:styleId="Style14" w:customStyle="1">
    <w:name w:val="Без интервала Знак"/>
    <w:link w:val="NoSpacing"/>
    <w:uiPriority w:val="1"/>
    <w:qFormat/>
    <w:rPr>
      <w:rFonts w:ascii="Times New Roman" w:hAnsi="Times New Roman" w:eastAsia="Times New Roman" w:cs="Times New Roman"/>
      <w:sz w:val="24"/>
      <w:szCs w:val="24"/>
      <w:lang w:eastAsia="ar-SA"/>
    </w:rPr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Pr>
      <w:rFonts w:ascii="Segoe UI" w:hAnsi="Segoe UI" w:eastAsia="Times New Roman" w:cs="Segoe UI"/>
      <w:sz w:val="18"/>
      <w:szCs w:val="18"/>
      <w:lang w:eastAsia="ru-RU"/>
    </w:rPr>
  </w:style>
  <w:style w:type="character" w:styleId="Style16" w:customStyle="1">
    <w:name w:val="Верхний колонтитул Знак"/>
    <w:basedOn w:val="DefaultParagraphFont"/>
    <w:uiPriority w:val="99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7" w:customStyle="1">
    <w:name w:val="Нижний колонтитул Знак"/>
    <w:basedOn w:val="DefaultParagraphFont"/>
    <w:uiPriority w:val="99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8" w:customStyle="1">
    <w:name w:val="Абзац списка Знак"/>
    <w:link w:val="ListParagraph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CharChar" w:customStyle="1">
    <w:name w:val="Обычный Char Char"/>
    <w:link w:val="11"/>
    <w:qFormat/>
    <w:rPr>
      <w:rFonts w:ascii="Times New Roman" w:hAnsi="Times New Roman" w:eastAsia="Calibri" w:cs="Tahoma"/>
      <w:color w:val="00000A"/>
      <w:sz w:val="24"/>
      <w:szCs w:val="24"/>
      <w:lang w:eastAsia="zh-CN"/>
    </w:rPr>
  </w:style>
  <w:style w:type="character" w:styleId="WW8Num2z5" w:customStyle="1">
    <w:name w:val="WW8Num2z5"/>
    <w:qFormat/>
    <w:rPr/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character" w:styleId="Style19" w:customStyle="1">
    <w:name w:val="Текст примечания Знак"/>
    <w:basedOn w:val="DefaultParagraphFont"/>
    <w:uiPriority w:val="99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20" w:customStyle="1">
    <w:name w:val="Тема примечания Знак"/>
    <w:basedOn w:val="Style19"/>
    <w:link w:val="annotationsubject"/>
    <w:uiPriority w:val="99"/>
    <w:semiHidden/>
    <w:qFormat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styleId="basictext" w:customStyle="1">
    <w:name w:val="basic_text Знак"/>
    <w:link w:val="basictext1"/>
    <w:qFormat/>
    <w:rPr>
      <w:rFonts w:ascii="Times New Roman" w:hAnsi="Times New Roman" w:eastAsia="Times New Roman" w:cs="Times New Roman"/>
      <w:sz w:val="24"/>
      <w:szCs w:val="28"/>
      <w:lang w:eastAsia="ja-JP"/>
    </w:rPr>
  </w:style>
  <w:style w:type="paragraph" w:styleId="Style2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BodyText">
    <w:name w:val="Body Text"/>
    <w:basedOn w:val="Normal"/>
    <w:link w:val="Style13"/>
    <w:pPr>
      <w:spacing w:before="0" w:after="120"/>
    </w:pPr>
    <w:rPr>
      <w:color w:val="00000A"/>
      <w:lang w:eastAsia="zh-CN"/>
    </w:rPr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next w:val="Normal"/>
    <w:link w:val="Style8"/>
    <w:uiPriority w:val="35"/>
    <w:qFormat/>
    <w:pPr>
      <w:keepNext w:val="true"/>
      <w:spacing w:lineRule="auto" w:line="360" w:before="120" w:after="60"/>
      <w:outlineLvl w:val="4"/>
    </w:pPr>
    <w:rPr>
      <w:rFonts w:eastAsia="Calibri" w:cs="Arial" w:cstheme="minorBidi" w:eastAsiaTheme="minorHAnsi"/>
      <w:iCs/>
      <w:szCs w:val="18"/>
      <w:lang w:eastAsia="en-US"/>
    </w:rPr>
  </w:style>
  <w:style w:type="paragraph" w:styleId="Style22">
    <w:name w:val="Указатель"/>
    <w:basedOn w:val="Normal"/>
    <w:qFormat/>
    <w:pPr>
      <w:suppressLineNumbers/>
    </w:pPr>
    <w:rPr>
      <w:rFonts w:cs="Noto Sans"/>
    </w:rPr>
  </w:style>
  <w:style w:type="paragraph" w:styleId="ListParagraph">
    <w:name w:val="List Paragraph"/>
    <w:basedOn w:val="Normal"/>
    <w:link w:val="Style18"/>
    <w:qFormat/>
    <w:pPr>
      <w:spacing w:before="0" w:after="0"/>
      <w:ind w:start="720"/>
      <w:contextualSpacing/>
    </w:pPr>
    <w:rPr/>
  </w:style>
  <w:style w:type="paragraph" w:styleId="Title">
    <w:name w:val="Title"/>
    <w:basedOn w:val="Normal"/>
    <w:next w:val="Normal"/>
    <w:link w:val="Style5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next w:val="Normal"/>
    <w:link w:val="Style6"/>
    <w:uiPriority w:val="11"/>
    <w:qFormat/>
    <w:pPr>
      <w:spacing w:before="200" w:after="200"/>
    </w:pPr>
    <w:rPr/>
  </w:style>
  <w:style w:type="paragraph" w:styleId="Quote">
    <w:name w:val="Quote"/>
    <w:basedOn w:val="Normal"/>
    <w:next w:val="Normal"/>
    <w:link w:val="2"/>
    <w:uiPriority w:val="29"/>
    <w:qFormat/>
    <w:pPr>
      <w:ind w:start="720" w:end="720"/>
    </w:pPr>
    <w:rPr>
      <w:i/>
    </w:rPr>
  </w:style>
  <w:style w:type="paragraph" w:styleId="IntenseQuote">
    <w:name w:val="Intense Quote"/>
    <w:basedOn w:val="Normal"/>
    <w:next w:val="Normal"/>
    <w:link w:val="Style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start="720" w:end="720"/>
    </w:pPr>
    <w:rPr>
      <w:i/>
    </w:rPr>
  </w:style>
  <w:style w:type="paragraph" w:styleId="FootnoteText">
    <w:name w:val="footnote text"/>
    <w:basedOn w:val="Normal"/>
    <w:link w:val="Style9"/>
    <w:uiPriority w:val="99"/>
    <w:semiHidden/>
    <w:unhideWhenUsed/>
    <w:pPr>
      <w:spacing w:before="0" w:after="40"/>
    </w:pPr>
    <w:rPr>
      <w:sz w:val="18"/>
    </w:rPr>
  </w:style>
  <w:style w:type="paragraph" w:styleId="EndnoteText">
    <w:name w:val="endnote text"/>
    <w:basedOn w:val="Normal"/>
    <w:link w:val="Style11"/>
    <w:uiPriority w:val="99"/>
    <w:semiHidden/>
    <w:unhideWhenUsed/>
    <w:pPr/>
    <w:rPr>
      <w:sz w:val="20"/>
    </w:rPr>
  </w:style>
  <w:style w:type="paragraph" w:styleId="TOC3">
    <w:name w:val="toc 3"/>
    <w:basedOn w:val="Normal"/>
    <w:next w:val="Normal"/>
    <w:uiPriority w:val="39"/>
    <w:unhideWhenUsed/>
    <w:pPr>
      <w:spacing w:before="0" w:after="57"/>
      <w:ind w:start="567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57"/>
      <w:ind w:start="85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57"/>
      <w:ind w:start="1134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57"/>
      <w:ind w:start="1417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57"/>
      <w:ind w:start="1701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57"/>
      <w:ind w:start="1984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57"/>
      <w:ind w:start="2268"/>
    </w:pPr>
    <w:rPr/>
  </w:style>
  <w:style w:type="paragraph" w:styleId="TableofFigures">
    <w:name w:val="table of figures"/>
    <w:basedOn w:val="Normal"/>
    <w:next w:val="Normal"/>
    <w:uiPriority w:val="99"/>
    <w:unhideWhenUsed/>
    <w:pPr/>
    <w:rPr/>
  </w:style>
  <w:style w:type="paragraph" w:styleId="IndexHeading">
    <w:name w:val="index heading"/>
    <w:basedOn w:val="Style21"/>
    <w:pPr/>
    <w:rPr/>
  </w:style>
  <w:style w:type="paragraph" w:styleId="TOCHeading">
    <w:name w:val="TOC Heading"/>
    <w:basedOn w:val="Normal"/>
    <w:next w:val="Normal"/>
    <w:uiPriority w:val="39"/>
    <w:qFormat/>
    <w:pPr>
      <w:keepNext w:val="true"/>
      <w:pageBreakBefore/>
      <w:spacing w:lineRule="auto" w:line="360" w:before="240" w:after="240"/>
      <w:jc w:val="center"/>
    </w:pPr>
    <w:rPr>
      <w:rFonts w:eastAsia="Calibri" w:cs="Arial" w:cstheme="minorBidi" w:eastAsiaTheme="minorHAnsi"/>
      <w:b/>
      <w:sz w:val="34"/>
      <w:lang w:eastAsia="en-US"/>
    </w:rPr>
  </w:style>
  <w:style w:type="paragraph" w:styleId="Style23" w:customStyle="1">
    <w:name w:val="Обычный без отрыва от следующего"/>
    <w:basedOn w:val="Normal"/>
    <w:qFormat/>
    <w:pPr>
      <w:keepNext w:val="true"/>
      <w:spacing w:lineRule="auto" w:line="360" w:before="60" w:after="60"/>
      <w:ind w:firstLine="709"/>
      <w:jc w:val="both"/>
    </w:pPr>
    <w:rPr>
      <w:rFonts w:eastAsia="Calibri" w:cs="Arial" w:cstheme="minorBidi" w:eastAsiaTheme="minorHAnsi"/>
      <w:lang w:eastAsia="en-US"/>
    </w:rPr>
  </w:style>
  <w:style w:type="paragraph" w:styleId="Style24" w:customStyle="1">
    <w:name w:val="Обычный. Список маркированный"/>
    <w:basedOn w:val="Normal"/>
    <w:qFormat/>
    <w:pPr>
      <w:numPr>
        <w:ilvl w:val="0"/>
        <w:numId w:val="2"/>
      </w:numPr>
      <w:spacing w:lineRule="auto" w:line="360" w:before="60" w:after="60"/>
      <w:jc w:val="both"/>
    </w:pPr>
    <w:rPr>
      <w:rFonts w:eastAsia="Calibri" w:cs="Arial" w:cstheme="minorBidi" w:eastAsiaTheme="minorHAnsi"/>
      <w:lang w:eastAsia="en-US"/>
    </w:rPr>
  </w:style>
  <w:style w:type="paragraph" w:styleId="Style25" w:customStyle="1">
    <w:name w:val="Обычный. Список нумерованный"/>
    <w:basedOn w:val="Normal"/>
    <w:qFormat/>
    <w:pPr>
      <w:numPr>
        <w:ilvl w:val="0"/>
        <w:numId w:val="3"/>
      </w:numPr>
      <w:spacing w:lineRule="auto" w:line="360" w:before="60" w:after="60"/>
      <w:jc w:val="both"/>
    </w:pPr>
    <w:rPr>
      <w:rFonts w:eastAsia="Calibri" w:cs="Arial" w:cstheme="minorBidi" w:eastAsiaTheme="minorHAnsi"/>
      <w:lang w:eastAsia="en-US"/>
    </w:rPr>
  </w:style>
  <w:style w:type="paragraph" w:styleId="TOC1">
    <w:name w:val="toc 1"/>
    <w:basedOn w:val="Normal"/>
    <w:next w:val="Normal"/>
    <w:uiPriority w:val="39"/>
    <w:unhideWhenUsed/>
    <w:pPr>
      <w:spacing w:lineRule="auto" w:line="360" w:before="60" w:after="60"/>
      <w:jc w:val="both"/>
    </w:pPr>
    <w:rPr>
      <w:rFonts w:eastAsia="Calibri" w:cs="Arial" w:cstheme="minorBidi" w:eastAsiaTheme="minorHAnsi"/>
      <w:lang w:eastAsia="en-US"/>
    </w:rPr>
  </w:style>
  <w:style w:type="paragraph" w:styleId="TOC2">
    <w:name w:val="toc 2"/>
    <w:basedOn w:val="Normal"/>
    <w:next w:val="Normal"/>
    <w:uiPriority w:val="39"/>
    <w:unhideWhenUsed/>
    <w:pPr>
      <w:spacing w:lineRule="auto" w:line="360" w:before="60" w:after="60"/>
      <w:ind w:start="284"/>
      <w:jc w:val="both"/>
    </w:pPr>
    <w:rPr>
      <w:rFonts w:eastAsia="Calibri" w:cs="Arial" w:cstheme="minorBidi" w:eastAsiaTheme="minorHAnsi"/>
      <w:lang w:eastAsia="en-US"/>
    </w:rPr>
  </w:style>
  <w:style w:type="paragraph" w:styleId="Style26" w:customStyle="1">
    <w:name w:val="Таблица. Текст"/>
    <w:basedOn w:val="Normal"/>
    <w:qFormat/>
    <w:pPr>
      <w:spacing w:before="60" w:after="60"/>
    </w:pPr>
    <w:rPr>
      <w:rFonts w:eastAsia="Calibri" w:cs="Arial" w:cstheme="minorBidi" w:eastAsiaTheme="minorHAnsi"/>
      <w:sz w:val="22"/>
      <w:lang w:eastAsia="en-US"/>
    </w:rPr>
  </w:style>
  <w:style w:type="paragraph" w:styleId="Style27" w:customStyle="1">
    <w:name w:val="маркированный"/>
    <w:basedOn w:val="Normal"/>
    <w:qFormat/>
    <w:pPr>
      <w:tabs>
        <w:tab w:val="clear" w:pos="708"/>
        <w:tab w:val="left" w:pos="-436" w:leader="none"/>
      </w:tabs>
      <w:spacing w:before="0" w:after="120"/>
      <w:jc w:val="both"/>
    </w:pPr>
    <w:rPr>
      <w:color w:val="00000A"/>
      <w:lang w:eastAsia="zh-CN"/>
    </w:rPr>
  </w:style>
  <w:style w:type="paragraph" w:styleId="11" w:customStyle="1">
    <w:name w:val="Обычный1"/>
    <w:link w:val="CharChar"/>
    <w:qFormat/>
    <w:pPr>
      <w:widowControl/>
      <w:bidi w:val="0"/>
      <w:spacing w:lineRule="auto" w:line="240" w:before="0" w:after="0"/>
      <w:jc w:val="start"/>
    </w:pPr>
    <w:rPr>
      <w:rFonts w:ascii="Times New Roman" w:hAnsi="Times New Roman" w:eastAsia="Calibri" w:cs="Tahoma"/>
      <w:color w:val="00000A"/>
      <w:kern w:val="0"/>
      <w:sz w:val="24"/>
      <w:szCs w:val="24"/>
      <w:lang w:eastAsia="zh-CN" w:val="ru-RU" w:bidi="ar-SA"/>
    </w:rPr>
  </w:style>
  <w:style w:type="paragraph" w:styleId="Standard" w:customStyle="1">
    <w:name w:val="Standard"/>
    <w:qFormat/>
    <w:pPr>
      <w:widowControl/>
      <w:bidi w:val="0"/>
      <w:spacing w:lineRule="auto" w:line="240" w:before="0" w:after="0"/>
      <w:jc w:val="start"/>
    </w:pPr>
    <w:rPr>
      <w:rFonts w:ascii="Arial" w:hAnsi="Arial" w:eastAsia="Calibri" w:cs="Tahoma"/>
      <w:color w:val="00000A"/>
      <w:kern w:val="0"/>
      <w:sz w:val="24"/>
      <w:szCs w:val="24"/>
      <w:lang w:eastAsia="zh-CN" w:val="ru-RU" w:bidi="ar-SA"/>
    </w:rPr>
  </w:style>
  <w:style w:type="paragraph" w:styleId="NoSpacing">
    <w:name w:val="No Spacing"/>
    <w:link w:val="Style14"/>
    <w:uiPriority w:val="1"/>
    <w:qFormat/>
    <w:pPr>
      <w:widowControl/>
      <w:bidi w:val="0"/>
      <w:spacing w:lineRule="auto" w:line="240" w:before="0" w:after="0"/>
      <w:ind w:firstLine="709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ar-SA" w:val="ru-RU" w:bidi="ar-SA"/>
    </w:rPr>
  </w:style>
  <w:style w:type="paragraph" w:styleId="Default" w:customStyle="1">
    <w:name w:val="Default"/>
    <w:qFormat/>
    <w:pPr>
      <w:widowControl/>
      <w:bidi w:val="0"/>
      <w:spacing w:lineRule="auto" w:line="240" w:before="0" w:after="0"/>
      <w:jc w:val="start"/>
    </w:pPr>
    <w:rPr>
      <w:rFonts w:ascii="Times New Roman" w:hAnsi="Times New Roman" w:cs="Times New Roman" w:eastAsia="Calibri"/>
      <w:color w:val="000000"/>
      <w:kern w:val="0"/>
      <w:sz w:val="24"/>
      <w:szCs w:val="24"/>
      <w:lang w:val="ru-RU" w:eastAsia="en-US" w:bidi="ar-SA"/>
    </w:rPr>
  </w:style>
  <w:style w:type="paragraph" w:styleId="Revision">
    <w:name w:val="Revision"/>
    <w:uiPriority w:val="99"/>
    <w:semiHidden/>
    <w:qFormat/>
    <w:pPr>
      <w:widowControl/>
      <w:bidi w:val="0"/>
      <w:spacing w:lineRule="auto" w:line="240"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paragraph" w:styleId="BalloonText">
    <w:name w:val="Balloon Text"/>
    <w:basedOn w:val="Normal"/>
    <w:link w:val="Style15"/>
    <w:uiPriority w:val="99"/>
    <w:semiHidden/>
    <w:unhideWhenUsed/>
    <w:qFormat/>
    <w:pPr/>
    <w:rPr>
      <w:rFonts w:ascii="Segoe UI" w:hAnsi="Segoe UI" w:cs="Segoe UI"/>
      <w:sz w:val="18"/>
      <w:szCs w:val="18"/>
    </w:rPr>
  </w:style>
  <w:style w:type="paragraph" w:styleId="Style28">
    <w:name w:val="Колонтитулы"/>
    <w:basedOn w:val="Normal"/>
    <w:qFormat/>
    <w:pPr/>
    <w:rPr/>
  </w:style>
  <w:style w:type="paragraph" w:styleId="Header">
    <w:name w:val="header"/>
    <w:basedOn w:val="Normal"/>
    <w:link w:val="Style16"/>
    <w:uiPriority w:val="99"/>
    <w:unhideWhenUsed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7"/>
    <w:uiPriority w:val="99"/>
    <w:unhideWhenUsed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9" w:customStyle="1">
    <w:name w:val="Абзац нумерованный"/>
    <w:basedOn w:val="Normal"/>
    <w:qFormat/>
    <w:pPr>
      <w:numPr>
        <w:ilvl w:val="0"/>
        <w:numId w:val="8"/>
      </w:numPr>
      <w:spacing w:lineRule="auto" w:line="276" w:before="0" w:after="60"/>
      <w:jc w:val="both"/>
    </w:pPr>
    <w:rPr/>
  </w:style>
  <w:style w:type="paragraph" w:styleId="Index7">
    <w:name w:val="index 7"/>
    <w:basedOn w:val="Normal"/>
    <w:next w:val="Normal"/>
    <w:semiHidden/>
    <w:qFormat/>
    <w:pPr>
      <w:ind w:hanging="240" w:start="1680"/>
    </w:pPr>
    <w:rPr>
      <w:szCs w:val="20"/>
    </w:rPr>
  </w:style>
  <w:style w:type="paragraph" w:styleId="5190" w:customStyle="1">
    <w:name w:val="5190"/>
    <w:basedOn w:val="Normal"/>
    <w:qFormat/>
    <w:pPr>
      <w:spacing w:beforeAutospacing="1" w:afterAutospacing="1"/>
    </w:pPr>
    <w:rPr/>
  </w:style>
  <w:style w:type="paragraph" w:styleId="CommentText">
    <w:name w:val="annotation text"/>
    <w:basedOn w:val="Normal"/>
    <w:link w:val="Style19"/>
    <w:uiPriority w:val="99"/>
    <w:unhideWhenUsed/>
    <w:pPr/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Style20"/>
    <w:uiPriority w:val="99"/>
    <w:semiHidden/>
    <w:unhideWhenUsed/>
    <w:qFormat/>
    <w:pPr/>
    <w:rPr>
      <w:b/>
      <w:bCs/>
    </w:rPr>
  </w:style>
  <w:style w:type="paragraph" w:styleId="docdata" w:customStyle="1">
    <w:name w:val="docdata"/>
    <w:basedOn w:val="Normal"/>
    <w:qFormat/>
    <w:pPr>
      <w:spacing w:beforeAutospacing="1" w:afterAutospacing="1"/>
    </w:pPr>
    <w:rPr/>
  </w:style>
  <w:style w:type="paragraph" w:styleId="NormalWeb">
    <w:name w:val="Normal (Web)"/>
    <w:basedOn w:val="Normal"/>
    <w:unhideWhenUsed/>
    <w:qFormat/>
    <w:pPr>
      <w:spacing w:beforeAutospacing="1" w:afterAutospacing="1"/>
    </w:pPr>
    <w:rPr/>
  </w:style>
  <w:style w:type="paragraph" w:styleId="basictext1" w:customStyle="1">
    <w:name w:val="basic_text"/>
    <w:basedOn w:val="Normal"/>
    <w:link w:val="basictext"/>
    <w:qFormat/>
    <w:pPr>
      <w:spacing w:lineRule="auto" w:line="360" w:before="0" w:after="120"/>
      <w:ind w:firstLine="709"/>
      <w:jc w:val="both"/>
    </w:pPr>
    <w:rPr>
      <w:szCs w:val="28"/>
      <w:lang w:eastAsia="ja-JP"/>
    </w:rPr>
  </w:style>
  <w:style w:type="paragraph" w:styleId="StandardWW" w:customStyle="1">
    <w:name w:val="Standard (WW)"/>
    <w:qFormat/>
    <w:pPr>
      <w:widowControl w:val="false"/>
      <w:bidi w:val="0"/>
      <w:spacing w:lineRule="auto" w:line="240" w:before="0" w:after="200"/>
      <w:jc w:val="start"/>
    </w:pPr>
    <w:rPr>
      <w:rFonts w:ascii="Liberation Serif" w:hAnsi="Liberation Serif" w:eastAsia="NSimSun" w:cs="Lucida Sans"/>
      <w:color w:val="auto"/>
      <w:kern w:val="0"/>
      <w:sz w:val="24"/>
      <w:szCs w:val="24"/>
      <w:lang w:eastAsia="zh-CN" w:bidi="hi-IN" w:val="ru-RU"/>
    </w:rPr>
  </w:style>
  <w:style w:type="numbering" w:styleId="Style30" w:default="1">
    <w:name w:val="Без списка"/>
    <w:uiPriority w:val="99"/>
    <w:semiHidden/>
    <w:unhideWhenUsed/>
    <w:qFormat/>
  </w:style>
  <w:style w:type="numbering" w:styleId="Style31" w:customStyle="1">
    <w:name w:val="Обычный. Список. Маркированный"/>
    <w:uiPriority w:val="99"/>
    <w:qFormat/>
  </w:style>
  <w:style w:type="numbering" w:styleId="Style32" w:customStyle="1">
    <w:name w:val="Обычный. Список. Нумерованный"/>
    <w:uiPriority w:val="99"/>
    <w:qFormat/>
  </w:style>
  <w:style w:type="table" w:default="1" w:styleId="a6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2">
    <w:name w:val="Table Grid"/>
    <w:basedOn w:val="a6"/>
    <w:uiPriority w:val="9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TableGridLight">
    <w:name w:val="Table Grid Light"/>
    <w:basedOn w:val="a6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11">
    <w:name w:val="Plain Table 1"/>
    <w:basedOn w:val="a6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firstRow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styleId="23">
    <w:name w:val="Plain Table 2"/>
    <w:basedOn w:val="a6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styleId="31">
    <w:name w:val="Plain Table 3"/>
    <w:basedOn w:val="a6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</w:rPr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styleId="41">
    <w:name w:val="Plain Table 4"/>
    <w:basedOn w:val="a6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styleId="51">
    <w:name w:val="Plain Table 5"/>
    <w:basedOn w:val="a6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styleId="-1">
    <w:name w:val="Grid Table 1 Light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firstRow">
      <w:rPr>
        <w:b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firstRow">
      <w:rPr>
        <w:b/>
      </w:rPr>
      <w:tblPr/>
      <w:tcPr>
        <w:tcBorders>
          <w:bottom w:val="single" w:color="9EC4E6" w:themeColor="accen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CD6EE" w:themeColor="accent1" w:sz="4" w:space="0"/>
          <w:left w:val="single" w:color="BCD6EE" w:themeColor="accent1" w:sz="4" w:space="0"/>
          <w:bottom w:val="single" w:color="BCD6EE" w:themeColor="accent1" w:sz="4" w:space="0"/>
          <w:right w:val="single" w:color="BCD6EE" w:themeColor="accent1" w:sz="4" w:space="0"/>
        </w:tcBorders>
      </w:tcPr>
    </w:tblStylePr>
  </w:style>
  <w:style w:type="table" w:customStyle="1" w:styleId="GridTable1Light-Accent2">
    <w:name w:val="Grid Table 1 Light - Accent 2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b/>
      </w:rPr>
      <w:tblPr/>
      <w:tcPr>
        <w:tcBorders>
          <w:bottom w:val="single" w:color="F4B286" w:themeColor="accent2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7CAAB" w:themeColor="accent2" w:sz="4" w:space="0"/>
          <w:left w:val="single" w:color="F7CAAB" w:themeColor="accent2" w:sz="4" w:space="0"/>
          <w:bottom w:val="single" w:color="F7CAAB" w:themeColor="accent2" w:sz="4" w:space="0"/>
          <w:right w:val="single" w:color="F7CAAB" w:themeColor="accent2" w:sz="4" w:space="0"/>
        </w:tcBorders>
      </w:tcPr>
    </w:tblStylePr>
  </w:style>
  <w:style w:type="table" w:customStyle="1" w:styleId="GridTable1Light-Accent3">
    <w:name w:val="Grid Table 1 Light - Accent 3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b/>
      </w:rPr>
      <w:tblPr/>
      <w:tcPr>
        <w:tcBorders>
          <w:bottom w:val="single" w:color="CACACA" w:themeColor="accent3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DADADA" w:themeColor="accent3" w:sz="4" w:space="0"/>
          <w:left w:val="single" w:color="DADADA" w:themeColor="accent3" w:sz="4" w:space="0"/>
          <w:bottom w:val="single" w:color="DADADA" w:themeColor="accent3" w:sz="4" w:space="0"/>
          <w:right w:val="single" w:color="DADADA" w:themeColor="accent3" w:sz="4" w:space="0"/>
        </w:tcBorders>
      </w:tcPr>
    </w:tblStylePr>
  </w:style>
  <w:style w:type="table" w:customStyle="1" w:styleId="GridTable1Light-Accent4">
    <w:name w:val="Grid Table 1 Light - Accent 4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firstRow">
      <w:rPr>
        <w:b/>
      </w:rPr>
      <w:tblPr/>
      <w:tcPr>
        <w:tcBorders>
          <w:bottom w:val="single" w:color="FFDA6A" w:themeColor="accent4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FE598" w:themeColor="accent4" w:sz="4" w:space="0"/>
          <w:left w:val="single" w:color="FFE598" w:themeColor="accent4" w:sz="4" w:space="0"/>
          <w:bottom w:val="single" w:color="FFE598" w:themeColor="accent4" w:sz="4" w:space="0"/>
          <w:right w:val="single" w:color="FFE598" w:themeColor="accent4" w:sz="4" w:space="0"/>
        </w:tcBorders>
      </w:tcPr>
    </w:tblStylePr>
  </w:style>
  <w:style w:type="table" w:customStyle="1" w:styleId="GridTable1Light-Accent5">
    <w:name w:val="Grid Table 1 Light - Accent 5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firstRow">
      <w:rPr>
        <w:b/>
      </w:rPr>
      <w:tblPr/>
      <w:tcPr>
        <w:tcBorders>
          <w:bottom w:val="single" w:color="91ACDC" w:themeColor="accent5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3C5E7" w:themeColor="accent5" w:sz="4" w:space="0"/>
          <w:left w:val="single" w:color="B3C5E7" w:themeColor="accent5" w:sz="4" w:space="0"/>
          <w:bottom w:val="single" w:color="B3C5E7" w:themeColor="accent5" w:sz="4" w:space="0"/>
          <w:right w:val="single" w:color="B3C5E7" w:themeColor="accent5" w:sz="4" w:space="0"/>
        </w:tcBorders>
      </w:tcPr>
    </w:tblStylePr>
  </w:style>
  <w:style w:type="table" w:customStyle="1" w:styleId="GridTable1Light-Accent6">
    <w:name w:val="Grid Table 1 Light - Accent 6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b/>
      </w:rPr>
      <w:tblPr/>
      <w:tcPr>
        <w:tcBorders>
          <w:bottom w:val="single" w:color="AAD190" w:themeColor="accent6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C4DFB2" w:themeColor="accent6" w:sz="4" w:space="0"/>
          <w:left w:val="single" w:color="C4DFB2" w:themeColor="accent6" w:sz="4" w:space="0"/>
          <w:bottom w:val="single" w:color="C4DFB2" w:themeColor="accent6" w:sz="4" w:space="0"/>
          <w:right w:val="single" w:color="C4DFB2" w:themeColor="accent6" w:sz="4" w:space="0"/>
        </w:tcBorders>
      </w:tcPr>
    </w:tblStylePr>
  </w:style>
  <w:style w:type="table" w:styleId="-2">
    <w:name w:val="Grid Table 2"/>
    <w:basedOn w:val="a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68A2D8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68A2D8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DEAF6" w:fill="DDEAF6" w:themeFill="accent1" w:themeFillTint="34"/>
      </w:tcPr>
    </w:tblStylePr>
    <w:tblStylePr w:type="band1Horz">
      <w:rPr>
        <w:sz w:val="22"/>
      </w:rPr>
      <w:tblPr/>
      <w:tcPr>
        <w:shd w:val="clear" w:color="DDEAF6" w:fill="DDEAF6" w:themeFill="accent1" w:themeFillTint="34"/>
      </w:tcPr>
    </w:tblStylePr>
  </w:style>
  <w:style w:type="table" w:customStyle="1" w:styleId="GridTable2-Accent2">
    <w:name w:val="Grid Table 2 - Accent 2"/>
    <w:basedOn w:val="a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4B184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4B184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2-Accent3">
    <w:name w:val="Grid Table 2 - Accent 3"/>
    <w:basedOn w:val="a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A5A5A5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2-Accent4">
    <w:name w:val="Grid Table 2 - Accent 4"/>
    <w:basedOn w:val="a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FD865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FD865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2-Accent5">
    <w:name w:val="Grid Table 2 - Accent 5"/>
    <w:basedOn w:val="a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2-Accent6">
    <w:name w:val="Grid Table 2 - Accent 6"/>
    <w:basedOn w:val="a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  <w:tcPr>
        <w:shd w:val="clear" w:color="E1EFD8" w:fill="E1EFD8" w:themeFill="accent6" w:themeFillTint="34"/>
      </w:tcPr>
    </w:tblStylePr>
  </w:style>
  <w:style w:type="table" w:styleId="-3">
    <w:name w:val="Grid Table 3"/>
    <w:basedOn w:val="a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DEAF6" w:fill="DDEAF6" w:themeFill="accent1" w:themeFillTint="34"/>
      </w:tcPr>
    </w:tblStylePr>
    <w:tblStylePr w:type="band1Horz">
      <w:rPr>
        <w:sz w:val="22"/>
      </w:rPr>
      <w:tblPr/>
      <w:tcPr>
        <w:shd w:val="clear" w:color="DDEAF6" w:fill="DDEAF6" w:themeFill="accent1" w:themeFillTint="34"/>
      </w:tcPr>
    </w:tblStylePr>
  </w:style>
  <w:style w:type="table" w:customStyle="1" w:styleId="GridTable3-Accent2">
    <w:name w:val="Grid Table 3 - Accent 2"/>
    <w:basedOn w:val="a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3-Accent3">
    <w:name w:val="Grid Table 3 - Accent 3"/>
    <w:basedOn w:val="a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3-Accent4">
    <w:name w:val="Grid Table 3 - Accent 4"/>
    <w:basedOn w:val="a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3-Accent5">
    <w:name w:val="Grid Table 3 - Accent 5"/>
    <w:basedOn w:val="a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3-Accent6">
    <w:name w:val="Grid Table 3 - Accent 6"/>
    <w:basedOn w:val="a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  <w:tcPr>
        <w:shd w:val="clear" w:color="E1EFD8" w:fill="E1EFD8" w:themeFill="accent6" w:themeFillTint="34"/>
      </w:tcPr>
    </w:tblStylePr>
  </w:style>
  <w:style w:type="table" w:styleId="-4">
    <w:name w:val="Grid Table 4"/>
    <w:basedOn w:val="a6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6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68A2D8" w:themeColor="accent1" w:sz="4" w:space="0"/>
          <w:left w:val="single" w:color="68A2D8" w:themeColor="accent1" w:sz="4" w:space="0"/>
          <w:bottom w:val="single" w:color="68A2D8" w:themeColor="accent1" w:sz="4" w:space="0"/>
          <w:right w:val="single" w:color="68A2D8" w:themeColor="accent1" w:sz="4" w:space="0"/>
        </w:tcBorders>
        <w:shd w:val="clear" w:color="68A2D8" w:fill="68A2D8" w:themeFill="accent1" w:themeFillTint="ea"/>
      </w:tcPr>
    </w:tblStylePr>
    <w:tblStylePr w:type="lastRow">
      <w:rPr>
        <w:b/>
      </w:rPr>
      <w:tblPr/>
      <w:tcPr>
        <w:tcBorders>
          <w:top w:val="single" w:color="68A2D8" w:themeColor="accen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EEBF6" w:fill="DEEBF6" w:themeFill="accent1" w:themeFillTint="32"/>
      </w:tcPr>
    </w:tblStylePr>
    <w:tblStylePr w:type="band1Horz">
      <w:rPr>
        <w:sz w:val="22"/>
      </w:rPr>
      <w:tblPr/>
      <w:tcPr>
        <w:shd w:val="clear" w:color="DEEBF6" w:fill="DEEBF6" w:themeFill="accent1" w:themeFillTint="32"/>
      </w:tcPr>
    </w:tblStylePr>
  </w:style>
  <w:style w:type="table" w:customStyle="1" w:styleId="GridTable4-Accent2">
    <w:name w:val="Grid Table 4 - Accent 2"/>
    <w:basedOn w:val="a6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F4B184" w:themeColor="accent2" w:sz="4" w:space="0"/>
          <w:left w:val="single" w:color="F4B184" w:themeColor="accent2" w:sz="4" w:space="0"/>
          <w:bottom w:val="single" w:color="F4B184" w:themeColor="accent2" w:sz="4" w:space="0"/>
          <w:right w:val="single" w:color="F4B184" w:themeColor="accent2" w:sz="4" w:space="0"/>
        </w:tcBorders>
        <w:shd w:val="clear" w:color="F4B184" w:fill="F4B184" w:themeFill="accent2" w:themeFillTint="97"/>
      </w:tcPr>
    </w:tblStylePr>
    <w:tblStylePr w:type="lastRow">
      <w:rPr>
        <w:b/>
      </w:rPr>
      <w:tblPr/>
      <w:tcPr>
        <w:tcBorders>
          <w:top w:val="single" w:color="F4B184" w:themeColor="accent2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4-Accent3">
    <w:name w:val="Grid Table 4 - Accent 3"/>
    <w:basedOn w:val="a6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  <w:shd w:val="clear" w:color="A5A5A5" w:fill="A5A5A5" w:themeFill="accent3" w:themeFillTint="fe"/>
      </w:tcPr>
    </w:tblStylePr>
    <w:tblStylePr w:type="lastRow">
      <w:rPr>
        <w:b/>
      </w:rPr>
      <w:tblPr/>
      <w:tcPr>
        <w:tcBorders>
          <w:top w:val="single" w:color="A5A5A5" w:themeColor="accent3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4-Accent4">
    <w:name w:val="Grid Table 4 - Accent 4"/>
    <w:basedOn w:val="a6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FFD865" w:themeColor="accent4" w:sz="4" w:space="0"/>
          <w:left w:val="single" w:color="FFD865" w:themeColor="accent4" w:sz="4" w:space="0"/>
          <w:bottom w:val="single" w:color="FFD865" w:themeColor="accent4" w:sz="4" w:space="0"/>
          <w:right w:val="single" w:color="FFD865" w:themeColor="accent4" w:sz="4" w:space="0"/>
        </w:tcBorders>
        <w:shd w:val="clear" w:color="FFD865" w:fill="FFD865" w:themeFill="accent4" w:themeFillTint="9a"/>
      </w:tcPr>
    </w:tblStylePr>
    <w:tblStylePr w:type="lastRow">
      <w:rPr>
        <w:b/>
      </w:rPr>
      <w:tblPr/>
      <w:tcPr>
        <w:tcBorders>
          <w:top w:val="single" w:color="FFD865" w:themeColor="accent4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4-Accent5">
    <w:name w:val="Grid Table 4 - Accent 5"/>
    <w:basedOn w:val="a6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  <w:shd w:val="clear" w:color="4472C4" w:fill="4472C4" w:themeFill="accent5"/>
      </w:tcPr>
    </w:tblStylePr>
    <w:tblStylePr w:type="lastRow">
      <w:rPr>
        <w:b/>
      </w:rPr>
      <w:tblPr/>
      <w:tcPr>
        <w:tcBorders>
          <w:top w:val="single" w:color="4472C4" w:themeColor="accent5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4-Accent6">
    <w:name w:val="Grid Table 4 - Accent 6"/>
    <w:basedOn w:val="a6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70AD47" w:fill="70AD47" w:themeFill="accent6"/>
      </w:tcPr>
    </w:tblStylePr>
    <w:tblStylePr w:type="lastRow">
      <w:rPr>
        <w:b/>
      </w:rPr>
      <w:tblPr/>
      <w:tcPr>
        <w:tcBorders>
          <w:top w:val="single" w:color="70AD47" w:themeColor="accent6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  <w:tcPr>
        <w:shd w:val="clear" w:color="E1EFD8" w:fill="E1EFD8" w:themeFill="accent6" w:themeFillTint="34"/>
      </w:tcPr>
    </w:tblStylePr>
  </w:style>
  <w:style w:type="table" w:styleId="-5">
    <w:name w:val="Grid Table 5 Dark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5B9BD5" w:fill="5B9BD5" w:themeFill="accen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5B9BD5" w:fill="5B9BD5" w:themeFill="accent1"/>
      </w:tcPr>
    </w:tblStylePr>
    <w:tblStylePr w:type="firstCol">
      <w:rPr>
        <w:b/>
        <w:sz w:val="22"/>
      </w:rPr>
      <w:tblPr/>
      <w:tcPr>
        <w:shd w:val="clear" w:color="5B9BD5" w:fill="5B9BD5" w:themeFill="accent1"/>
      </w:tcPr>
    </w:tblStylePr>
    <w:tblStylePr w:type="lastCol">
      <w:rPr>
        <w:b/>
        <w:sz w:val="22"/>
      </w:rPr>
      <w:tblPr/>
      <w:tcPr>
        <w:shd w:val="clear" w:color="5B9BD5" w:fill="5B9BD5" w:themeFill="accent1"/>
      </w:tcPr>
    </w:tblStylePr>
    <w:tblStylePr w:type="band1Vert">
      <w:tblPr/>
      <w:tcPr>
        <w:shd w:val="clear" w:color="B3D0EB" w:fill="B3D0EB" w:themeFill="accent1" w:themeFillTint="75"/>
      </w:tcPr>
    </w:tblStylePr>
    <w:tblStylePr w:type="band1Horz">
      <w:tblPr/>
      <w:tcPr>
        <w:shd w:val="clear" w:color="B3D0EB" w:fill="B3D0EB" w:themeFill="accent1" w:themeFillTint="75"/>
      </w:tcPr>
    </w:tblStylePr>
  </w:style>
  <w:style w:type="table" w:customStyle="1" w:styleId="GridTable5Dark-Accent2">
    <w:name w:val="Grid Table 5 Dark - Accent 2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ED7D31" w:fill="ED7D31" w:themeFill="accent2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ED7D31" w:fill="ED7D31" w:themeFill="accent2"/>
      </w:tcPr>
    </w:tblStylePr>
    <w:tblStylePr w:type="firstCol">
      <w:rPr>
        <w:b/>
        <w:sz w:val="22"/>
      </w:rPr>
      <w:tblPr/>
      <w:tcPr>
        <w:shd w:val="clear" w:color="ED7D31" w:fill="ED7D31" w:themeFill="accent2"/>
      </w:tcPr>
    </w:tblStylePr>
    <w:tblStylePr w:type="lastCol">
      <w:rPr>
        <w:b/>
        <w:sz w:val="22"/>
      </w:rPr>
      <w:tblPr/>
      <w:tcPr>
        <w:shd w:val="clear" w:color="ED7D31" w:fill="ED7D31" w:themeFill="accent2"/>
      </w:tcPr>
    </w:tblStylePr>
    <w:tblStylePr w:type="band1Vert">
      <w:tblPr/>
      <w:tcPr>
        <w:shd w:val="clear" w:color="F6C3A0" w:fill="F6C3A0" w:themeFill="accent2" w:themeFillTint="75"/>
      </w:tcPr>
    </w:tblStylePr>
    <w:tblStylePr w:type="band1Horz">
      <w:tblPr/>
      <w:tcPr>
        <w:shd w:val="clear" w:color="F6C3A0" w:fill="F6C3A0" w:themeFill="accent2" w:themeFillTint="75"/>
      </w:tcPr>
    </w:tblStylePr>
  </w:style>
  <w:style w:type="table" w:customStyle="1" w:styleId="GridTable5Dark-Accent3">
    <w:name w:val="Grid Table 5 Dark - Accent 3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A5A5A5" w:fill="A5A5A5" w:themeFill="accent3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A5A5A5" w:fill="A5A5A5" w:themeFill="accent3"/>
      </w:tcPr>
    </w:tblStylePr>
    <w:tblStylePr w:type="firstCol">
      <w:rPr>
        <w:b/>
        <w:sz w:val="22"/>
      </w:rPr>
      <w:tblPr/>
      <w:tcPr>
        <w:shd w:val="clear" w:color="A5A5A5" w:fill="A5A5A5" w:themeFill="accent3"/>
      </w:tcPr>
    </w:tblStylePr>
    <w:tblStylePr w:type="lastCol">
      <w:rPr>
        <w:b/>
        <w:sz w:val="22"/>
      </w:rPr>
      <w:tblPr/>
      <w:tcPr>
        <w:shd w:val="clear" w:color="A5A5A5" w:fill="A5A5A5" w:themeFill="accent3"/>
      </w:tcPr>
    </w:tblStylePr>
    <w:tblStylePr w:type="band1Vert">
      <w:tblPr/>
      <w:tcPr>
        <w:shd w:val="clear" w:color="D5D5D5" w:fill="D5D5D5" w:themeFill="accent3" w:themeFillTint="75"/>
      </w:tcPr>
    </w:tblStylePr>
    <w:tblStylePr w:type="band1Horz">
      <w:tblPr/>
      <w:tcPr>
        <w:shd w:val="clear" w:color="D5D5D5" w:fill="D5D5D5" w:themeFill="accent3" w:themeFillTint="75"/>
      </w:tcPr>
    </w:tblStylePr>
  </w:style>
  <w:style w:type="table" w:customStyle="1" w:styleId="GridTable5Dark-Accent4">
    <w:name w:val="Grid Table 5 Dark- Accent 4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FFC000" w:fill="FFC000" w:themeFill="accent4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FC000" w:fill="FFC000" w:themeFill="accent4"/>
      </w:tcPr>
    </w:tblStylePr>
    <w:tblStylePr w:type="firstCol">
      <w:rPr>
        <w:b/>
        <w:sz w:val="22"/>
      </w:rPr>
      <w:tblPr/>
      <w:tcPr>
        <w:shd w:val="clear" w:color="FFC000" w:fill="FFC000" w:themeFill="accent4"/>
      </w:tcPr>
    </w:tblStylePr>
    <w:tblStylePr w:type="lastCol">
      <w:rPr>
        <w:b/>
        <w:sz w:val="22"/>
      </w:rPr>
      <w:tblPr/>
      <w:tcPr>
        <w:shd w:val="clear" w:color="FFC000" w:fill="FFC000" w:themeFill="accent4"/>
      </w:tcPr>
    </w:tblStylePr>
    <w:tblStylePr w:type="band1Vert">
      <w:tblPr/>
      <w:tcPr>
        <w:shd w:val="clear" w:color="FFE28A" w:fill="FFE28A" w:themeFill="accent4" w:themeFillTint="75"/>
      </w:tcPr>
    </w:tblStylePr>
    <w:tblStylePr w:type="band1Horz">
      <w:tblPr/>
      <w:tcPr>
        <w:shd w:val="clear" w:color="FFE28A" w:fill="FFE28A" w:themeFill="accent4" w:themeFillTint="75"/>
      </w:tcPr>
    </w:tblStylePr>
  </w:style>
  <w:style w:type="table" w:customStyle="1" w:styleId="GridTable5Dark-Accent5">
    <w:name w:val="Grid Table 5 Dark - Accent 5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4472C4" w:fill="4472C4" w:themeFill="accent5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472C4" w:fill="4472C4" w:themeFill="accent5"/>
      </w:tcPr>
    </w:tblStylePr>
    <w:tblStylePr w:type="firstCol">
      <w:rPr>
        <w:b/>
        <w:sz w:val="22"/>
      </w:rPr>
      <w:tblPr/>
      <w:tcPr>
        <w:shd w:val="clear" w:color="4472C4" w:fill="4472C4" w:themeFill="accent5"/>
      </w:tcPr>
    </w:tblStylePr>
    <w:tblStylePr w:type="lastCol">
      <w:rPr>
        <w:b/>
        <w:sz w:val="22"/>
      </w:rPr>
      <w:tblPr/>
      <w:tcPr>
        <w:shd w:val="clear" w:color="4472C4" w:fill="4472C4" w:themeFill="accent5"/>
      </w:tcPr>
    </w:tblStylePr>
    <w:tblStylePr w:type="band1Vert">
      <w:tblPr/>
      <w:tcPr>
        <w:shd w:val="clear" w:color="A9BEE4" w:fill="A9BEE4" w:themeFill="accent5" w:themeFillTint="75"/>
      </w:tcPr>
    </w:tblStylePr>
    <w:tblStylePr w:type="band1Horz">
      <w:tblPr/>
      <w:tcPr>
        <w:shd w:val="clear" w:color="A9BEE4" w:fill="A9BEE4" w:themeFill="accent5" w:themeFillTint="75"/>
      </w:tcPr>
    </w:tblStylePr>
  </w:style>
  <w:style w:type="table" w:customStyle="1" w:styleId="GridTable5Dark-Accent6">
    <w:name w:val="Grid Table 5 Dark - Accent 6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70AD47" w:fill="70AD47" w:themeFill="accent6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70AD47" w:fill="70AD47" w:themeFill="accent6"/>
      </w:tcPr>
    </w:tblStylePr>
    <w:tblStylePr w:type="firstCol">
      <w:rPr>
        <w:b/>
        <w:sz w:val="22"/>
      </w:rPr>
      <w:tblPr/>
      <w:tcPr>
        <w:shd w:val="clear" w:color="70AD47" w:fill="70AD47" w:themeFill="accent6"/>
      </w:tcPr>
    </w:tblStylePr>
    <w:tblStylePr w:type="lastCol">
      <w:rPr>
        <w:b/>
        <w:sz w:val="22"/>
      </w:rPr>
      <w:tblPr/>
      <w:tcPr>
        <w:shd w:val="clear" w:color="70AD47" w:fill="70AD47" w:themeFill="accent6"/>
      </w:tcPr>
    </w:tblStylePr>
    <w:tblStylePr w:type="band1Vert">
      <w:tblPr/>
      <w:tcPr>
        <w:shd w:val="clear" w:color="BCDBA8" w:fill="BCDBA8" w:themeFill="accent6" w:themeFillTint="75"/>
      </w:tcPr>
    </w:tblStylePr>
    <w:tblStylePr w:type="band1Horz">
      <w:tblPr/>
      <w:tcPr>
        <w:shd w:val="clear" w:color="BCDBA8" w:fill="BCDBA8" w:themeFill="accent6" w:themeFillTint="75"/>
      </w:tcPr>
    </w:tblStylePr>
  </w:style>
  <w:style w:type="table" w:styleId="-6">
    <w:name w:val="Grid Table 6 Colorful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themeColor="text1" w:themeTint="80" w:themeShade="95"/>
      </w:rPr>
      <w:tblPr/>
    </w:tblStylePr>
    <w:tblStylePr w:type="firstCol">
      <w:rPr>
        <w:b/>
        <w:color w:themeColor="text1" w:themeTint="80" w:themeShade="95"/>
      </w:rPr>
      <w:tblPr/>
    </w:tblStylePr>
    <w:tblStylePr w:type="lastCol">
      <w:rPr>
        <w:b/>
        <w:color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firstRow">
      <w:rPr>
        <w:b/>
        <w:color w:themeColor="accent1" w:themeTint="80" w:themeShade="95"/>
      </w:rPr>
      <w:tblPr/>
      <w:tcPr>
        <w:tcBorders>
          <w:bottom w:val="single" w:color="ACCCEA" w:themeColor="accent1" w:sz="12" w:space="0"/>
        </w:tcBorders>
      </w:tcPr>
    </w:tblStylePr>
    <w:tblStylePr w:type="lastRow">
      <w:rPr>
        <w:b/>
        <w:color w:themeColor="accent1" w:themeTint="80" w:themeShade="95"/>
      </w:rPr>
      <w:tblPr/>
    </w:tblStylePr>
    <w:tblStylePr w:type="firstCol">
      <w:rPr>
        <w:b/>
        <w:color w:themeColor="accent1" w:themeTint="80" w:themeShade="95"/>
      </w:rPr>
      <w:tblPr/>
    </w:tblStylePr>
    <w:tblStylePr w:type="lastCol">
      <w:rPr>
        <w:b/>
        <w:color w:themeColor="accent1" w:themeTint="80" w:themeShade="95"/>
      </w:rPr>
      <w:tblPr/>
    </w:tblStylePr>
    <w:tblStylePr w:type="band1Vert">
      <w:tblPr/>
      <w:tcPr>
        <w:shd w:val="clear" w:color="DDEAF6" w:fill="DDEAF6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DEAF6" w:fill="DDEAF6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firstRow">
      <w:rPr>
        <w:b/>
        <w:color w:themeColor="accent2" w:themeTint="97" w:themeShade="95"/>
      </w:rPr>
      <w:tblPr/>
      <w:tcPr>
        <w:tcBorders>
          <w:bottom w:val="single" w:color="F4B184" w:themeColor="accent2" w:sz="12" w:space="0"/>
        </w:tcBorders>
      </w:tcPr>
    </w:tblStylePr>
    <w:tblStylePr w:type="lastRow">
      <w:rPr>
        <w:b/>
        <w:color w:themeColor="accent2" w:themeTint="97" w:themeShade="95"/>
      </w:rPr>
      <w:tblPr/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themeColor="accent3" w:themeTint="fe" w:themeShade="95"/>
      </w:rPr>
      <w:tblPr/>
      <w:tcPr>
        <w:tcBorders>
          <w:bottom w:val="single" w:color="A5A5A5" w:themeColor="accent3" w:sz="12" w:space="0"/>
        </w:tcBorders>
      </w:tcPr>
    </w:tblStylePr>
    <w:tblStylePr w:type="lastRow">
      <w:rPr>
        <w:b/>
        <w:color w:themeColor="accent3" w:themeTint="fe" w:themeShade="95"/>
      </w:rPr>
      <w:tblPr/>
    </w:tblStylePr>
    <w:tblStylePr w:type="firstCol">
      <w:rPr>
        <w:b/>
        <w:color w:themeColor="accent3" w:themeTint="fe" w:themeShade="95"/>
      </w:rPr>
      <w:tblPr/>
    </w:tblStylePr>
    <w:tblStylePr w:type="lastCol">
      <w:rPr>
        <w:b/>
        <w:color w:themeColor="accent3" w:themeTint="fe" w:themeShade="95"/>
      </w:rPr>
      <w:tblPr/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firstRow">
      <w:rPr>
        <w:b/>
        <w:color w:themeColor="accent4" w:themeTint="9a" w:themeShade="95"/>
      </w:rPr>
      <w:tblPr/>
      <w:tcPr>
        <w:tcBorders>
          <w:bottom w:val="single" w:color="FFD865" w:themeColor="accent4" w:sz="12" w:space="0"/>
        </w:tcBorders>
      </w:tcPr>
    </w:tblStylePr>
    <w:tblStylePr w:type="lastRow">
      <w:rPr>
        <w:b/>
        <w:color w:themeColor="accent4" w:themeTint="9a" w:themeShade="95"/>
      </w:rPr>
      <w:tblPr/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  <w:color w:themeColor="accent5" w:themeShade="95"/>
      </w:rPr>
      <w:tblPr/>
      <w:tcPr>
        <w:tcBorders>
          <w:bottom w:val="single" w:color="4472C4" w:themeColor="accent5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D8E2F3" w:fill="D8E2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8E2F3" w:fill="D8E2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themeColor="accent5" w:themeShade="95"/>
      </w:rPr>
      <w:tblPr/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styleId="-7">
    <w:name w:val="Grid Table 7 Colorful"/>
    <w:basedOn w:val="a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7F7F7F" w:themeColor="text1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0" w:space="0"/>
          <w:left w:val="single" w:color="7F7F7F" w:themeColor="text1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ACCCEA" w:themeColor="accent1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ACCCEA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CCCEA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000000" w:sz="0" w:space="0"/>
          <w:left w:val="single" w:color="ACCCEA" w:themeColor="accent1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DDEAF6" w:fill="DDEAF6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DEAF6" w:fill="DDEAF6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F4B184" w:themeColor="accent2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F4B184" w:themeColor="accent2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0" w:space="0"/>
          <w:left w:val="single" w:color="F4B184" w:themeColor="accent2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A5A5A5" w:themeColor="accent3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A5A5A5" w:themeColor="accent3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000000" w:sz="0" w:space="0"/>
          <w:left w:val="single" w:color="A5A5A5" w:themeColor="accent3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FFD865" w:themeColor="accent4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FFD865" w:themeColor="accent4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0" w:space="0"/>
          <w:left w:val="single" w:color="FFD865" w:themeColor="accent4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firstRow">
      <w:rPr>
        <w:b/>
        <w:color w:themeColor="accent5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95AFDD" w:themeColor="accent5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95AFDD" w:themeColor="accent5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5AFDD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000000" w:sz="0" w:space="0"/>
          <w:left w:val="single" w:color="95AFDD" w:themeColor="accent5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D8E2F3" w:fill="D8E2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8E2F3" w:fill="D8E2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b/>
        <w:color w:themeColor="accent6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ADD394" w:themeColor="accent6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ADD394" w:themeColor="accent6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000000" w:sz="0" w:space="0"/>
          <w:left w:val="single" w:color="ADD394" w:themeColor="accent6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themeColor="accent6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themeColor="accent6" w:themeShade="95"/>
        <w:sz w:val="22"/>
      </w:rPr>
      <w:tblPr/>
    </w:tblStylePr>
  </w:style>
  <w:style w:type="table" w:styleId="-10">
    <w:name w:val="List Table 1 Light"/>
    <w:basedOn w:val="a6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6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tblPr/>
      <w:tcPr>
        <w:shd w:val="clear" w:color="D5E5F4" w:fill="D5E5F4" w:themeFill="accent1" w:themeFillTint="40"/>
      </w:tcPr>
    </w:tblStylePr>
  </w:style>
  <w:style w:type="table" w:customStyle="1" w:styleId="ListTable1Light-Accent2">
    <w:name w:val="List Table 1 Light - Accent 2"/>
    <w:basedOn w:val="a6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tblPr/>
      <w:tcPr>
        <w:shd w:val="clear" w:color="FADECB" w:fill="FADECB" w:themeFill="accent2" w:themeFillTint="40"/>
      </w:tcPr>
    </w:tblStylePr>
  </w:style>
  <w:style w:type="table" w:customStyle="1" w:styleId="ListTable1Light-Accent3">
    <w:name w:val="List Table 1 Light - Accent 3"/>
    <w:basedOn w:val="a6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tblPr/>
      <w:tcPr>
        <w:shd w:val="clear" w:color="E8E8E8" w:fill="E8E8E8" w:themeFill="accent3" w:themeFillTint="40"/>
      </w:tcPr>
    </w:tblStylePr>
  </w:style>
  <w:style w:type="table" w:customStyle="1" w:styleId="ListTable1Light-Accent4">
    <w:name w:val="List Table 1 Light - Accent 4"/>
    <w:basedOn w:val="a6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tblPr/>
      <w:tcPr>
        <w:shd w:val="clear" w:color="FFEFBF" w:fill="FFEFBF" w:themeFill="accent4" w:themeFillTint="40"/>
      </w:tcPr>
    </w:tblStylePr>
  </w:style>
  <w:style w:type="table" w:customStyle="1" w:styleId="ListTable1Light-Accent5">
    <w:name w:val="List Table 1 Light - Accent 5"/>
    <w:basedOn w:val="a6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tblPr/>
      <w:tcPr>
        <w:shd w:val="clear" w:color="CFDBF0" w:fill="CFDBF0" w:themeFill="accent5" w:themeFillTint="40"/>
      </w:tcPr>
    </w:tblStylePr>
  </w:style>
  <w:style w:type="table" w:customStyle="1" w:styleId="ListTable1Light-Accent6">
    <w:name w:val="List Table 1 Light - Accent 6"/>
    <w:basedOn w:val="a6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tblPr/>
      <w:tcPr>
        <w:shd w:val="clear" w:color="DAEBCF" w:fill="DAEBCF" w:themeFill="accent6" w:themeFillTint="40"/>
      </w:tcPr>
    </w:tblStylePr>
  </w:style>
  <w:style w:type="table" w:styleId="-20">
    <w:name w:val="List Table 2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A2C6E7" w:themeColor="accent1" w:sz="4" w:space="0"/>
          <w:left w:val="none" w:color="000000" w:sz="4" w:space="0"/>
          <w:bottom w:val="single" w:color="A2C6E7" w:themeColor="accen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A2C6E7" w:themeColor="accent1" w:sz="4" w:space="0"/>
          <w:left w:val="none" w:color="000000" w:sz="4" w:space="0"/>
          <w:bottom w:val="single" w:color="A2C6E7" w:themeColor="accen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5E5F4" w:fill="D5E5F4" w:themeFill="accent1" w:themeFillTint="40"/>
      </w:tcPr>
    </w:tblStylePr>
    <w:tblStylePr w:type="band1Horz">
      <w:rPr>
        <w:sz w:val="22"/>
      </w:rPr>
      <w:tblPr/>
      <w:tcPr>
        <w:shd w:val="clear" w:color="D5E5F4" w:fill="D5E5F4" w:themeFill="accent1" w:themeFillTint="40"/>
      </w:tcPr>
    </w:tblStylePr>
  </w:style>
  <w:style w:type="table" w:customStyle="1" w:styleId="ListTable2-Accent2">
    <w:name w:val="List Table 2 - Accent 2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F4B58A" w:themeColor="accent2" w:sz="4" w:space="0"/>
          <w:left w:val="none" w:color="000000" w:sz="4" w:space="0"/>
          <w:bottom w:val="single" w:color="F4B58A" w:themeColor="accent2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F4B58A" w:themeColor="accent2" w:sz="4" w:space="0"/>
          <w:left w:val="none" w:color="000000" w:sz="4" w:space="0"/>
          <w:bottom w:val="single" w:color="F4B58A" w:themeColor="accent2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2-Accent3">
    <w:name w:val="List Table 2 - Accent 3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CCCCCC" w:themeColor="accent3" w:sz="4" w:space="0"/>
          <w:left w:val="none" w:color="000000" w:sz="4" w:space="0"/>
          <w:bottom w:val="single" w:color="CCCCCC" w:themeColor="accent3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CCCCCC" w:themeColor="accent3" w:sz="4" w:space="0"/>
          <w:left w:val="none" w:color="000000" w:sz="4" w:space="0"/>
          <w:bottom w:val="single" w:color="CCCCCC" w:themeColor="accent3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2-Accent4">
    <w:name w:val="List Table 2 - Accent 4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FFDB6F" w:themeColor="accent4" w:sz="4" w:space="0"/>
          <w:left w:val="none" w:color="000000" w:sz="4" w:space="0"/>
          <w:bottom w:val="single" w:color="FFDB6F" w:themeColor="accent4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FFDB6F" w:themeColor="accent4" w:sz="4" w:space="0"/>
          <w:left w:val="none" w:color="000000" w:sz="4" w:space="0"/>
          <w:bottom w:val="single" w:color="FFDB6F" w:themeColor="accent4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2-Accent5">
    <w:name w:val="List Table 2 - Accent 5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95AFDD" w:themeColor="accent5" w:sz="4" w:space="0"/>
          <w:left w:val="none" w:color="000000" w:sz="4" w:space="0"/>
          <w:bottom w:val="single" w:color="95AFDD" w:themeColor="accent5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5AFDD" w:themeColor="accent5" w:sz="4" w:space="0"/>
          <w:left w:val="none" w:color="000000" w:sz="4" w:space="0"/>
          <w:bottom w:val="single" w:color="95AFDD" w:themeColor="accent5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CFDBF0" w:fill="CFDBF0" w:themeFill="accent5" w:themeFillTint="40"/>
      </w:tcPr>
    </w:tblStylePr>
    <w:tblStylePr w:type="band1Horz">
      <w:rPr>
        <w:sz w:val="22"/>
      </w:rPr>
      <w:tblPr/>
      <w:tcPr>
        <w:shd w:val="clear" w:color="CFDBF0" w:fill="CFDBF0" w:themeFill="accent5" w:themeFillTint="40"/>
      </w:tcPr>
    </w:tblStylePr>
  </w:style>
  <w:style w:type="table" w:customStyle="1" w:styleId="ListTable2-Accent6">
    <w:name w:val="List Table 2 - Accent 6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ADD394" w:themeColor="accent6" w:sz="4" w:space="0"/>
          <w:left w:val="none" w:color="000000" w:sz="4" w:space="0"/>
          <w:bottom w:val="single" w:color="ADD394" w:themeColor="accent6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ADD394" w:themeColor="accent6" w:sz="4" w:space="0"/>
          <w:left w:val="none" w:color="000000" w:sz="4" w:space="0"/>
          <w:bottom w:val="single" w:color="ADD394" w:themeColor="accent6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sz w:val="22"/>
      </w:rPr>
      <w:tblPr/>
      <w:tcPr>
        <w:shd w:val="clear" w:color="DAEBCF" w:fill="DAEBCF" w:themeFill="accent6" w:themeFillTint="40"/>
      </w:tcPr>
    </w:tblStylePr>
  </w:style>
  <w:style w:type="table" w:styleId="-30">
    <w:name w:val="List Table 3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firstRow">
      <w:rPr>
        <w:b/>
        <w:sz w:val="22"/>
      </w:rPr>
      <w:tblPr/>
      <w:tcPr>
        <w:shd w:val="clear" w:color="5B9BD5" w:fill="5B9BD5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1Horz">
      <w:rPr>
        <w:sz w:val="22"/>
      </w:rPr>
      <w:tblPr/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</w:style>
  <w:style w:type="table" w:customStyle="1" w:styleId="ListTable3-Accent2">
    <w:name w:val="List Table 3 - Accent 2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firstRow">
      <w:rPr>
        <w:b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4B184" w:themeColor="accent2" w:sz="4" w:space="0"/>
          <w:right w:val="single" w:color="F4B184" w:themeColor="accent2" w:sz="4" w:space="0"/>
        </w:tcBorders>
      </w:tcPr>
    </w:tblStylePr>
    <w:tblStylePr w:type="band1Horz">
      <w:rPr>
        <w:sz w:val="22"/>
      </w:rPr>
      <w:tblPr/>
      <w:tcPr>
        <w:tcBorders>
          <w:top w:val="single" w:color="F4B184" w:themeColor="accent2" w:sz="4" w:space="0"/>
          <w:bottom w:val="single" w:color="F4B184" w:themeColor="accent2" w:sz="4" w:space="0"/>
        </w:tcBorders>
      </w:tcPr>
    </w:tblStylePr>
  </w:style>
  <w:style w:type="table" w:customStyle="1" w:styleId="ListTable3-Accent3">
    <w:name w:val="List Table 3 - Accent 3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firstRow">
      <w:rPr>
        <w:b/>
        <w:sz w:val="22"/>
      </w:rPr>
      <w:tblPr/>
      <w:tcPr>
        <w:shd w:val="clear" w:color="C9C9C9" w:fill="C9C9C9" w:themeFill="accent3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C9C9C9" w:themeColor="accent3" w:sz="4" w:space="0"/>
          <w:right w:val="single" w:color="C9C9C9" w:themeColor="accent3" w:sz="4" w:space="0"/>
        </w:tcBorders>
      </w:tcPr>
    </w:tblStylePr>
    <w:tblStylePr w:type="band1Horz">
      <w:rPr>
        <w:sz w:val="22"/>
      </w:rPr>
      <w:tblPr/>
      <w:tcPr>
        <w:tcBorders>
          <w:top w:val="single" w:color="C9C9C9" w:themeColor="accent3" w:sz="4" w:space="0"/>
          <w:bottom w:val="single" w:color="C9C9C9" w:themeColor="accent3" w:sz="4" w:space="0"/>
        </w:tcBorders>
      </w:tcPr>
    </w:tblStylePr>
  </w:style>
  <w:style w:type="table" w:customStyle="1" w:styleId="ListTable3-Accent4">
    <w:name w:val="List Table 3 - Accent 4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firstRow">
      <w:rPr>
        <w:b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FD865" w:themeColor="accent4" w:sz="4" w:space="0"/>
          <w:right w:val="single" w:color="FFD865" w:themeColor="accent4" w:sz="4" w:space="0"/>
        </w:tcBorders>
      </w:tcPr>
    </w:tblStylePr>
    <w:tblStylePr w:type="band1Horz">
      <w:rPr>
        <w:sz w:val="22"/>
      </w:rPr>
      <w:tblPr/>
      <w:tcPr>
        <w:tcBorders>
          <w:top w:val="single" w:color="FFD865" w:themeColor="accent4" w:sz="4" w:space="0"/>
          <w:bottom w:val="single" w:color="FFD865" w:themeColor="accent4" w:sz="4" w:space="0"/>
        </w:tcBorders>
      </w:tcPr>
    </w:tblStylePr>
  </w:style>
  <w:style w:type="table" w:customStyle="1" w:styleId="ListTable3-Accent5">
    <w:name w:val="List Table 3 - Accent 5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firstRow">
      <w:rPr>
        <w:b/>
        <w:sz w:val="22"/>
      </w:rPr>
      <w:tblPr/>
      <w:tcPr>
        <w:shd w:val="clear" w:color="8DA9DB" w:fill="8DA9DB" w:themeFill="accent5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8DA9DB" w:themeColor="accent5" w:sz="4" w:space="0"/>
          <w:right w:val="single" w:color="8DA9DB" w:themeColor="accent5" w:sz="4" w:space="0"/>
        </w:tcBorders>
      </w:tcPr>
    </w:tblStylePr>
    <w:tblStylePr w:type="band1Horz">
      <w:rPr>
        <w:sz w:val="22"/>
      </w:rPr>
      <w:tblPr/>
      <w:tcPr>
        <w:tcBorders>
          <w:top w:val="single" w:color="8DA9DB" w:themeColor="accent5" w:sz="4" w:space="0"/>
          <w:bottom w:val="single" w:color="8DA9DB" w:themeColor="accent5" w:sz="4" w:space="0"/>
        </w:tcBorders>
      </w:tcPr>
    </w:tblStylePr>
  </w:style>
  <w:style w:type="table" w:customStyle="1" w:styleId="ListTable3-Accent6">
    <w:name w:val="List Table 3 - Accent 6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firstRow">
      <w:rPr>
        <w:b/>
        <w:sz w:val="22"/>
      </w:rPr>
      <w:tblPr/>
      <w:tcPr>
        <w:shd w:val="clear" w:color="A9D08E" w:fill="A9D08E" w:themeFill="accent6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A9D08E" w:themeColor="accent6" w:sz="4" w:space="0"/>
          <w:right w:val="single" w:color="A9D08E" w:themeColor="accent6" w:sz="4" w:space="0"/>
        </w:tcBorders>
      </w:tcPr>
    </w:tblStylePr>
    <w:tblStylePr w:type="band1Horz">
      <w:rPr>
        <w:sz w:val="22"/>
      </w:rPr>
      <w:tblPr/>
      <w:tcPr>
        <w:tcBorders>
          <w:top w:val="single" w:color="A9D08E" w:themeColor="accent6" w:sz="4" w:space="0"/>
          <w:bottom w:val="single" w:color="A9D08E" w:themeColor="accent6" w:sz="4" w:space="0"/>
        </w:tcBorders>
      </w:tcPr>
    </w:tblStylePr>
  </w:style>
  <w:style w:type="table" w:styleId="-40">
    <w:name w:val="List Table 4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firstRow">
      <w:rPr>
        <w:b/>
        <w:sz w:val="22"/>
      </w:rPr>
      <w:tblPr/>
      <w:tcPr>
        <w:shd w:val="clear" w:color="5B9BD5" w:fill="5B9BD5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5E5F4" w:fill="D5E5F4" w:themeFill="accent1" w:themeFillTint="40"/>
      </w:tcPr>
    </w:tblStylePr>
    <w:tblStylePr w:type="band1Horz">
      <w:rPr>
        <w:sz w:val="22"/>
      </w:rPr>
      <w:tblPr/>
      <w:tcPr>
        <w:shd w:val="clear" w:color="D5E5F4" w:fill="D5E5F4" w:themeFill="accent1" w:themeFillTint="40"/>
      </w:tcPr>
    </w:tblStylePr>
  </w:style>
  <w:style w:type="table" w:customStyle="1" w:styleId="ListTable4-Accent2">
    <w:name w:val="List Table 4 - Accent 2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b/>
        <w:sz w:val="22"/>
      </w:rPr>
      <w:tblPr/>
      <w:tcPr>
        <w:shd w:val="clear" w:color="ED7D31" w:fill="ED7D31" w:themeFill="accent2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4-Accent3">
    <w:name w:val="List Table 4 - Accent 3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b/>
        <w:sz w:val="22"/>
      </w:rPr>
      <w:tblPr/>
      <w:tcPr>
        <w:shd w:val="clear" w:color="A5A5A5" w:fill="A5A5A5" w:themeFill="accent3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4-Accent4">
    <w:name w:val="List Table 4 - Accent 4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firstRow">
      <w:rPr>
        <w:b/>
        <w:sz w:val="22"/>
      </w:rPr>
      <w:tblPr/>
      <w:tcPr>
        <w:shd w:val="clear" w:color="FFC000" w:fill="FFC000" w:themeFill="accent4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4-Accent5">
    <w:name w:val="List Table 4 - Accent 5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firstRow">
      <w:rPr>
        <w:b/>
        <w:sz w:val="22"/>
      </w:rPr>
      <w:tblPr/>
      <w:tcPr>
        <w:shd w:val="clear" w:color="4472C4" w:fill="4472C4" w:themeFill="accent5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FDBF0" w:fill="CFDBF0" w:themeFill="accent5" w:themeFillTint="40"/>
      </w:tcPr>
    </w:tblStylePr>
    <w:tblStylePr w:type="band1Horz">
      <w:rPr>
        <w:sz w:val="22"/>
      </w:rPr>
      <w:tblPr/>
      <w:tcPr>
        <w:shd w:val="clear" w:color="CFDBF0" w:fill="CFDBF0" w:themeFill="accent5" w:themeFillTint="40"/>
      </w:tcPr>
    </w:tblStylePr>
  </w:style>
  <w:style w:type="table" w:customStyle="1" w:styleId="ListTable4-Accent6">
    <w:name w:val="List Table 4 - Accent 6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b/>
        <w:sz w:val="22"/>
      </w:rPr>
      <w:tblPr/>
      <w:tcPr>
        <w:shd w:val="clear" w:color="70AD47" w:fill="70AD47" w:themeFill="accent6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sz w:val="22"/>
      </w:rPr>
      <w:tblPr/>
      <w:tcPr>
        <w:shd w:val="clear" w:color="DAEBCF" w:fill="DAEBCF" w:themeFill="accent6" w:themeFillTint="40"/>
      </w:tcPr>
    </w:tblStylePr>
  </w:style>
  <w:style w:type="table" w:styleId="-50">
    <w:name w:val="List Table 5 Dark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5B9BD5" w:themeColor="accent1" w:sz="32" w:space="0"/>
          <w:bottom w:val="single" w:color="FFFFFF" w:themeColor="light1" w:sz="12" w:space="0"/>
        </w:tcBorders>
        <w:shd w:val="clear" w:color="5B9BD5" w:fill="5B9BD5" w:themeFill="accent1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5B9BD5" w:fill="5B9BD5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B9BD5" w:fill="5B9BD5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B9BD5" w:fill="5B9BD5" w:themeFill="accent1"/>
      </w:tcPr>
    </w:tblStylePr>
  </w:style>
  <w:style w:type="table" w:customStyle="1" w:styleId="ListTable5Dark-Accent2">
    <w:name w:val="List Table 5 Dark - Accent 2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F4B184" w:themeColor="accent2" w:sz="32" w:space="0"/>
          <w:bottom w:val="single" w:color="FFFFFF" w:themeColor="light1" w:sz="12" w:space="0"/>
        </w:tcBorders>
        <w:shd w:val="clear" w:color="F4B184" w:fill="F4B184" w:themeFill="accent2" w:themeFillTint="97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F4B184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4B184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184" w:fill="F4B184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184" w:fill="F4B184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184" w:fill="F4B184" w:themeFill="accent2" w:themeFillTint="97"/>
      </w:tcPr>
    </w:tblStylePr>
  </w:style>
  <w:style w:type="table" w:customStyle="1" w:styleId="ListTable5Dark-Accent3">
    <w:name w:val="List Table 5 Dark - Accent 3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C9C9C9" w:themeColor="accent3" w:sz="32" w:space="0"/>
          <w:bottom w:val="single" w:color="FFFFFF" w:themeColor="light1" w:sz="12" w:space="0"/>
        </w:tcBorders>
        <w:shd w:val="clear" w:color="C9C9C9" w:fill="C9C9C9" w:themeFill="accent3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C9C9C9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9C9C9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9C9C9" w:fill="C9C9C9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fill="C9C9C9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fill="C9C9C9" w:themeFill="accent3" w:themeFillTint="98"/>
      </w:tcPr>
    </w:tblStylePr>
  </w:style>
  <w:style w:type="table" w:customStyle="1" w:styleId="ListTable5Dark-Accent4">
    <w:name w:val="List Table 5 Dark - Accent 4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FFD865" w:themeColor="accent4" w:sz="32" w:space="0"/>
          <w:bottom w:val="single" w:color="FFFFFF" w:themeColor="light1" w:sz="12" w:space="0"/>
        </w:tcBorders>
        <w:shd w:val="clear" w:color="FFD865" w:fill="FFD865" w:themeFill="accent4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FFD865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FD865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D865" w:fill="FFD865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5" w:fill="FFD865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5" w:fill="FFD865" w:themeFill="accent4" w:themeFillTint="9a"/>
      </w:tcPr>
    </w:tblStylePr>
  </w:style>
  <w:style w:type="table" w:customStyle="1" w:styleId="ListTable5Dark-Accent5">
    <w:name w:val="List Table 5 Dark - Accent 5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8DA9DB" w:themeColor="accent5" w:sz="32" w:space="0"/>
          <w:bottom w:val="single" w:color="FFFFFF" w:themeColor="light1" w:sz="12" w:space="0"/>
        </w:tcBorders>
        <w:shd w:val="clear" w:color="8DA9DB" w:fill="8DA9DB" w:themeFill="accent5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8DA9DB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8DA9DB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8DA9DB" w:fill="8DA9DB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DA9DB" w:fill="8DA9DB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DA9DB" w:fill="8DA9DB" w:themeFill="accent5" w:themeFillTint="9a"/>
      </w:tcPr>
    </w:tblStylePr>
  </w:style>
  <w:style w:type="table" w:customStyle="1" w:styleId="ListTable5Dark-Accent6">
    <w:name w:val="List Table 5 Dark - Accent 6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A9D08E" w:themeColor="accent6" w:sz="32" w:space="0"/>
          <w:bottom w:val="single" w:color="FFFFFF" w:themeColor="light1" w:sz="12" w:space="0"/>
        </w:tcBorders>
        <w:shd w:val="clear" w:color="A9D08E" w:fill="A9D08E" w:themeFill="accent6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A9D08E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A9D08E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9D08E" w:fill="A9D08E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fill="A9D08E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fill="A9D08E" w:themeFill="accent6" w:themeFillTint="98"/>
      </w:tcPr>
    </w:tblStylePr>
  </w:style>
  <w:style w:type="table" w:styleId="-60">
    <w:name w:val="List Table 6 Colorful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color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themeColor="text1"/>
      </w:rPr>
      <w:tblPr/>
    </w:tblStylePr>
    <w:tblStylePr w:type="lastCol">
      <w:rPr>
        <w:b/>
        <w:color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/>
        <w:sz w:val="22"/>
      </w:rPr>
      <w:tblPr/>
    </w:tblStylePr>
  </w:style>
  <w:style w:type="table" w:customStyle="1" w:styleId="ListTable6Colorful-Accent1">
    <w:name w:val="List Table 6 Colorful - Accent 1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firstRow">
      <w:rPr>
        <w:b/>
        <w:color w:themeColor="accent1" w:themeShade="95"/>
      </w:rPr>
      <w:tblPr/>
      <w:tcPr>
        <w:tcBorders>
          <w:bottom w:val="single" w:color="5B9BD5" w:themeColor="accent1" w:sz="4" w:space="0"/>
        </w:tcBorders>
      </w:tcPr>
    </w:tblStylePr>
    <w:tblStylePr w:type="lastRow">
      <w:rPr>
        <w:b/>
        <w:color w:themeColor="accent1" w:themeShade="95"/>
      </w:rPr>
      <w:tblPr/>
      <w:tcPr>
        <w:tcBorders>
          <w:top w:val="single" w:color="5B9BD5" w:themeColor="accent1" w:sz="4" w:space="0"/>
        </w:tcBorders>
      </w:tcPr>
    </w:tblStylePr>
    <w:tblStylePr w:type="firstCol">
      <w:rPr>
        <w:b/>
        <w:color w:themeColor="accent1" w:themeShade="95"/>
      </w:rPr>
      <w:tblPr/>
    </w:tblStylePr>
    <w:tblStylePr w:type="lastCol">
      <w:rPr>
        <w:b/>
        <w:color w:themeColor="accent1" w:themeShade="95"/>
      </w:rPr>
      <w:tblPr/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5E5F4" w:fill="D5E5F4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firstRow">
      <w:rPr>
        <w:b/>
        <w:color w:themeColor="accent2" w:themeTint="97" w:themeShade="95"/>
      </w:rPr>
      <w:tblPr/>
      <w:tcPr>
        <w:tcBorders>
          <w:bottom w:val="single" w:color="F4B184" w:themeColor="accent2" w:sz="4" w:space="0"/>
        </w:tcBorders>
      </w:tcPr>
    </w:tblStylePr>
    <w:tblStylePr w:type="lastRow">
      <w:rPr>
        <w:b/>
        <w:color w:themeColor="accent2" w:themeTint="97" w:themeShade="95"/>
      </w:rPr>
      <w:tblPr/>
      <w:tcPr>
        <w:tcBorders>
          <w:top w:val="single" w:color="F4B184" w:themeColor="accent2" w:sz="4" w:space="0"/>
        </w:tcBorders>
      </w:tcPr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firstRow">
      <w:rPr>
        <w:b/>
        <w:color w:themeColor="accent3" w:themeTint="98" w:themeShade="95"/>
      </w:rPr>
      <w:tblPr/>
      <w:tcPr>
        <w:tcBorders>
          <w:bottom w:val="single" w:color="C9C9C9" w:themeColor="accent3" w:sz="4" w:space="0"/>
        </w:tcBorders>
      </w:tcPr>
    </w:tblStylePr>
    <w:tblStylePr w:type="lastRow">
      <w:rPr>
        <w:b/>
        <w:color w:themeColor="accent3" w:themeTint="98" w:themeShade="95"/>
      </w:rPr>
      <w:tblPr/>
      <w:tcPr>
        <w:tcBorders>
          <w:top w:val="single" w:color="C9C9C9" w:themeColor="accent3" w:sz="4" w:space="0"/>
        </w:tcBorders>
      </w:tcPr>
    </w:tblStylePr>
    <w:tblStylePr w:type="firstCol">
      <w:rPr>
        <w:b/>
        <w:color w:themeColor="accent3" w:themeTint="98" w:themeShade="95"/>
      </w:rPr>
      <w:tblPr/>
    </w:tblStylePr>
    <w:tblStylePr w:type="lastCol">
      <w:rPr>
        <w:b/>
        <w:color w:themeColor="accent3" w:themeTint="98" w:themeShade="95"/>
      </w:rPr>
      <w:tblPr/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firstRow">
      <w:rPr>
        <w:b/>
        <w:color w:themeColor="accent4" w:themeTint="9a" w:themeShade="95"/>
      </w:rPr>
      <w:tblPr/>
      <w:tcPr>
        <w:tcBorders>
          <w:bottom w:val="single" w:color="FFD865" w:themeColor="accent4" w:sz="4" w:space="0"/>
        </w:tcBorders>
      </w:tcPr>
    </w:tblStylePr>
    <w:tblStylePr w:type="lastRow">
      <w:rPr>
        <w:b/>
        <w:color w:themeColor="accent4" w:themeTint="9a" w:themeShade="95"/>
      </w:rPr>
      <w:tblPr/>
      <w:tcPr>
        <w:tcBorders>
          <w:top w:val="single" w:color="FFD865" w:themeColor="accent4" w:sz="4" w:space="0"/>
        </w:tcBorders>
      </w:tcPr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firstRow">
      <w:rPr>
        <w:b/>
        <w:color w:themeColor="accent5" w:themeTint="9a" w:themeShade="95"/>
      </w:rPr>
      <w:tblPr/>
      <w:tcPr>
        <w:tcBorders>
          <w:bottom w:val="single" w:color="8DA9DB" w:themeColor="accent5" w:sz="4" w:space="0"/>
        </w:tcBorders>
      </w:tcPr>
    </w:tblStylePr>
    <w:tblStylePr w:type="lastRow">
      <w:rPr>
        <w:b/>
        <w:color w:themeColor="accent5" w:themeTint="9a" w:themeShade="95"/>
      </w:rPr>
      <w:tblPr/>
      <w:tcPr>
        <w:tcBorders>
          <w:top w:val="single" w:color="8DA9DB" w:themeColor="accent5" w:sz="4" w:space="0"/>
        </w:tcBorders>
      </w:tcPr>
    </w:tblStylePr>
    <w:tblStylePr w:type="firstCol">
      <w:rPr>
        <w:b/>
        <w:color w:themeColor="accent5" w:themeTint="9a" w:themeShade="95"/>
      </w:rPr>
      <w:tblPr/>
    </w:tblStylePr>
    <w:tblStylePr w:type="lastCol">
      <w:rPr>
        <w:b/>
        <w:color w:themeColor="accent5" w:themeTint="9a" w:themeShade="95"/>
      </w:rPr>
      <w:tblPr/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CFDBF0" w:fill="CFDB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firstRow">
      <w:rPr>
        <w:b/>
        <w:color w:themeColor="accent6" w:themeTint="98" w:themeShade="95"/>
      </w:rPr>
      <w:tblPr/>
      <w:tcPr>
        <w:tcBorders>
          <w:bottom w:val="single" w:color="A9D08E" w:themeColor="accent6" w:sz="4" w:space="0"/>
        </w:tcBorders>
      </w:tcPr>
    </w:tblStylePr>
    <w:tblStylePr w:type="lastRow">
      <w:rPr>
        <w:b/>
        <w:color w:themeColor="accent6" w:themeTint="98" w:themeShade="95"/>
      </w:rPr>
      <w:tblPr/>
      <w:tcPr>
        <w:tcBorders>
          <w:top w:val="single" w:color="A9D08E" w:themeColor="accent6" w:sz="4" w:space="0"/>
        </w:tcBorders>
      </w:tcPr>
    </w:tblStylePr>
    <w:tblStylePr w:type="firstCol">
      <w:rPr>
        <w:b/>
        <w:color w:themeColor="accent6" w:themeTint="98" w:themeShade="95"/>
      </w:rPr>
      <w:tblPr/>
    </w:tblStylePr>
    <w:tblStylePr w:type="lastCol">
      <w:rPr>
        <w:b/>
        <w:color w:themeColor="accent6" w:themeTint="98" w:themeShade="95"/>
      </w:rPr>
      <w:tblPr/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styleId="-70">
    <w:name w:val="List Table 7 Colorful"/>
    <w:basedOn w:val="a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7F7F7F" w:themeColor="text1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0" w:space="0"/>
          <w:left w:val="single" w:color="7F7F7F" w:themeColor="text1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5B9BD5" w:themeColor="accent1" w:sz="4" w:space="0"/>
      </w:tblBorders>
    </w:tblPr>
    <w:tblStylePr w:type="firstRow">
      <w:rPr>
        <w:i/>
        <w:color w:themeColor="accent1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5B9BD5" w:themeColor="accent1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5B9BD5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5B9BD5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000000" w:sz="0" w:space="0"/>
          <w:left w:val="single" w:color="5B9BD5" w:themeColor="accent1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5E5F4" w:fill="D5E5F4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F4B184" w:themeColor="accent2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F4B184" w:themeColor="accent2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0" w:space="0"/>
          <w:left w:val="single" w:color="F4B184" w:themeColor="accent2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C9C9C9" w:themeColor="accent3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C9C9C9" w:themeColor="accent3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000000" w:sz="0" w:space="0"/>
          <w:left w:val="single" w:color="C9C9C9" w:themeColor="accent3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FFD865" w:themeColor="accent4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FFD865" w:themeColor="accent4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0" w:space="0"/>
          <w:left w:val="single" w:color="FFD865" w:themeColor="accent4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8DA9DB" w:themeColor="accent5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8DA9DB" w:themeColor="accent5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8DA9DB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000000" w:sz="0" w:space="0"/>
          <w:left w:val="single" w:color="8DA9DB" w:themeColor="accent5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CFDBF0" w:fill="CFDB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A9D08E" w:themeColor="accent6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A9D08E" w:themeColor="accent6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000000" w:sz="0" w:space="0"/>
          <w:left w:val="single" w:color="A9D08E" w:themeColor="accent6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6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6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68A2D8" w:fill="68A2D8" w:themeFill="accent1" w:themeFillTint="ea"/>
      </w:tcPr>
    </w:tblStylePr>
    <w:tblStylePr w:type="lastRow">
      <w:rPr>
        <w:sz w:val="22"/>
      </w:rPr>
      <w:tblPr/>
      <w:tcPr>
        <w:shd w:val="clear" w:color="68A2D8" w:fill="68A2D8" w:themeFill="accent1" w:themeFillTint="ea"/>
      </w:tcPr>
    </w:tblStylePr>
    <w:tblStylePr w:type="firstCol">
      <w:rPr>
        <w:sz w:val="22"/>
      </w:rPr>
      <w:tblPr/>
      <w:tcPr>
        <w:shd w:val="clear" w:color="68A2D8" w:fill="68A2D8" w:themeFill="accent1" w:themeFillTint="ea"/>
      </w:tcPr>
    </w:tblStylePr>
    <w:tblStylePr w:type="lastCol">
      <w:rPr>
        <w:sz w:val="22"/>
      </w:rPr>
      <w:tblPr/>
      <w:tcPr>
        <w:shd w:val="clear" w:color="68A2D8" w:fill="68A2D8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BDFF1" w:fill="CBDFF1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BDFF1" w:fill="CBDFF1" w:themeFill="accent1" w:themeFillTint="50"/>
      </w:tcPr>
    </w:tblStylePr>
  </w:style>
  <w:style w:type="table" w:customStyle="1" w:styleId="Lined-Accent2">
    <w:name w:val="Lined - Accent 2"/>
    <w:basedOn w:val="a6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Lined-Accent3">
    <w:name w:val="Lined - Accent 3"/>
    <w:basedOn w:val="a6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Lined-Accent4">
    <w:name w:val="Lined - Accent 4"/>
    <w:basedOn w:val="a6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Lined-Accent5">
    <w:name w:val="Lined - Accent 5"/>
    <w:basedOn w:val="a6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4472C4" w:fill="4472C4" w:themeFill="accent5"/>
      </w:tcPr>
    </w:tblStylePr>
    <w:tblStylePr w:type="lastRow">
      <w:rPr>
        <w:sz w:val="22"/>
      </w:rPr>
      <w:tblPr/>
      <w:tcPr>
        <w:shd w:val="clear" w:color="4472C4" w:fill="4472C4" w:themeFill="accent5"/>
      </w:tcPr>
    </w:tblStylePr>
    <w:tblStylePr w:type="firstCol">
      <w:rPr>
        <w:sz w:val="22"/>
      </w:rPr>
      <w:tblPr/>
      <w:tcPr>
        <w:shd w:val="clear" w:color="4472C4" w:fill="4472C4" w:themeFill="accent5"/>
      </w:tcPr>
    </w:tblStylePr>
    <w:tblStylePr w:type="lastCol">
      <w:rPr>
        <w:sz w:val="22"/>
      </w:rPr>
      <w:tblPr/>
      <w:tcPr>
        <w:shd w:val="clear" w:color="4472C4" w:fill="4472C4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Lined-Accent6">
    <w:name w:val="Lined - Accent 6"/>
    <w:basedOn w:val="a6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70AD47" w:fill="70AD47" w:themeFill="accent6"/>
      </w:tcPr>
    </w:tblStylePr>
    <w:tblStylePr w:type="lastRow">
      <w:rPr>
        <w:sz w:val="22"/>
      </w:rPr>
      <w:tblPr/>
      <w:tcPr>
        <w:shd w:val="clear" w:color="70AD47" w:fill="70AD47" w:themeFill="accent6"/>
      </w:tcPr>
    </w:tblStylePr>
    <w:tblStylePr w:type="firstCol">
      <w:rPr>
        <w:sz w:val="22"/>
      </w:rPr>
      <w:tblPr/>
      <w:tcPr>
        <w:shd w:val="clear" w:color="70AD47" w:fill="70AD47" w:themeFill="accent6"/>
      </w:tcPr>
    </w:tblStylePr>
    <w:tblStylePr w:type="lastCol">
      <w:rPr>
        <w:sz w:val="22"/>
      </w:rPr>
      <w:tblPr/>
      <w:tcPr>
        <w:shd w:val="clear" w:color="70AD47" w:fill="70AD47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Lined-Accent">
    <w:name w:val="Bordered &amp; Lined - Accent"/>
    <w:basedOn w:val="a6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6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245A8D" w:themeColor="accent1" w:sz="4" w:space="0"/>
        <w:left w:val="single" w:color="245A8D" w:themeColor="accent1" w:sz="4" w:space="0"/>
        <w:bottom w:val="single" w:color="245A8D" w:themeColor="accent1" w:sz="4" w:space="0"/>
        <w:right w:val="single" w:color="245A8D" w:themeColor="accent1" w:sz="4" w:space="0"/>
        <w:insideH w:val="single" w:color="245A8D" w:themeColor="accent1" w:sz="4" w:space="0"/>
        <w:insideV w:val="single" w:color="245A8D" w:themeColor="accent1" w:sz="4" w:space="0"/>
      </w:tblBorders>
    </w:tblPr>
    <w:tblStylePr w:type="firstRow">
      <w:rPr>
        <w:sz w:val="22"/>
      </w:rPr>
      <w:tblPr/>
      <w:tcPr>
        <w:shd w:val="clear" w:color="68A2D8" w:fill="68A2D8" w:themeFill="accent1" w:themeFillTint="ea"/>
      </w:tcPr>
    </w:tblStylePr>
    <w:tblStylePr w:type="lastRow">
      <w:rPr>
        <w:sz w:val="22"/>
      </w:rPr>
      <w:tblPr/>
      <w:tcPr>
        <w:shd w:val="clear" w:color="68A2D8" w:fill="68A2D8" w:themeFill="accent1" w:themeFillTint="ea"/>
      </w:tcPr>
    </w:tblStylePr>
    <w:tblStylePr w:type="firstCol">
      <w:rPr>
        <w:sz w:val="22"/>
      </w:rPr>
      <w:tblPr/>
      <w:tcPr>
        <w:shd w:val="clear" w:color="68A2D8" w:fill="68A2D8" w:themeFill="accent1" w:themeFillTint="ea"/>
      </w:tcPr>
    </w:tblStylePr>
    <w:tblStylePr w:type="lastCol">
      <w:rPr>
        <w:sz w:val="22"/>
      </w:rPr>
      <w:tblPr/>
      <w:tcPr>
        <w:shd w:val="clear" w:color="68A2D8" w:fill="68A2D8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BDFF1" w:fill="CBDFF1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BDFF1" w:fill="CBDFF1" w:themeFill="accent1" w:themeFillTint="50"/>
      </w:tcPr>
    </w:tblStylePr>
  </w:style>
  <w:style w:type="table" w:customStyle="1" w:styleId="BorderedLined-Accent2">
    <w:name w:val="Bordered &amp; Lined - Accent 2"/>
    <w:basedOn w:val="a6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99460D" w:themeColor="accent2" w:sz="4" w:space="0"/>
        <w:left w:val="single" w:color="99460D" w:themeColor="accent2" w:sz="4" w:space="0"/>
        <w:bottom w:val="single" w:color="99460D" w:themeColor="accent2" w:sz="4" w:space="0"/>
        <w:right w:val="single" w:color="99460D" w:themeColor="accent2" w:sz="4" w:space="0"/>
        <w:insideH w:val="single" w:color="99460D" w:themeColor="accent2" w:sz="4" w:space="0"/>
        <w:insideV w:val="single" w:color="99460D" w:themeColor="accent2" w:sz="4" w:space="0"/>
      </w:tblBorders>
    </w:tblPr>
    <w:tblStylePr w:type="firstRow">
      <w:rPr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BorderedLined-Accent3">
    <w:name w:val="Bordered &amp; Lined - Accent 3"/>
    <w:basedOn w:val="a6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606060" w:themeColor="accent3" w:sz="4" w:space="0"/>
        <w:left w:val="single" w:color="606060" w:themeColor="accent3" w:sz="4" w:space="0"/>
        <w:bottom w:val="single" w:color="606060" w:themeColor="accent3" w:sz="4" w:space="0"/>
        <w:right w:val="single" w:color="606060" w:themeColor="accent3" w:sz="4" w:space="0"/>
        <w:insideH w:val="single" w:color="606060" w:themeColor="accent3" w:sz="4" w:space="0"/>
        <w:insideV w:val="single" w:color="606060" w:themeColor="accent3" w:sz="4" w:space="0"/>
      </w:tblBorders>
    </w:tblPr>
    <w:tblStylePr w:type="firstRow">
      <w:rPr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BorderedLined-Accent4">
    <w:name w:val="Bordered &amp; Lined - Accent 4"/>
    <w:basedOn w:val="a6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957000" w:themeColor="accent4" w:sz="4" w:space="0"/>
        <w:left w:val="single" w:color="957000" w:themeColor="accent4" w:sz="4" w:space="0"/>
        <w:bottom w:val="single" w:color="957000" w:themeColor="accent4" w:sz="4" w:space="0"/>
        <w:right w:val="single" w:color="957000" w:themeColor="accent4" w:sz="4" w:space="0"/>
        <w:insideH w:val="single" w:color="957000" w:themeColor="accent4" w:sz="4" w:space="0"/>
        <w:insideV w:val="single" w:color="957000" w:themeColor="accent4" w:sz="4" w:space="0"/>
      </w:tblBorders>
    </w:tblPr>
    <w:tblStylePr w:type="firstRow">
      <w:rPr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BorderedLined-Accent5">
    <w:name w:val="Bordered &amp; Lined - Accent 5"/>
    <w:basedOn w:val="a6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254175" w:themeColor="accent5" w:sz="4" w:space="0"/>
        <w:left w:val="single" w:color="254175" w:themeColor="accent5" w:sz="4" w:space="0"/>
        <w:bottom w:val="single" w:color="254175" w:themeColor="accent5" w:sz="4" w:space="0"/>
        <w:right w:val="single" w:color="254175" w:themeColor="accent5" w:sz="4" w:space="0"/>
        <w:insideH w:val="single" w:color="254175" w:themeColor="accent5" w:sz="4" w:space="0"/>
        <w:insideV w:val="single" w:color="254175" w:themeColor="accent5" w:sz="4" w:space="0"/>
      </w:tblBorders>
    </w:tblPr>
    <w:tblStylePr w:type="firstRow">
      <w:rPr>
        <w:sz w:val="22"/>
      </w:rPr>
      <w:tblPr/>
      <w:tcPr>
        <w:shd w:val="clear" w:color="4472C4" w:fill="4472C4" w:themeFill="accent5"/>
      </w:tcPr>
    </w:tblStylePr>
    <w:tblStylePr w:type="lastRow">
      <w:rPr>
        <w:sz w:val="22"/>
      </w:rPr>
      <w:tblPr/>
      <w:tcPr>
        <w:shd w:val="clear" w:color="4472C4" w:fill="4472C4" w:themeFill="accent5"/>
      </w:tcPr>
    </w:tblStylePr>
    <w:tblStylePr w:type="firstCol">
      <w:rPr>
        <w:sz w:val="22"/>
      </w:rPr>
      <w:tblPr/>
      <w:tcPr>
        <w:shd w:val="clear" w:color="4472C4" w:fill="4472C4" w:themeFill="accent5"/>
      </w:tcPr>
    </w:tblStylePr>
    <w:tblStylePr w:type="lastCol">
      <w:rPr>
        <w:sz w:val="22"/>
      </w:rPr>
      <w:tblPr/>
      <w:tcPr>
        <w:shd w:val="clear" w:color="4472C4" w:fill="4472C4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BorderedLined-Accent6">
    <w:name w:val="Bordered &amp; Lined - Accent 6"/>
    <w:basedOn w:val="a6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416429" w:themeColor="accent6" w:sz="4" w:space="0"/>
        <w:left w:val="single" w:color="416429" w:themeColor="accent6" w:sz="4" w:space="0"/>
        <w:bottom w:val="single" w:color="416429" w:themeColor="accent6" w:sz="4" w:space="0"/>
        <w:right w:val="single" w:color="416429" w:themeColor="accent6" w:sz="4" w:space="0"/>
        <w:insideH w:val="single" w:color="416429" w:themeColor="accent6" w:sz="4" w:space="0"/>
        <w:insideV w:val="single" w:color="416429" w:themeColor="accent6" w:sz="4" w:space="0"/>
      </w:tblBorders>
    </w:tblPr>
    <w:tblStylePr w:type="firstRow">
      <w:rPr>
        <w:sz w:val="22"/>
      </w:rPr>
      <w:tblPr/>
      <w:tcPr>
        <w:shd w:val="clear" w:color="70AD47" w:fill="70AD47" w:themeFill="accent6"/>
      </w:tcPr>
    </w:tblStylePr>
    <w:tblStylePr w:type="lastRow">
      <w:rPr>
        <w:sz w:val="22"/>
      </w:rPr>
      <w:tblPr/>
      <w:tcPr>
        <w:shd w:val="clear" w:color="70AD47" w:fill="70AD47" w:themeFill="accent6"/>
      </w:tcPr>
    </w:tblStylePr>
    <w:tblStylePr w:type="firstCol">
      <w:rPr>
        <w:sz w:val="22"/>
      </w:rPr>
      <w:tblPr/>
      <w:tcPr>
        <w:shd w:val="clear" w:color="70AD47" w:fill="70AD47" w:themeFill="accent6"/>
      </w:tcPr>
    </w:tblStylePr>
    <w:tblStylePr w:type="lastCol">
      <w:rPr>
        <w:sz w:val="22"/>
      </w:rPr>
      <w:tblPr/>
      <w:tcPr>
        <w:shd w:val="clear" w:color="70AD47" w:fill="70AD47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">
    <w:name w:val="Bordered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firstRow">
      <w:rPr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firstRow">
      <w:rPr>
        <w:sz w:val="22"/>
      </w:rPr>
      <w:tblPr/>
      <w:tcPr>
        <w:tcBorders>
          <w:bottom w:val="single" w:color="5B9BD5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5B9BD5" w:themeColor="accen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5B9BD5" w:themeColor="accent1" w:sz="12" w:space="0"/>
        </w:tcBorders>
      </w:tcPr>
    </w:tblStylePr>
    <w:tblStylePr w:type="band1Horz">
      <w:rPr>
        <w:sz w:val="22"/>
      </w:rPr>
      <w:tblPr/>
      <w:tcPr>
        <w:tcBorders>
          <w:top w:val="single" w:color="BCD6EE" w:themeColor="accent1" w:sz="4" w:space="0"/>
          <w:left w:val="single" w:color="BCD6EE" w:themeColor="accent1" w:sz="4" w:space="0"/>
          <w:bottom w:val="single" w:color="BCD6EE" w:themeColor="accent1" w:sz="4" w:space="0"/>
          <w:right w:val="single" w:color="BCD6EE" w:themeColor="accent1" w:sz="4" w:space="0"/>
        </w:tcBorders>
      </w:tcPr>
    </w:tblStylePr>
  </w:style>
  <w:style w:type="table" w:customStyle="1" w:styleId="Bordered-Accent2">
    <w:name w:val="Bordered - Accent 2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sz w:val="22"/>
      </w:rPr>
      <w:tblPr/>
      <w:tcPr>
        <w:tcBorders>
          <w:bottom w:val="single" w:color="F4B184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F4B184" w:themeColor="accent2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4B184" w:themeColor="accent2" w:sz="12" w:space="0"/>
        </w:tcBorders>
      </w:tcPr>
    </w:tblStylePr>
    <w:tblStylePr w:type="band1Horz">
      <w:rPr>
        <w:sz w:val="22"/>
      </w:rPr>
      <w:tblPr/>
      <w:tcPr>
        <w:tcBorders>
          <w:top w:val="single" w:color="F7CAAB" w:themeColor="accent2" w:sz="4" w:space="0"/>
          <w:left w:val="single" w:color="F7CAAB" w:themeColor="accent2" w:sz="4" w:space="0"/>
          <w:bottom w:val="single" w:color="F7CAAB" w:themeColor="accent2" w:sz="4" w:space="0"/>
          <w:right w:val="single" w:color="F7CAAB" w:themeColor="accent2" w:sz="4" w:space="0"/>
        </w:tcBorders>
      </w:tcPr>
    </w:tblStylePr>
  </w:style>
  <w:style w:type="table" w:customStyle="1" w:styleId="Bordered-Accent3">
    <w:name w:val="Bordered - Accent 3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sz w:val="22"/>
      </w:rPr>
      <w:tblPr/>
      <w:tcPr>
        <w:tcBorders>
          <w:bottom w:val="single" w:color="C9C9C9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C9C9C9" w:themeColor="accent3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C9C9C9" w:themeColor="accent3" w:sz="12" w:space="0"/>
        </w:tcBorders>
      </w:tcPr>
    </w:tblStylePr>
    <w:tblStylePr w:type="band1Horz">
      <w:rPr>
        <w:sz w:val="22"/>
      </w:rPr>
      <w:tblPr/>
      <w:tcPr>
        <w:tcBorders>
          <w:top w:val="single" w:color="DADADA" w:themeColor="accent3" w:sz="4" w:space="0"/>
          <w:left w:val="single" w:color="DADADA" w:themeColor="accent3" w:sz="4" w:space="0"/>
          <w:bottom w:val="single" w:color="DADADA" w:themeColor="accent3" w:sz="4" w:space="0"/>
          <w:right w:val="single" w:color="DADADA" w:themeColor="accent3" w:sz="4" w:space="0"/>
        </w:tcBorders>
      </w:tcPr>
    </w:tblStylePr>
  </w:style>
  <w:style w:type="table" w:customStyle="1" w:styleId="Bordered-Accent4">
    <w:name w:val="Bordered - Accent 4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firstRow">
      <w:rPr>
        <w:sz w:val="22"/>
      </w:rPr>
      <w:tblPr/>
      <w:tcPr>
        <w:tcBorders>
          <w:bottom w:val="single" w:color="FFD865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FFD865" w:themeColor="accent4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FD865" w:themeColor="accent4" w:sz="12" w:space="0"/>
        </w:tcBorders>
      </w:tcPr>
    </w:tblStylePr>
    <w:tblStylePr w:type="band1Horz">
      <w:rPr>
        <w:sz w:val="22"/>
      </w:rPr>
      <w:tblPr/>
      <w:tcPr>
        <w:tcBorders>
          <w:top w:val="single" w:color="FFE598" w:themeColor="accent4" w:sz="4" w:space="0"/>
          <w:left w:val="single" w:color="FFE598" w:themeColor="accent4" w:sz="4" w:space="0"/>
          <w:bottom w:val="single" w:color="FFE598" w:themeColor="accent4" w:sz="4" w:space="0"/>
          <w:right w:val="single" w:color="FFE598" w:themeColor="accent4" w:sz="4" w:space="0"/>
        </w:tcBorders>
      </w:tcPr>
    </w:tblStylePr>
  </w:style>
  <w:style w:type="table" w:customStyle="1" w:styleId="Bordered-Accent5">
    <w:name w:val="Bordered - Accent 5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firstRow">
      <w:rPr>
        <w:sz w:val="22"/>
      </w:rPr>
      <w:tblPr/>
      <w:tcPr>
        <w:tcBorders>
          <w:bottom w:val="single" w:color="8DA9DB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8DA9DB" w:themeColor="accent5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8DA9DB" w:themeColor="accent5" w:sz="12" w:space="0"/>
        </w:tcBorders>
      </w:tcPr>
    </w:tblStylePr>
    <w:tblStylePr w:type="band1Horz">
      <w:rPr>
        <w:sz w:val="22"/>
      </w:rPr>
      <w:tblPr/>
      <w:tcPr>
        <w:tcBorders>
          <w:top w:val="single" w:color="B3C5E7" w:themeColor="accent5" w:sz="4" w:space="0"/>
          <w:left w:val="single" w:color="B3C5E7" w:themeColor="accent5" w:sz="4" w:space="0"/>
          <w:bottom w:val="single" w:color="B3C5E7" w:themeColor="accent5" w:sz="4" w:space="0"/>
          <w:right w:val="single" w:color="B3C5E7" w:themeColor="accent5" w:sz="4" w:space="0"/>
        </w:tcBorders>
      </w:tcPr>
    </w:tblStylePr>
  </w:style>
  <w:style w:type="table" w:customStyle="1" w:styleId="Bordered-Accent6">
    <w:name w:val="Bordered - Accent 6"/>
    <w:basedOn w:val="a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sz w:val="22"/>
      </w:rPr>
      <w:tblPr/>
      <w:tcPr>
        <w:tcBorders>
          <w:bottom w:val="single" w:color="A9D08E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A9D08E" w:themeColor="accent6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A9D08E" w:themeColor="accent6" w:sz="12" w:space="0"/>
        </w:tcBorders>
      </w:tcPr>
    </w:tblStylePr>
    <w:tblStylePr w:type="band1Horz">
      <w:rPr>
        <w:sz w:val="22"/>
      </w:rPr>
      <w:tblPr/>
      <w:tcPr>
        <w:tcBorders>
          <w:top w:val="single" w:color="C4DFB2" w:themeColor="accent6" w:sz="4" w:space="0"/>
          <w:left w:val="single" w:color="C4DFB2" w:themeColor="accent6" w:sz="4" w:space="0"/>
          <w:bottom w:val="single" w:color="C4DFB2" w:themeColor="accent6" w:sz="4" w:space="0"/>
          <w:right w:val="single" w:color="C4DFB2" w:themeColor="accent6" w:sz="4" w:space="0"/>
        </w:tcBorders>
      </w:tcPr>
    </w:tblStylePr>
  </w:style>
  <w:style w:type="table" w:customStyle="1" w:styleId="afd">
    <w:name w:val="Таблица"/>
    <w:basedOn w:val="a6"/>
    <w:uiPriority w:val="99"/>
    <w:pPr>
      <w:spacing w:before="60" w:after="60" w:line="240" w:lineRule="auto"/>
      <w:jc w:val="both"/>
    </w:pPr>
    <w:rPr>
      <w:szCs w:val="24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57" w:type="dxa"/>
        <w:right w:w="57" w:type="dxa"/>
      </w:tblCellMar>
    </w:tblPr>
    <w:tblStylePr w:type="firstRow">
      <w:pPr>
        <w:jc w:val="center"/>
      </w:pPr>
      <w:rPr>
        <w:b/>
      </w:rPr>
      <w:tblPr/>
      <w:trPr>
        <w:tblHeader/>
      </w:trPr>
      <w:tcPr>
        <w:vAlign w:val="center"/>
      </w:tcPr>
    </w:tblStylePr>
    <w:tblStylePr w:type="lastRow">
      <w:pPr/>
      <w:tblPr/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1CA322-F3BB-437E-B87C-B49480045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LibreOffice/25.8.0.4$Linux_X86_64 LibreOffice_project/48f00303701489684e67c38c28aff00cd5929e67</Application>
  <AppVersion>15.0000</AppVersion>
  <Pages>28</Pages>
  <Words>10807</Words>
  <Characters>77339</Characters>
  <CharactersWithSpaces>87076</CharactersWithSpaces>
  <Paragraphs>1032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2026-02-24T04:27:00Z</dcterms:created>
  <dc:creator>Куулар Бады</dc:creator>
  <dc:description/>
  <dc:language>ru-RU</dc:language>
  <cp:lastModifiedBy/>
  <dcterms:modified xsi:type="dcterms:W3CDTF">2026-03-20T13:32:08Z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