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end="-1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оказание услуг по сервисному обслуживанию муниципальной системы оповещения населения муниципального образования «Город Томск» 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b/>
          <w:sz w:val="24"/>
          <w:szCs w:val="24"/>
          <w:lang w:eastAsia="ru-RU"/>
        </w:rPr>
        <w:t>Общие сведения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Место оказания услуг: Томская область, город Томск, пер. Сакко, дом 2, перечень</w:t>
      </w:r>
      <w:r>
        <w:rPr>
          <w:rFonts w:ascii="Times New Roman" w:hAnsi="Times New Roman"/>
          <w:sz w:val="24"/>
          <w:szCs w:val="24"/>
        </w:rPr>
        <w:t xml:space="preserve"> мест размещения объектов указаны в Приложении №1 к Техническому заданию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Оказание услуг осуществляется </w:t>
      </w:r>
      <w:r>
        <w:rPr>
          <w:rFonts w:ascii="Times New Roman" w:hAnsi="Times New Roman"/>
          <w:sz w:val="24"/>
          <w:szCs w:val="24"/>
        </w:rPr>
        <w:t>Исполнителем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shd w:fill="auto" w:val="clear"/>
        </w:rPr>
        <w:t>с 01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апреля 2026 до 30 ноября 2026 года.</w:t>
      </w:r>
    </w:p>
    <w:p>
      <w:pPr>
        <w:pStyle w:val="Normal"/>
        <w:spacing w:lineRule="auto" w:line="240" w:before="0" w:after="0"/>
        <w:ind w:end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Услуга по сервисному обслуживанию МСОН включает в себя комплекс взаимозависимых работ по обеспечению сетевой связанности и сопряженности объектов, в том числе настройке оборудования связи, поддержанию в исправном состоянии, восстановлению работоспособности технических комплексов оповещения. 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МСОН включает в себя автоматизированное рабочее место (пункт управления) и 104 комплекса технических средств оповещения с установленным специальным программным обеспечением П-166 ИТК ОС. Перечень мест расположения, описание состава оборудования приведены в Приложении №1 Техническому заданию.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документация размещена по следующей ссылке: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https://drive.rt.ru/pbl/801cd50f-2829-11f1-b11a-b026285a8d4e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 по сервисному обслуживанию МСОН включает в себя: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360" w:start="740" w:end="2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программное сопровождение технических комплексов оповещения;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b/>
          <w:sz w:val="24"/>
          <w:szCs w:val="24"/>
          <w:lang w:eastAsia="ru-RU"/>
        </w:rPr>
        <w:t xml:space="preserve">Требования, предъявляемые Заказчиком к оказываемым услугам.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обязуется оказывать услугу по сервисному обслуживанию технических комплексов оповещения МСОН, находящихся в ведении Государственного Заказчика. Перечень и места установки программно-технических комплексов оповещения приведен в Приложении № 1 к Техническому заданию.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Перед началом работ, в случае необходимости, Исполнитель должен самостоятельно получить всю необходимую документацию и согласование на проведение работ, в том числе самостоятельно получить </w:t>
      </w:r>
      <w:r>
        <w:rPr>
          <w:rFonts w:ascii="Times New Roman" w:hAnsi="Times New Roman"/>
          <w:sz w:val="24"/>
          <w:szCs w:val="24"/>
        </w:rPr>
        <w:t>техническую документацию, находящуюся в распоряжении Государственного Заказчика (руководства по эксплуатации, паспорта ТСО и др.).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Обслуживающий персонал Исполнителя должен быть обучен и допущен к выполнению сервисного обслуживания МСОН изготовителем оборудования системы оповещения и иметь соответствующие подтверждающие документы (сертификат, официальное письмо и т.п.).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принимает на себя выполнение следующих обязательств: 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start="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обеспечить сетевую сопряженность и связанность объектов МСОН, включая настройку сетевого оборудования всех комплексов оповещения и пункта управления в течении 10 календарных дней с даты заключения договора.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start="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обеспечивать постоянную техническую готовность и работоспособность технических средств оповещения, принятых на обслуживание; 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start="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проводить сервисное обслуживание в отношении указанных в Приложении № 1 средств оповещения в соответствии с Планом-графиком; 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start="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проводить удаленное сервисное обслуживание, включающее мониторинг состояния оборудования и отработки сигналов оповещения, анализ работоспособности программных и технических средств оповещения; 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ind w:firstLine="709" w:start="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принимать участие в технических проверках системы оповещения;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36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Обеспечение готовности включает в себя следующий комплекс мероприятий: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обеспечить техническую готовность системы оповещения, организовать мониторинг состояния технических средств оповещения;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еженедельный запрос и анализ технического состояния установленного оборудования (в рабочие дни) с 07:00 до 08:00;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регистрация и обработка аварийных сообщений от оконечного оборудования, их проверка и информирование Заказчика о неисправностях;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проверка и, при необходимости, актуализация конфигурационных параметров оборудования;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контроль целостности каталога сигналов оповещения, предварительно записанных в память оборудования;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восстановление конфигурации оборудования оповещения, возникшее вследствие ошибок эксплуатирующего персонала;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участие в технических проверках системы оповещения, анализ работы программных и технических средств оповещения по журналам и результатов фактической отработки по информации дежурно-диспетчерских служб;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при отказах технических средств обеспечить проведение удаленной диагностики вышедшего из строя оборудования и его восстановление. Результаты проверки технического состояния системы оповещения, изменения режимов работы, отказов технических средств оповещения, каналов связи, принятые меры записываются в технический журнал системы.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Сервисное сопровождение технических комплексов оповещения осуществляется специалистами Исполнителя и предусматривает выполнение следующих видов работ: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сбор статистической информации, ее предварительный анализ, оценку эффективности функционирования, прогнозирование и планирование критичных или аварийных событий, разработка предложений в рамках удалённого технического обслуживания;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уведомление Заказчика о выпуске модернизированной версии;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предоставление пакета обновленной эксплуатационной документации в составе модернизированной версии;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предоставление и установка обновления версии специализированного программного обеспечения (прошивок) аппаратуры П-166 ИТК ОС, оконечного оборудования, сетевого оборудования, конфигурирование параметров операционной системы автоматизированного рабочего места, в срок не позднее одного календарного месяца с даты выпуска;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установка обновлений текущих версий общесистемного программного обеспечения, установленного у Заказчика;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проведение удаленной диагностики и восстановления работоспособности программно-технических комплексов оповещения, в случае сбоев оборудования или программного обеспечения;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проведение резервного копирования баз данных П-166 ИТК ОС (контроль и модификация процедур автоматического копирования баз данных; контроль результатов процедур автоматического копирования баз данных);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firstLine="74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установка и обновление общесистемного и специального программного обеспечения должна осуществляться в соответствии с требованиями нормативно-правовых актов в области авторских прав.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shd w:fill="FFFFFF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FFFFFF" w:val="clear"/>
          <w:lang w:eastAsia="ru-RU"/>
        </w:rPr>
        <w:t>В 10-ти дневный срок с момента заключения договора Исполнитель обязан: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firstLine="709" w:start="0"/>
        <w:jc w:val="both"/>
        <w:rPr/>
      </w:pPr>
      <w:r>
        <w:rPr>
          <w:rFonts w:eastAsia="Times New Roman" w:cs="Times New Roman CYR" w:ascii="Times New Roman" w:hAnsi="Times New Roman"/>
          <w:sz w:val="24"/>
          <w:szCs w:val="24"/>
          <w:shd w:fill="FFFFFF" w:val="clear"/>
          <w:lang w:eastAsia="ru-RU"/>
        </w:rPr>
        <w:t xml:space="preserve">выяснить состояние оборудования и программного обеспечения комплексов системы оповещения; </w:t>
      </w:r>
    </w:p>
    <w:p>
      <w:pPr>
        <w:pStyle w:val="Normal"/>
        <w:widowControl w:val="false"/>
        <w:numPr>
          <w:ilvl w:val="0"/>
          <w:numId w:val="6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обеспечить сетевую сопряженность и связанность объектов МСОН, произвести настройку сетевого оборудования всех комплексов оборудования и пункта управления.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Для оказания услуги у Исполнителя должен быть один из следующих документов: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письменное подтверждение производителя оборудования полномочий специалиста по выполнению работ по техническому обслуживанию оборудования; </w:t>
      </w:r>
    </w:p>
    <w:p>
      <w:pPr>
        <w:pStyle w:val="Normal"/>
        <w:widowControl w:val="false"/>
        <w:numPr>
          <w:ilvl w:val="0"/>
          <w:numId w:val="7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действующий сертификат о присвоении квалификации «специалист по настройке и техническому сопровождению программного обеспечения и оборудования П-166 ИТК ОС»;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bookmarkStart w:id="0" w:name="_Hlk198901502"/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Работы по технической поддержке организуются и выполняются в соответствии с законодательством Российской Федерации в области охраны труда, в соответствии с ГОСТ 15.601-98, ГОСТ 28.001-83, ГОСТ 18322-2016, «Правил устройства электроустан</w:t>
      </w:r>
      <w:r>
        <w:rPr>
          <w:rFonts w:eastAsia="Times New Roman" w:cs="Times New Roman CYR" w:ascii="Times New Roman" w:hAnsi="Times New Roman"/>
          <w:color w:val="000000"/>
          <w:sz w:val="24"/>
          <w:szCs w:val="24"/>
          <w:lang w:eastAsia="ru-RU"/>
        </w:rPr>
        <w:t xml:space="preserve">овок» ПУЭ, </w:t>
      </w:r>
      <w:r>
        <w:rPr>
          <w:rFonts w:eastAsia="Times New Roman" w:cs="Times New Roman CYR" w:ascii="Times New Roman" w:hAnsi="Times New Roman"/>
          <w:color w:val="232222"/>
          <w:sz w:val="24"/>
          <w:szCs w:val="24"/>
          <w:shd w:fill="FFFFFF" w:val="clear"/>
          <w:lang w:eastAsia="ru-RU"/>
        </w:rPr>
        <w:t>СП 76.13330.2016 «Электротехнические устройства»</w:t>
      </w:r>
      <w:r>
        <w:rPr>
          <w:rFonts w:eastAsia="Times New Roman" w:cs="Times New Roman CYR" w:ascii="Times New Roman" w:hAnsi="Times New Roman"/>
          <w:color w:val="000000"/>
          <w:sz w:val="24"/>
          <w:szCs w:val="24"/>
          <w:lang w:eastAsia="ru-RU"/>
        </w:rPr>
        <w:t xml:space="preserve"> утв. </w:t>
      </w:r>
      <w:hyperlink r:id="rId2" w:anchor="/document/71630454/entry/0" w:tgtFrame="_blank">
        <w:r>
          <w:rPr>
            <w:rStyle w:val="Style9"/>
            <w:rFonts w:eastAsia="Times New Roman" w:cs="Times New Roman CYR" w:ascii="Times New Roman" w:hAnsi="Times New Roman"/>
            <w:color w:val="000000"/>
            <w:sz w:val="24"/>
            <w:szCs w:val="24"/>
            <w:shd w:fill="FFFFFF" w:val="clear"/>
            <w:lang w:val="x-none" w:eastAsia="ar-SA"/>
          </w:rPr>
          <w:t>приказом Министерства строительства и ЖКХ РФ от 16 декабря 2016 г. №955/пр</w:t>
        </w:r>
      </w:hyperlink>
      <w:r>
        <w:rPr>
          <w:rFonts w:eastAsia="Times New Roman" w:cs="Times New Roman CYR" w:ascii="Times New Roman" w:hAnsi="Times New Roman"/>
          <w:color w:val="000000"/>
          <w:sz w:val="24"/>
          <w:szCs w:val="24"/>
          <w:lang w:eastAsia="ru-RU"/>
        </w:rPr>
        <w:t xml:space="preserve">. </w:t>
      </w:r>
      <w:bookmarkEnd w:id="0"/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Для выполнения работ руководители организаций, осуществляющих сервисное обслуживание, назначают специалистов из числа своих сотрудников и допускают к проведению этих работ с учетом наличия у них: </w:t>
      </w:r>
    </w:p>
    <w:p>
      <w:pPr>
        <w:pStyle w:val="Normal"/>
        <w:widowControl w:val="false"/>
        <w:numPr>
          <w:ilvl w:val="0"/>
          <w:numId w:val="8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профильного образования в области информационных и коммуникационных технологий;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Специалисты Исполнителя обязаны соблюдать требования внутренних регламентов Заказчика и организаций, на территории которых установлено обслуживаемое оборудование. </w:t>
      </w:r>
    </w:p>
    <w:p>
      <w:pPr>
        <w:pStyle w:val="Normal"/>
        <w:widowControl w:val="false"/>
        <w:spacing w:lineRule="auto" w:line="240" w:before="0" w:after="0"/>
        <w:ind w:start="709"/>
        <w:jc w:val="both"/>
        <w:rPr>
          <w:rFonts w:ascii="Times New Roman" w:hAnsi="Times New Roman" w:eastAsia="Times New Roman" w:cs="Times New Roman CYR"/>
          <w:sz w:val="16"/>
          <w:szCs w:val="16"/>
          <w:lang w:eastAsia="ru-RU"/>
        </w:rPr>
      </w:pPr>
      <w:r>
        <w:rPr>
          <w:rFonts w:eastAsia="Times New Roman" w:cs="Times New Roman CYR" w:ascii="Times New Roman" w:hAnsi="Times New Roman"/>
          <w:sz w:val="16"/>
          <w:szCs w:val="16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b/>
          <w:sz w:val="24"/>
          <w:szCs w:val="24"/>
          <w:lang w:eastAsia="ru-RU"/>
        </w:rPr>
        <w:t xml:space="preserve">Порядок оказания услуг по сервисному обслуживанию.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Обслуживание технических комплексов оповещения проводится удаленно силами Исполнителя.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Обслуживание проводится в сроки, указанные в План-графике технического обслуживания средств оповещения.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Ремонтно-восстановительные работы выполняются удаленно Исполнителем по согласованию с Заказчиком.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обязан приступить к началу ремонтно-восстановительных работ в течение 1 часа с момента получения согласования от Заказчика.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Срок ремонтно-восстановительных работ: 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программные сбои – в течение 1 рабочего дня; </w:t>
      </w:r>
    </w:p>
    <w:p>
      <w:pPr>
        <w:pStyle w:val="Normal"/>
        <w:widowControl w:val="false"/>
        <w:numPr>
          <w:ilvl w:val="0"/>
          <w:numId w:val="9"/>
        </w:numPr>
        <w:spacing w:lineRule="auto" w:line="240" w:before="0" w:after="0"/>
        <w:ind w:firstLine="709" w:start="0"/>
        <w:jc w:val="both"/>
        <w:rPr>
          <w:highlight w:val="none"/>
          <w:shd w:fill="auto" w:val="clear"/>
        </w:rPr>
      </w:pPr>
      <w:r>
        <w:rPr>
          <w:rFonts w:eastAsia="Times New Roman" w:cs="Times New Roman CYR" w:ascii="Times New Roman" w:hAnsi="Times New Roman"/>
          <w:sz w:val="24"/>
          <w:szCs w:val="24"/>
          <w:shd w:fill="auto" w:val="clear"/>
          <w:lang w:eastAsia="ru-RU"/>
        </w:rPr>
        <w:t xml:space="preserve">технические неисправности: – в течение 3-х рабочих дней (при наличии запасного имущества и принадлежностей у Исполнителя) и в течение 20 рабочих дней при заказе необходимых запасных частей и оборудования для полного восстановления работы комплексов за счет сил и средств Исполнителя.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b/>
          <w:bCs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 xml:space="preserve">Исполнитель обязан проинформировать Заказчика о характере неисправности, принятых мерах и предположительных сроках восстановления работоспособности. 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 осуществлении замены оборудования МСОН сторонами составляется Акт по форме, указанной в Приложении №3.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709" w:start="0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  <w:t>При передаче оборудования в ремонт (в том числе гарантийный) сторонами составляется Акт по форме, указанной в Приложении №4.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 CYR"/>
          <w:sz w:val="24"/>
          <w:szCs w:val="24"/>
          <w:lang w:eastAsia="ru-RU"/>
        </w:rPr>
      </w:pPr>
      <w:r>
        <w:rPr>
          <w:rFonts w:eastAsia="Times New Roman" w:cs="Times New Roman CYR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>
      <w:pPr>
        <w:pStyle w:val="NoSpacing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30"/>
        <w:gridCol w:w="2456"/>
        <w:gridCol w:w="2292"/>
        <w:gridCol w:w="782"/>
        <w:gridCol w:w="3474"/>
      </w:tblGrid>
      <w:tr>
        <w:trPr>
          <w:trHeight w:val="836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star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ТСО 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места размещения ТСО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(шт.)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Необходимость обеспечения каналов связи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на открытом воздухе)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Михайловская роща, координаты: 56°29'35.7"N 84°58'58.3"E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Ленина, 73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с. Тимирязевское, ул. Путевая, 3Д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К. Маркса, 34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Московский тракт, 19/1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Ленина, 61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Нахимова,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Залесская, 16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Сахарова, 46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1ая Заречная, 51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Высоцкого, 16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Пионерский, 14А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Лебедева, 135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Ботанический, 16/6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2ой Басандайский пер.,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Щорса, 15/2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Партизанская, 23/1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М. Горького, 55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Войкова, 64/1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Сухозерный,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с. Дзержинское, ул. Фабричная, 11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>
          <w:trHeight w:val="1412" w:hRule="atLeast"/>
        </w:trPr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и речевого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Береговая,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Кирова, 11А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Енисейская, 33 стр.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Шевченко, 41А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Комсомольский, 66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Савиных, 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Мира, 52 стр.4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Белозерская, 24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Плеханова,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Гоголя, 12/1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Вершинина, 17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Белозерская, 12/1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Герцена, 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Беринга,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Смирнова, 28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Ф. Мюнниха, 12/1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Вавилова,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Дизайнеров,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Кирова, 12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Усова, 56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Карташова, 47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Нахимова, 30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Интернационалистов, 12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Ленина, 53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Никитина, 24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Водяная, 31/1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Ивановского, 21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Л. Шевцовой, 3/1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Никитина, 62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Иркутский тракт, 175/3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Белинского, 65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Ф. Лыткина, 24А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Кольцевой проезд, 39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5ой Армии, 24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Ленина, 245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д. Лоскутово, ул. Ленина, 27А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Иркутский тракт, 51/3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Елизаровых, 47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Пирогова, 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Тверская, 74А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Бирюкова, 22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С. Лазо, 14/2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С. Лазо, 22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Юрточный,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Ачинская, 22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Октябрьская, 16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Лебедева,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Челюскинцев, 20А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Лебедева, 94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Алтайская, 120/1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Фрунзе, 135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Пушкина, 54/1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К. Ильмера, 11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пос. Светлый, 33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Центральная, 4А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Иркутский тракт, 140/1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Б. Куна,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Новосибирская, 38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Усова, 68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Б. Хмельницкого, 40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Мокрушина, 10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К. Маркса, 21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Р. Люксембург, 64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Басандайская, 11/1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Д. Бедного,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Никитина,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Смирнова 50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П. Федоровского,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пл. Зуева,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Алтайская, 161а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Баумана, 20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Елизаровых, 59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Ивановского,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Ивановского, 8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пр. Кирова, 70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Профсоюзная, 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Причальная, 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Причальная, 11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Кузовлевский тракт, 48</w:t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(п. Спутник НИИЯФ)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Сосновый бор, ул. Алеутская, 4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ул. Ферганская, 25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Нижний склад, ул. Сплавная, 56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Комплекс технических средств электросиренного оповещения (исполнение для установки внутри помещений)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п. Эушта, ул. Школьная, 3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Резервный 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</w:rPr>
              <w:t>Автоматизированное рабочее место</w:t>
            </w:r>
          </w:p>
        </w:tc>
        <w:tc>
          <w:tcPr>
            <w:tcW w:w="2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пер. Сакко, 2</w:t>
            </w:r>
          </w:p>
        </w:tc>
        <w:tc>
          <w:tcPr>
            <w:tcW w:w="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и резервный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start="567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>
      <w:pPr>
        <w:pStyle w:val="Normal"/>
        <w:spacing w:before="0" w:after="0"/>
        <w:ind w:start="567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10195" w:leader="dot"/>
        </w:tabs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№______</w:t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замены оборудования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___________________                                                               «___»_____________ 20___ г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Заводской номер блока, подлежащего замене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Заводской номер установленного блока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монтажа: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неисправности: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действий, произведенных по выявлению и устранению дефекта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242"/>
        <w:gridCol w:w="4107"/>
        <w:gridCol w:w="4266"/>
      </w:tblGrid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7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Заключение: </w:t>
        <w:tab/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Заказчик:                                                                                                      Исполнитель: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__________/__________/                                                            __________/_____________/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(подпись)   (Ф.И.О.)                                                                         (подпись)    (Ф.И.О.)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М.П.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9922" w:leader="dot"/>
        </w:tabs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>
      <w:pPr>
        <w:pStyle w:val="Normal"/>
        <w:spacing w:before="0" w:after="0"/>
        <w:ind w:start="567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440" w:leader="none"/>
          <w:tab w:val="right" w:pos="10195" w:leader="dot"/>
        </w:tabs>
        <w:spacing w:before="0" w:after="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67" w:star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приема-передачи</w:t>
      </w:r>
    </w:p>
    <w:p>
      <w:pPr>
        <w:pStyle w:val="Normal"/>
        <w:spacing w:before="0" w:after="0"/>
        <w:ind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оборудования в ремонт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hanging="0" w:start="0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___________________                                                               «___»_____________ 20___ г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720" w:start="0"/>
        <w:jc w:val="both"/>
        <w:outlineLvl w:val="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Заводской номер передаваемого блока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передается в следующем составе (перечне):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Документация, передаваемая с оборудованием: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spacing w:before="0" w:after="0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(копии гарантийного талона, накладных, товарных чеков, технические</w:t>
      </w:r>
    </w:p>
    <w:p>
      <w:pPr>
        <w:pStyle w:val="Normal"/>
        <w:widowControl w:val="false"/>
        <w:spacing w:before="0" w:after="0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паспорта, спецификации и иные документы)</w:t>
      </w:r>
    </w:p>
    <w:p>
      <w:pPr>
        <w:pStyle w:val="Normal"/>
        <w:widowControl w:val="false"/>
        <w:spacing w:before="0" w:after="0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Заказчик:                                                                                      Исполнитель: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__________/__________/                                                          ___________/_____________/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(подпись)     (Ф.И.О.)                                                                 (подпись)          (Ф.И.О.)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М.П.                                                                                                М.П.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>
        <w:b w:val="false"/>
        <w:bCs w:val="false"/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rFonts w:cs="Times New Roman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11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0"/>
        </w:tabs>
        <w:ind w:start="15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45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start"/>
      <w:pPr>
        <w:tabs>
          <w:tab w:val="num" w:pos="0"/>
        </w:tabs>
        <w:ind w:start="14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a1c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079"/>
    <w:rPr>
      <w:rFonts w:ascii="Segoe UI" w:hAnsi="Segoe UI" w:eastAsia="Calibr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1175d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31175d"/>
    <w:rPr>
      <w:rFonts w:cs="Times New Roman"/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31175d"/>
    <w:rPr>
      <w:rFonts w:cs="Times New Roman"/>
      <w:b/>
      <w:bCs/>
      <w:sz w:val="20"/>
      <w:szCs w:val="20"/>
    </w:rPr>
  </w:style>
  <w:style w:type="character" w:styleId="LineNumber">
    <w:name w:val="line number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0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31175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31175d"/>
    <w:pPr/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.garant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LibreOffice/25.8.0.4$Linux_X86_64 LibreOffice_project/48f00303701489684e67c38c28aff00cd5929e67</Application>
  <AppVersion>15.0000</AppVersion>
  <Pages>17</Pages>
  <Words>3043</Words>
  <Characters>22105</Characters>
  <CharactersWithSpaces>25557</CharactersWithSpaces>
  <Paragraphs>641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2026-03-24T03:49:00Z</dcterms:created>
  <dc:creator>Комиссарова Екатерина Олеговна</dc:creator>
  <dc:description/>
  <dc:language>ru-RU</dc:language>
  <cp:lastModifiedBy/>
  <cp:lastPrinted>2026-02-26T06:27:00Z</cp:lastPrinted>
  <dcterms:modified xsi:type="dcterms:W3CDTF">2026-03-25T16:38:27Z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