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081" w:tblpY="141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794"/>
        <w:gridCol w:w="6520"/>
      </w:tblGrid>
      <w:tr w:rsidR="00A418B6" w:rsidRPr="00A418B6" w:rsidTr="006307E8">
        <w:trPr>
          <w:trHeight w:val="238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 xml:space="preserve">ЧАСТЬ </w:t>
            </w:r>
            <w:r>
              <w:rPr>
                <w:rFonts w:ascii="Times New Roman" w:eastAsia="Geneva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A418B6" w:rsidRPr="00A418B6" w:rsidTr="006307E8">
        <w:trPr>
          <w:trHeight w:val="2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b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b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 xml:space="preserve">Параметры закупки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b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Данные</w:t>
            </w:r>
          </w:p>
        </w:tc>
      </w:tr>
      <w:tr w:rsidR="00A418B6" w:rsidRPr="00A418B6" w:rsidTr="006307E8">
        <w:trPr>
          <w:trHeight w:val="238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b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. Технический раздел</w:t>
            </w:r>
          </w:p>
        </w:tc>
      </w:tr>
      <w:tr w:rsidR="00A418B6" w:rsidRPr="00A418B6" w:rsidTr="006307E8">
        <w:trPr>
          <w:trHeight w:val="57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Предмет закупки (наименование товаров)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Поставка песка (далее – Товар).</w:t>
            </w:r>
          </w:p>
        </w:tc>
      </w:tr>
      <w:tr w:rsidR="00A418B6" w:rsidRPr="00A418B6" w:rsidTr="006307E8">
        <w:trPr>
          <w:trHeight w:val="35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Цель закупки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0" w:lineRule="atLeast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2.1. Для </w:t>
            </w:r>
            <w:r w:rsidRPr="00A418B6">
              <w:rPr>
                <w:rFonts w:ascii="Arial" w:eastAsia="Geneva" w:hAnsi="Arial" w:cs="Times New Roman"/>
                <w:sz w:val="20"/>
                <w:szCs w:val="20"/>
              </w:rPr>
              <w:t xml:space="preserve"> 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производства товарного бетона, железобетонной обделки, первичного нагнетания, обратной засыпки на объектах метростроение .</w:t>
            </w:r>
          </w:p>
          <w:p w:rsidR="00A418B6" w:rsidRPr="00A418B6" w:rsidRDefault="00A418B6" w:rsidP="006307E8">
            <w:pPr>
              <w:spacing w:after="0" w:line="0" w:lineRule="atLeast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2.2.  Распределение объемов по линиям:</w:t>
            </w:r>
          </w:p>
          <w:p w:rsidR="00A418B6" w:rsidRPr="00A418B6" w:rsidRDefault="00A418B6" w:rsidP="006307E8">
            <w:pPr>
              <w:spacing w:after="0" w:line="0" w:lineRule="atLeast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ab/>
              <w:t xml:space="preserve">Строительство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Красносельско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-Калининской линии от станции «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Казаковская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» до станции «Обводный канал 2» с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электродепо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«Красносельское», включая проектирование (стадия РД). Участок от станции «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Казаковская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» до станции «Путиловская» – 0,93%;</w:t>
            </w:r>
          </w:p>
          <w:p w:rsidR="00A418B6" w:rsidRPr="00A418B6" w:rsidRDefault="00A418B6" w:rsidP="006307E8">
            <w:pPr>
              <w:spacing w:after="0" w:line="0" w:lineRule="atLeast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ab/>
              <w:t xml:space="preserve">Строительство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Красносельско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-Калининской линии-2 от станции «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Казаковская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» до станции «Обводный канал-2» с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электродепо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«Красносельское». Участок от станции «Путиловская» до станции «Каретная» – 8,83%;</w:t>
            </w:r>
          </w:p>
          <w:p w:rsidR="00A418B6" w:rsidRPr="00A418B6" w:rsidRDefault="00A418B6" w:rsidP="006307E8">
            <w:pPr>
              <w:spacing w:after="0" w:line="0" w:lineRule="atLeast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ab/>
              <w:t xml:space="preserve">Строительство участка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Невско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-Василеостровской линии метрополитена от станции «улица Савушкина» до станции "Зоопарк" – 71,04%;</w:t>
            </w:r>
          </w:p>
          <w:p w:rsidR="00A418B6" w:rsidRPr="00A418B6" w:rsidRDefault="00A418B6" w:rsidP="006307E8">
            <w:pPr>
              <w:spacing w:after="0" w:line="0" w:lineRule="atLeast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ab/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Cтроительство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Фрунзенско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-Приморской линии от станции "Комендантский проспект" до станции "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Шуваловский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проспект" – 19,20%.</w:t>
            </w:r>
          </w:p>
        </w:tc>
      </w:tr>
      <w:tr w:rsidR="00A418B6" w:rsidRPr="00A418B6" w:rsidTr="006307E8">
        <w:trPr>
          <w:trHeight w:val="46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color w:val="FF0000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color w:val="FF0000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Требования к товару, который является предметом закупки: к безопасности, качеству, 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</w:t>
            </w:r>
            <w:hyperlink r:id="rId6" w:history="1">
              <w:r w:rsidRPr="00A418B6">
                <w:rPr>
                  <w:rFonts w:ascii="Times New Roman" w:eastAsia="Geneva" w:hAnsi="Times New Roman" w:cs="Times New Roman"/>
                  <w:sz w:val="20"/>
                  <w:szCs w:val="20"/>
                </w:rPr>
                <w:t>законодательством</w:t>
              </w:r>
            </w:hyperlink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40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3.1. Товар должен соответствовать всем требованиям СНиП, ГОСТ, правил и стандартов, ТУ </w:t>
            </w:r>
            <w:r w:rsidRPr="00A418B6">
              <w:rPr>
                <w:rFonts w:ascii="Arial" w:eastAsia="Geneva" w:hAnsi="Arial" w:cs="Times New Roman"/>
                <w:sz w:val="20"/>
                <w:szCs w:val="20"/>
              </w:rPr>
              <w:t xml:space="preserve"> 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предприятия по добыче песка и/или международным стандартам, указанным в паспорте и/или сертификате качества </w:t>
            </w:r>
            <w:r w:rsidRPr="00A418B6">
              <w:rPr>
                <w:rFonts w:ascii="Arial" w:eastAsia="Geneva" w:hAnsi="Arial" w:cs="Times New Roman"/>
                <w:sz w:val="20"/>
                <w:szCs w:val="20"/>
              </w:rPr>
              <w:t xml:space="preserve"> 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предприятия по добыче песка. Поставщик обязан предоставить Сертификат соответствия ГОСТ, ТУ или иных стандартов на Товар, если такие документы предусмотрены действующим законодательством РФ в отношении поставляемого Товара.</w:t>
            </w:r>
          </w:p>
          <w:p w:rsidR="00A418B6" w:rsidRPr="00A418B6" w:rsidRDefault="00A418B6" w:rsidP="006307E8">
            <w:pPr>
              <w:spacing w:after="0" w:line="240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3.2. Товар должен соответствовать всем техническим характеристикам и параметрам, заложенным </w:t>
            </w:r>
            <w:r w:rsidRPr="00A418B6">
              <w:rPr>
                <w:rFonts w:ascii="Arial" w:eastAsia="Geneva" w:hAnsi="Arial" w:cs="Times New Roman"/>
                <w:sz w:val="20"/>
                <w:szCs w:val="20"/>
              </w:rPr>
              <w:t xml:space="preserve"> 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предприятия по добыче песка. Товар по своим характеристикам должен соответствовать ГОСТ и параметрам, приводимым в требованиях, указанных в Приложении №1 к настоящему Техническому заданию.</w:t>
            </w:r>
          </w:p>
          <w:p w:rsidR="00A418B6" w:rsidRPr="00A418B6" w:rsidRDefault="00A418B6" w:rsidP="006307E8">
            <w:pPr>
              <w:spacing w:after="0" w:line="240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3.3. Поставщик гарантирует, что Товар на момент передачи Покупателю принадлежит Поставщику на праве собственности, является новым не ранее 4 квартала 2025 года изготовления (не бывшим в употреблении, не залежалый), соответствует требованиям технических нормативов, стандартов (ГОСТ) и технических условий (ТУ) на данный вид Товара, действующих на территории Российской Федерации (далее – РФ) и у </w:t>
            </w:r>
            <w:r w:rsidRPr="00A418B6">
              <w:rPr>
                <w:rFonts w:ascii="Arial" w:eastAsia="Geneva" w:hAnsi="Arial" w:cs="Times New Roman"/>
                <w:sz w:val="20"/>
                <w:szCs w:val="20"/>
              </w:rPr>
              <w:t xml:space="preserve"> 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предприятия по добыче песка, не арестован, не заложен, не обременен какими-либо правами третьих лиц и свободен от их прав, имеет соответствующие сопроводительные технические документы </w:t>
            </w:r>
            <w:r w:rsidRPr="00A418B6">
              <w:rPr>
                <w:rFonts w:ascii="Arial" w:eastAsia="Geneva" w:hAnsi="Arial" w:cs="Times New Roman"/>
                <w:sz w:val="20"/>
                <w:szCs w:val="20"/>
              </w:rPr>
              <w:t xml:space="preserve"> 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предприятия по добыче песка, сертификаты, подтверждающие надлежащее качество Товара в соответствии с требованиями законодательства РФ.</w:t>
            </w:r>
          </w:p>
          <w:p w:rsidR="00A418B6" w:rsidRPr="00A418B6" w:rsidRDefault="00A418B6" w:rsidP="006307E8">
            <w:pPr>
              <w:spacing w:after="0" w:line="240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3.4. Комплектность технической документации на Товар должна соответствовать ГОСТ, определяющим комплектность технической документации на данный вид Товара. </w:t>
            </w:r>
          </w:p>
          <w:p w:rsidR="00A418B6" w:rsidRPr="00A418B6" w:rsidRDefault="00A418B6" w:rsidP="006307E8">
            <w:pPr>
              <w:spacing w:after="0" w:line="240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3.5. Условия транспортировки Товара должны исключать деформацию и повреждение. Поставщик несет ответственность за всякого рода порчу или утрату Товара до приемки его Заказчиком вследствие некачественной транспортировки.</w:t>
            </w:r>
          </w:p>
          <w:p w:rsidR="00A418B6" w:rsidRPr="00A418B6" w:rsidRDefault="00A418B6" w:rsidP="006307E8">
            <w:pPr>
              <w:spacing w:after="0" w:line="240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3.6. Погрузку, транспортирование и хранение Поставщику следует проводить с соблюдением мер, исключающих возможность их повреждения, обеспечивающих сохранность качества и с соблюдением требований санитарно-противоэпидемических (профилактических) мероприятий, санитарных правил, стандартов, технических условий и иных нормативно-правовых актов.</w:t>
            </w:r>
          </w:p>
          <w:p w:rsidR="00A418B6" w:rsidRPr="00A418B6" w:rsidRDefault="00A418B6" w:rsidP="006307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 В каждое транспортное место должны быть вложены документы (накладные, упаковочные листы и др.), содержащие полную информацию о номенклатуре и количестве Товара, а также полный пакет технической документации, согласно настоящего Технического задания.</w:t>
            </w:r>
          </w:p>
          <w:p w:rsidR="00A418B6" w:rsidRPr="00A418B6" w:rsidRDefault="00A418B6" w:rsidP="006307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3.8. Поставляемый Товар сопровождается оригиналами документов качества на каждую партию или копией, заверенные Поставщиком. Наличие сертификатов и документа о качестве не освобождает Поставщика от ответственности за поставку Товара ненадлежащего качества. </w:t>
            </w:r>
          </w:p>
          <w:p w:rsidR="00A418B6" w:rsidRPr="00A418B6" w:rsidRDefault="00A418B6" w:rsidP="006307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 Качество и безопасность поставляемого Товара должны соответствовать требованиям нормативных документов, применяемых к данному виду Товара.</w:t>
            </w:r>
          </w:p>
          <w:p w:rsidR="00A418B6" w:rsidRPr="00A418B6" w:rsidRDefault="00A418B6" w:rsidP="006307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3.10. Товар должен соответствовать государственным стандартам, техническим условиям, иметь сертификат (свидетельство) или копию сертификата предприятия-изготовителя.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3.11. Товар должен поставляться маркированным в соответствии с ГОСТ 14192-96 «Маркировка грузов». Приемка Товара осуществляется в соответствии с ГОСТ 24297-2013 «Верификация закупленной продукции. Организация проведения и методы контроля» и Инструкции по входному контролю изделий и строительных материалов АО «МССС».</w:t>
            </w:r>
          </w:p>
        </w:tc>
      </w:tr>
      <w:tr w:rsidR="00A418B6" w:rsidRPr="00A418B6" w:rsidTr="006307E8">
        <w:trPr>
          <w:trHeight w:val="26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Иная информация, которую необходимо указать для приобретения соответствующего товара (работ, услуг), который бы полностью удовлетворял потребности Инициатора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DD" w:rsidRPr="00396ADD" w:rsidRDefault="00396ADD" w:rsidP="00396ADD">
            <w:pPr>
              <w:spacing w:after="0" w:line="0" w:lineRule="atLeast"/>
              <w:contextualSpacing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>Поставляемый Товар сопровождается следующими документами (в бумажном виде и копия в электронном виде):</w:t>
            </w:r>
          </w:p>
          <w:p w:rsidR="00396ADD" w:rsidRPr="00396ADD" w:rsidRDefault="00396ADD" w:rsidP="00396ADD">
            <w:pPr>
              <w:spacing w:after="0" w:line="0" w:lineRule="atLeast"/>
              <w:contextualSpacing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>-товарно-транспортная накладная или акта приёма-передачи Товара;</w:t>
            </w:r>
          </w:p>
          <w:p w:rsidR="00396ADD" w:rsidRPr="00396ADD" w:rsidRDefault="00396ADD" w:rsidP="00396ADD">
            <w:pPr>
              <w:spacing w:after="0" w:line="0" w:lineRule="atLeast"/>
              <w:contextualSpacing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>- товарная накладная (ТОРГ-12) либо УПД;</w:t>
            </w:r>
          </w:p>
          <w:p w:rsidR="00396ADD" w:rsidRPr="00396ADD" w:rsidRDefault="00396ADD" w:rsidP="00396ADD">
            <w:pPr>
              <w:spacing w:after="0" w:line="0" w:lineRule="atLeast"/>
              <w:contextualSpacing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>- счет;</w:t>
            </w:r>
          </w:p>
          <w:p w:rsidR="00396ADD" w:rsidRPr="00396ADD" w:rsidRDefault="00396ADD" w:rsidP="00396ADD">
            <w:pPr>
              <w:spacing w:after="0" w:line="0" w:lineRule="atLeast"/>
              <w:contextualSpacing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- счет-фактура на поставляемую продукцию либо УПД; </w:t>
            </w:r>
          </w:p>
          <w:p w:rsidR="00396ADD" w:rsidRPr="00396ADD" w:rsidRDefault="00396ADD" w:rsidP="00396ADD">
            <w:pPr>
              <w:spacing w:after="0" w:line="0" w:lineRule="atLeast"/>
              <w:contextualSpacing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>- копия Заказа Поставщику;</w:t>
            </w:r>
          </w:p>
          <w:p w:rsidR="00396ADD" w:rsidRPr="00396ADD" w:rsidRDefault="00396ADD" w:rsidP="00396ADD">
            <w:pPr>
              <w:spacing w:after="0" w:line="0" w:lineRule="atLeast"/>
              <w:contextualSpacing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>-копии товарно-транспортных накладных или актов приёма-передачи Товара, сопровождающих доставку Товара от Поставщика;</w:t>
            </w:r>
          </w:p>
          <w:p w:rsidR="00396ADD" w:rsidRPr="00396ADD" w:rsidRDefault="00396ADD" w:rsidP="00396ADD">
            <w:pPr>
              <w:spacing w:after="0" w:line="0" w:lineRule="atLeast"/>
              <w:contextualSpacing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>- техническая документация, предусмотренная изготовителем продукции;</w:t>
            </w:r>
          </w:p>
          <w:p w:rsidR="00396ADD" w:rsidRPr="00396ADD" w:rsidRDefault="00396ADD" w:rsidP="00396ADD">
            <w:pPr>
              <w:spacing w:after="0" w:line="0" w:lineRule="atLeast"/>
              <w:contextualSpacing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>- копии сертификатов обязательной сертификации или деклараций о соответствии на товар, подлежащий обязательному подтверждению соответствия, заверенные держателем документа либо заверенные нотариально (в случае, если Товар подлежит обязательной сертификации/декларированию в силу действующих норм, правил и требований в РФ);</w:t>
            </w:r>
          </w:p>
          <w:p w:rsidR="00396ADD" w:rsidRPr="00396ADD" w:rsidRDefault="00396ADD" w:rsidP="00396ADD">
            <w:pPr>
              <w:spacing w:after="0" w:line="0" w:lineRule="atLeast"/>
              <w:contextualSpacing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>- гарантийный талон (если Товар имеет или должен иметь такой талон в силу действующих норм, правил и требований в РФ).;</w:t>
            </w:r>
          </w:p>
          <w:p w:rsidR="00A418B6" w:rsidRPr="00A418B6" w:rsidRDefault="00396ADD" w:rsidP="00396ADD">
            <w:pPr>
              <w:spacing w:after="0" w:line="0" w:lineRule="atLeast"/>
              <w:contextualSpacing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396ADD">
              <w:rPr>
                <w:rFonts w:ascii="Times New Roman" w:eastAsia="Geneva" w:hAnsi="Times New Roman" w:cs="Times New Roman"/>
                <w:sz w:val="20"/>
                <w:szCs w:val="20"/>
              </w:rPr>
              <w:t>- иные документы, относящиеся к товару и необходимые для его эксплуатации.</w:t>
            </w:r>
          </w:p>
        </w:tc>
      </w:tr>
      <w:tr w:rsidR="00A418B6" w:rsidRPr="00A418B6" w:rsidTr="006307E8">
        <w:trPr>
          <w:trHeight w:val="273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40" w:lineRule="auto"/>
              <w:jc w:val="center"/>
              <w:rPr>
                <w:rFonts w:ascii="Times New Roman" w:eastAsia="Geneva" w:hAnsi="Times New Roman" w:cs="Times New Roman"/>
                <w:b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. Основные условия закупки</w:t>
            </w:r>
          </w:p>
        </w:tc>
      </w:tr>
      <w:tr w:rsidR="00A418B6" w:rsidRPr="00A418B6" w:rsidTr="006307E8">
        <w:trPr>
          <w:trHeight w:val="41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Условия и порядок оплаты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  <w:lang w:eastAsia="ar-SA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  <w:lang w:eastAsia="ar-SA"/>
              </w:rPr>
              <w:t>Оплата Товара производится безналичным переводом путем перечисления денежных средств на расчетный счет Поставщика или на лицевой счет, открытый в территориальном органе управления Федерального казначейства.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  <w:lang w:eastAsia="ar-SA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  <w:lang w:eastAsia="ar-SA"/>
              </w:rPr>
              <w:t>Перевод осуществляется в течение 7 (семи) рабочих дней с момента приемки каждой партии Товара в полном объеме, при условии предоставления полного комплекта документов, сопровождающих поставку, оформленных в соответствии с требованиями Договора и действующего законодательства.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  <w:lang w:eastAsia="ar-SA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  <w:lang w:eastAsia="ar-SA"/>
              </w:rPr>
              <w:t>Датой оплаты считается дата списания денежных средств с расчетного счета Покупателя на счет Поставщика.</w:t>
            </w:r>
          </w:p>
        </w:tc>
      </w:tr>
      <w:tr w:rsidR="00A418B6" w:rsidRPr="00A418B6" w:rsidTr="006307E8">
        <w:trPr>
          <w:trHeight w:val="140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Сведения о включенных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b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bCs/>
                <w:sz w:val="20"/>
                <w:szCs w:val="20"/>
                <w:lang w:eastAsia="ar-SA"/>
              </w:rPr>
              <w:t>Цена Товара вклю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  <w:lang w:eastAsia="ar-SA"/>
              </w:rPr>
              <w:t xml:space="preserve">чает в себя стоимость Товара, расходы и издержки Поставщика, связанные с поставкой Товара, в том числе стоимость всех сопутствующих работ (услуг), в том числе расходы на транспортировку, погрузочные работы, страхование, уплату таможенных пошлин, налогов, сборов и других обязательных платежей Поставщика. </w:t>
            </w:r>
          </w:p>
        </w:tc>
      </w:tr>
      <w:tr w:rsidR="00A418B6" w:rsidRPr="00A418B6" w:rsidTr="006307E8">
        <w:trPr>
          <w:trHeight w:val="1125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Место и условия поставки товаров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bCs/>
                <w:sz w:val="20"/>
                <w:szCs w:val="20"/>
              </w:rPr>
              <w:t>7</w:t>
            </w:r>
            <w:r w:rsidRPr="00A418B6">
              <w:rPr>
                <w:rFonts w:ascii="Times New Roman" w:eastAsia="Geneva" w:hAnsi="Times New Roman" w:cs="Times New Roman"/>
                <w:bCs/>
                <w:sz w:val="20"/>
                <w:szCs w:val="20"/>
              </w:rPr>
              <w:t xml:space="preserve">.1. 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Поставка Товара по Договору осуществляется отдельными партиями на основании письменных Заказов Поставщику (не более 3900 (трех тысяч девятисот) партий).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7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.2. В Заказе Поставщику указывается количество, ассортимент и стоимость каждой партии Товара, подлежащей поставке, адрес доставки. Заказ направляется Поставщику по электронной почте/курьерской службой/нарочным/почтой. Заказ  Поставщику, соответствующая ассортименту Товара и не превышающая предельное количество Товара в 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lastRenderedPageBreak/>
              <w:t>Спецификации, считается согласованной по умолчанию. В случае выявления несоответствий направленном Заказе условиям Спецификации Поставщик вправе в срок не позднее окончания следующего рабочего дня с даты ее направления уведомить Покупателя о выявленных несоответствиях.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7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.3. Поставщик своими силами и за свой счет осуществляет погрузку и доставку Товара Покупателю по адресам в г. Санкт-Петербург, указанным в Заказе Поставщику.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b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 xml:space="preserve">Для </w:t>
            </w:r>
            <w:proofErr w:type="spellStart"/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Красносельско-Калиниской</w:t>
            </w:r>
            <w:proofErr w:type="spellEnd"/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 xml:space="preserve"> линии доставка будет осуществляться по следующим адресам: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№ 842: г. Санкт-Петербург, угол пр. Маршала Жукова и Маршала Казакова (северо-западнее пересечения);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№ 843: г. Санкт-Петербург, ул. Кронштадтская, д. 7А;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№ 844: г. Санкт-Петербург, пр. Стачек, д. 72 во дворе;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№ 844: г. Санкт-Петербург, н/х (ст. «Путиловская»), ул. Васи Алексеева, д. 6;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№ 845 (ст. «Броневая»): г. Санкт-Петербург, ул. Броневая, д. 7;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№ 845 бис: г. Санкт-Петербург, пр. Стачек, д. 54;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г. Санкт-Петербург, Витебский пр. д. 109.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г. Санкт-Петербург, ул. Ново-Никитинская, д. 17.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b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 xml:space="preserve">Для </w:t>
            </w:r>
            <w:proofErr w:type="spellStart"/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Красносельско</w:t>
            </w:r>
            <w:proofErr w:type="spellEnd"/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-Калининской линии-2 доставка будет осуществляться по следующим адресам: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846: г. Санкт-Петербург, ул. Кубинская, д. 4, кор.1, лит. А;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Вестибюль станции Броневая: г. Санкт-Петербург, ул. Благодатная, д. 6 (пересечение перспективы Новоизмайловского пр. и Благодатной ул.);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847: г. Санкт-Петербург, ул. Рощинская, д. 3, лит. И (восточнее здания);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Вестибюль станции Черниговская: г. Санкт-Петербург,     пересечение пробивок Лиговского пр. и Варшавской ул.;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• Шахта 848: г. Санкт-Петербург, ул. Ташкентская, д. 3,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кор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. 2, лит. Т;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849: г. Санкт-Петербург,  ул. Киевская, д. 5;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Вестибюль станции Боровая: г. Санкт-Петербург, ул. Киевская, д. 13, лит. А;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850: г. Санкт-Петербург,  Лиговский пр., д. 236, лит. В;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852: г. Санкт-Петербург, юго-восточнее дома №42 Литер А по набережной Обводного канала;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• Шахта 851: г. Санкт-Петербург,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Растанная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улица, Участок 1 (юго-восточнее д.22 Литер А по Лиговскому проспекту);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853: г. Санкт-Петербург, улица Черняховского, Участок 1 (южнее д.19 Литер А по ул. Черняховского);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г. Санкт-Петербург, Витебский пр. д. 109.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г. Санкт-Петербург, ул. Ново-Никитинская, д. 17.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b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 xml:space="preserve">Для </w:t>
            </w:r>
            <w:proofErr w:type="spellStart"/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Невско</w:t>
            </w:r>
            <w:proofErr w:type="spellEnd"/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-Василеостровской линии доставка будет осуществляться по следующим адресам: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• шахта 457: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Шуваловский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пр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между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пр.Королева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и Парашютной ул.;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458: (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ст.Зоопарк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) -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Шуваловский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пр. от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Коменданского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пр. до пр. Королева;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• шахта 459: (ст. Зоопарк): - г. Санкт-Петербург, ст. «Зоопарк» – северо-восточнее пересечения Комендантского и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Шуваловского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проспектов;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461: г. Санкт-Петербург Камышовая ул., участок 1 (севернее пересечения с Туристской ул.)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462: г. Санкт-Петербург, ул. Туристская, участок 1 (западнее дома 11, корпус 1, литера А по Туристской улице);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шахта 460 ст. «Яхтенная» севернее перекрёстка: г. Санкт-Петербург, ул. Туристской и Богатырского проспекта;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г. Санкт-Петербург, Витебский пр. д. 109.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г. Санкт-Петербург, ул. Ново-Никитинская, д. 17.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b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 xml:space="preserve">Для </w:t>
            </w:r>
            <w:proofErr w:type="spellStart"/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Фрунзенско</w:t>
            </w:r>
            <w:proofErr w:type="spellEnd"/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-Приморской линии доставка будет осуществляться по следующему адресу: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lastRenderedPageBreak/>
              <w:t xml:space="preserve">• шахта 609: Стройплощадка расположена в Приморском районе по адресу: г. Санкт- Петербург, севернее перекрестка Комендантского проспекта и перспективной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Глухарской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улицей, севернее дома №58 по Комендантскому проспекту (ЖК "Легенды Комендантского"), площадь участка составляет 0.55га;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• шахта 610: Стройплощадка расположена в Приморском районе, на пересечении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Шуваловского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и Комендантского проспектов, в перспективной пробивке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Шуваловского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проспекта;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Строительная площадка № 2, предназначенная для строительства станционного комплекса «Магистраль 31», расположена к юго-востоку от пересечения пробивки Комендантского проспекта с дорогой на Каменку;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Строительная площадка № 5, предназначенная для строительства станционного комплекса с наземным вестибюлем станции метрополитена «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Коломяжская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», расположена к юго-востоку от пересечения Парашютной улицы с Комендантским проспектом и граничит с площадкой, предназначенной для размещения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электродепо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• Строительная площадка № 6, предназначенная для размещения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электродепо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метрополитена, расположена в нежилой зоне, в границах Приморского и Выборгского районов. Проектные решения по размещению площадок для вспомогательных объектов: рабоче-вентиляционного ствола,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венткиосков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, вентиляционных камер тоннельной вентиляции, </w:t>
            </w:r>
            <w:proofErr w:type="spellStart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притоннельных</w:t>
            </w:r>
            <w:proofErr w:type="spellEnd"/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 сооружений, технологических сбоек и демонтажной камеры разработаны с учетом обеспечения оптимальных условий ведения строительства и последующей эксплуатации метрополитена, а также с целью уменьшения общей площади территории города, занимаемой под строительные нужды;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• г. Санкт-Петербург, ул. Ново-Никитинская, д. 17.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b/>
                <w:sz w:val="20"/>
                <w:szCs w:val="20"/>
              </w:rPr>
              <w:t>Время доставки с 8-30 до 16-30.</w:t>
            </w:r>
          </w:p>
        </w:tc>
      </w:tr>
      <w:tr w:rsidR="00A418B6" w:rsidRPr="00A418B6" w:rsidTr="006307E8">
        <w:trPr>
          <w:trHeight w:val="56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Сроки (периоды) поставки товара </w:t>
            </w:r>
          </w:p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</w:p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Срок действия договора</w:t>
            </w:r>
          </w:p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8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.1. Поставщик обязуется поставить Товар, указанный в Заказе, в течение  3 (трех) рабочих дней с момента направления Заказа Поставщику. При направлении Заказа, Покупатель контролирует срок поставки по направленному Заказу, который не должен выходить за пределы срока действия Договора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8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.2. Поставщик извещает Покупателя об отгрузке партии Товара за 2 (два) рабочих дня до момента отгрузки.</w:t>
            </w:r>
          </w:p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8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.3. Договор вступает в силу с даты его подписания обеими Сторонами и действует до 31.12.2026, а в части исполнения обязательств – до полного исполнения Сторонами своих обязательств.</w:t>
            </w:r>
          </w:p>
        </w:tc>
      </w:tr>
      <w:tr w:rsidR="00A418B6" w:rsidRPr="00A418B6" w:rsidTr="006307E8">
        <w:trPr>
          <w:trHeight w:val="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Количество (объем), поставляемых товаров, а также их технические и функциональные характеристики (потребительские свойства)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Указаны в Приложении №1 к настоящему Техническому заданию.</w:t>
            </w:r>
          </w:p>
        </w:tc>
      </w:tr>
      <w:tr w:rsidR="00A418B6" w:rsidRPr="00A418B6" w:rsidTr="006307E8">
        <w:trPr>
          <w:trHeight w:val="55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center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Требования к гарантийным обязательствам, с указанием сроков, объемов)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B6" w:rsidRPr="00A418B6" w:rsidRDefault="00A418B6" w:rsidP="006307E8">
            <w:pPr>
              <w:spacing w:after="0" w:line="276" w:lineRule="auto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0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.1. Гарантийный срок на Товар должен быть не менее 12 (двенадцати) месяцев с момента подписания товарной накладной/УПД, подтверждающей передачу Товара. В случае, если гарантийный срок на Товар, установленный </w:t>
            </w:r>
            <w:r w:rsidRPr="00A418B6">
              <w:rPr>
                <w:rFonts w:ascii="Arial" w:eastAsia="Geneva" w:hAnsi="Arial" w:cs="Times New Roman"/>
                <w:sz w:val="20"/>
                <w:szCs w:val="20"/>
              </w:rPr>
              <w:t xml:space="preserve"> 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 xml:space="preserve">предприятия по добыче песка , больше, чем указан в настоящем пункте Договора, то гарантийный срок на Товар равен гарантийному сроку </w:t>
            </w:r>
            <w:r w:rsidRPr="00A418B6">
              <w:rPr>
                <w:rFonts w:ascii="Arial" w:eastAsia="Geneva" w:hAnsi="Arial" w:cs="Times New Roman"/>
                <w:sz w:val="20"/>
                <w:szCs w:val="20"/>
              </w:rPr>
              <w:t xml:space="preserve"> 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предприятия по добыче песка.</w:t>
            </w:r>
          </w:p>
          <w:p w:rsidR="00A418B6" w:rsidRPr="00A418B6" w:rsidRDefault="00A418B6" w:rsidP="006307E8">
            <w:pPr>
              <w:shd w:val="clear" w:color="auto" w:fill="FFFFFF"/>
              <w:tabs>
                <w:tab w:val="left" w:pos="0"/>
                <w:tab w:val="left" w:pos="426"/>
                <w:tab w:val="left" w:pos="1080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0</w:t>
            </w:r>
            <w:r w:rsidRPr="00A418B6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 xml:space="preserve">.2. 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В пределах гарантийного срока Поставщик обязан устранить недостатки Товара за свой счет. При этом все транспортные и другие расходы, связанные с заменой поставленного Товара на Товар надлежащего качества, допоставкой и/или доукомплектованием поставленного Товара, осуществляются также за счет Поставщика.</w:t>
            </w:r>
          </w:p>
          <w:p w:rsidR="00A418B6" w:rsidRPr="00A418B6" w:rsidRDefault="00A418B6" w:rsidP="006307E8">
            <w:pPr>
              <w:shd w:val="clear" w:color="auto" w:fill="FFFFFF"/>
              <w:tabs>
                <w:tab w:val="left" w:pos="0"/>
                <w:tab w:val="left" w:pos="426"/>
                <w:tab w:val="left" w:pos="1080"/>
              </w:tabs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Geneva" w:hAnsi="Times New Roman" w:cs="Times New Roman"/>
                <w:sz w:val="20"/>
                <w:szCs w:val="20"/>
              </w:rPr>
              <w:t>0</w:t>
            </w: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t>.3. В случае поставки несоответствующего Товара по ассортименту или количеству либо Товара ненадлежащего качества Поставщик обязан по выбору Покупателя с момента его обращения:</w:t>
            </w:r>
          </w:p>
          <w:p w:rsidR="00A418B6" w:rsidRPr="00A418B6" w:rsidRDefault="00A418B6" w:rsidP="006307E8">
            <w:pPr>
              <w:shd w:val="clear" w:color="auto" w:fill="FFFFFF"/>
              <w:spacing w:after="0" w:line="276" w:lineRule="auto"/>
              <w:ind w:firstLine="45"/>
              <w:jc w:val="both"/>
              <w:rPr>
                <w:rFonts w:ascii="Times New Roman" w:eastAsia="Geneva" w:hAnsi="Times New Roman" w:cs="Times New Roman"/>
                <w:sz w:val="20"/>
                <w:szCs w:val="20"/>
              </w:rPr>
            </w:pPr>
            <w:r w:rsidRPr="00A418B6">
              <w:rPr>
                <w:rFonts w:ascii="Times New Roman" w:eastAsia="Geneva" w:hAnsi="Times New Roman" w:cs="Times New Roman"/>
                <w:sz w:val="20"/>
                <w:szCs w:val="20"/>
              </w:rPr>
              <w:lastRenderedPageBreak/>
              <w:t>- в течение 5 (пяти) рабочих дней безвозмездно устранить недостатки Товара;</w:t>
            </w:r>
          </w:p>
          <w:p w:rsidR="00A418B6" w:rsidRPr="00A418B6" w:rsidRDefault="00A418B6" w:rsidP="006307E8">
            <w:pPr>
              <w:shd w:val="clear" w:color="auto" w:fill="FFFFFF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18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 течение 10 (десяти) рабочих дней заменить некачественный или несоответствующий Товар аналогичным Товаром надлежащего качества.</w:t>
            </w:r>
          </w:p>
        </w:tc>
      </w:tr>
    </w:tbl>
    <w:p w:rsidR="00A418B6" w:rsidRPr="00A418B6" w:rsidRDefault="00A418B6" w:rsidP="00A418B6">
      <w:pPr>
        <w:spacing w:after="0" w:line="276" w:lineRule="auto"/>
        <w:ind w:left="993"/>
        <w:jc w:val="both"/>
        <w:rPr>
          <w:rFonts w:ascii="Times New Roman" w:eastAsia="Geneva" w:hAnsi="Times New Roman" w:cs="Times New Roman"/>
          <w:color w:val="FF0000"/>
        </w:rPr>
      </w:pPr>
    </w:p>
    <w:p w:rsidR="00A418B6" w:rsidRPr="00A418B6" w:rsidRDefault="00A418B6" w:rsidP="00A418B6">
      <w:pPr>
        <w:spacing w:after="0" w:line="276" w:lineRule="auto"/>
        <w:ind w:left="-142" w:firstLine="426"/>
        <w:jc w:val="both"/>
        <w:rPr>
          <w:rFonts w:ascii="Times New Roman" w:eastAsia="Geneva" w:hAnsi="Times New Roman" w:cs="Times New Roman"/>
          <w:sz w:val="20"/>
          <w:szCs w:val="20"/>
        </w:rPr>
      </w:pPr>
      <w:r w:rsidRPr="00A418B6">
        <w:rPr>
          <w:rFonts w:ascii="Times New Roman" w:eastAsia="Geneva" w:hAnsi="Times New Roman" w:cs="Times New Roman"/>
          <w:sz w:val="20"/>
          <w:szCs w:val="20"/>
        </w:rPr>
        <w:t>Приложения: Приложение № 1 – Перечень поставляемых товаров</w:t>
      </w:r>
      <w:r w:rsidR="002C4F56">
        <w:rPr>
          <w:rFonts w:ascii="Times New Roman" w:eastAsia="Geneva" w:hAnsi="Times New Roman" w:cs="Times New Roman"/>
          <w:sz w:val="20"/>
          <w:szCs w:val="20"/>
        </w:rPr>
        <w:t xml:space="preserve"> (прикреплено отдельным файлом)</w:t>
      </w:r>
    </w:p>
    <w:p w:rsidR="001E210E" w:rsidRDefault="00700C76" w:rsidP="00A418B6">
      <w:pPr>
        <w:ind w:firstLine="426"/>
      </w:pPr>
    </w:p>
    <w:sectPr w:rsidR="001E210E" w:rsidSect="00A418B6">
      <w:pgSz w:w="11906" w:h="16838"/>
      <w:pgMar w:top="709" w:right="992" w:bottom="425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8B6" w:rsidRDefault="00A418B6" w:rsidP="00A418B6">
      <w:pPr>
        <w:spacing w:after="0" w:line="240" w:lineRule="auto"/>
      </w:pPr>
      <w:r>
        <w:separator/>
      </w:r>
    </w:p>
  </w:endnote>
  <w:endnote w:type="continuationSeparator" w:id="0">
    <w:p w:rsidR="00A418B6" w:rsidRDefault="00A418B6" w:rsidP="00A4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8B6" w:rsidRDefault="00A418B6" w:rsidP="00A418B6">
      <w:pPr>
        <w:spacing w:after="0" w:line="240" w:lineRule="auto"/>
      </w:pPr>
      <w:r>
        <w:separator/>
      </w:r>
    </w:p>
  </w:footnote>
  <w:footnote w:type="continuationSeparator" w:id="0">
    <w:p w:rsidR="00A418B6" w:rsidRDefault="00A418B6" w:rsidP="00A41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B6"/>
    <w:rsid w:val="002C4F56"/>
    <w:rsid w:val="00396ADD"/>
    <w:rsid w:val="006F6E35"/>
    <w:rsid w:val="00700C76"/>
    <w:rsid w:val="00A418B6"/>
    <w:rsid w:val="00BC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72EA"/>
  <w15:chartTrackingRefBased/>
  <w15:docId w15:val="{390BAE01-038F-46F5-9300-14F3A6DA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8B6"/>
  </w:style>
  <w:style w:type="paragraph" w:styleId="a5">
    <w:name w:val="footer"/>
    <w:basedOn w:val="a"/>
    <w:link w:val="a6"/>
    <w:uiPriority w:val="99"/>
    <w:unhideWhenUsed/>
    <w:rsid w:val="00A4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1008018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Филимонихина Анна Владимировна</dc:creator>
  <cp:keywords/>
  <dc:description/>
  <cp:lastModifiedBy>Филимонихина Анна Владимировна</cp:lastModifiedBy>
  <cp:revision>4</cp:revision>
  <dcterms:created xsi:type="dcterms:W3CDTF">2026-02-13T07:54:00Z</dcterms:created>
  <dcterms:modified xsi:type="dcterms:W3CDTF">2026-04-03T13:03:00Z</dcterms:modified>
</cp:coreProperties>
</file>