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rPr>
          <w:szCs w:val="26"/>
        </w:rPr>
      </w:pPr>
      <w:r>
        <w:rPr>
          <w:rFonts w:eastAsia="Tahoma" w:cs="Noto Sans"/>
          <w:color w:val="000000"/>
          <w:spacing w:val="0"/>
          <w:kern w:val="0"/>
          <w:sz w:val="24"/>
          <w:szCs w:val="20"/>
          <w:lang w:val="ru-RU" w:eastAsia="zh-CN" w:bidi="hi-IN"/>
        </w:rPr>
        <w:t>Информируем Вас о том, что ПАО «Ростелеком» проводит анализ рынка на</w:t>
      </w:r>
      <w:r>
        <w:rPr/>
        <w:t xml:space="preserve"> </w:t>
      </w:r>
      <w:r>
        <w:rPr>
          <w:rFonts w:eastAsia="Tahoma" w:cs="Noto Sans"/>
          <w:color w:val="000000"/>
          <w:spacing w:val="0"/>
          <w:sz w:val="24"/>
          <w:szCs w:val="20"/>
          <w:lang w:eastAsia="zh-CN" w:bidi="hi-IN"/>
        </w:rPr>
        <w:t>выполнение работ по организации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средства, удовлетворяющих техническому заданию</w:t>
      </w:r>
      <w:r>
        <w:rPr>
          <w:rFonts w:eastAsia="Tahoma" w:cs="Noto Sans" w:ascii="Roboto" w:hAnsi="Roboto"/>
          <w:color w:val="334059"/>
          <w:spacing w:val="0"/>
          <w:sz w:val="20"/>
          <w:szCs w:val="20"/>
          <w:highlight w:val="white"/>
          <w:lang w:eastAsia="zh-CN" w:bidi="hi-IN"/>
        </w:rPr>
        <w:t xml:space="preserve"> </w:t>
      </w:r>
      <w:r>
        <w:rPr>
          <w:rFonts w:eastAsia="Tahoma" w:cs="Noto Sans"/>
          <w:color w:val="000000"/>
          <w:spacing w:val="0"/>
          <w:sz w:val="24"/>
          <w:szCs w:val="20"/>
          <w:lang w:eastAsia="zh-CN" w:bidi="hi-IN"/>
        </w:rPr>
        <w:t xml:space="preserve">с целью формирования начальной максимальной цены расходного договора. </w:t>
      </w:r>
    </w:p>
    <w:p>
      <w:pPr>
        <w:pStyle w:val="Normal"/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 на в</w:t>
      </w:r>
      <w:r>
        <w:rPr>
          <w:rFonts w:eastAsia="Tahoma" w:cs="Noto Sans"/>
          <w:color w:val="000000"/>
          <w:spacing w:val="0"/>
          <w:sz w:val="24"/>
          <w:szCs w:val="20"/>
          <w:lang w:eastAsia="zh-CN" w:bidi="hi-IN"/>
        </w:rPr>
        <w:t>ыполнение работ по организации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</w:r>
    </w:p>
    <w:p>
      <w:pPr>
        <w:pStyle w:val="Normal"/>
        <w:tabs>
          <w:tab w:val="clear" w:pos="708"/>
          <w:tab w:val="left" w:pos="5625" w:leader="none"/>
        </w:tabs>
        <w:rPr/>
      </w:pPr>
      <w:r>
        <w:rPr/>
      </w:r>
    </w:p>
    <w:p>
      <w:pPr>
        <w:pStyle w:val="Normal"/>
        <w:jc w:val="end"/>
        <w:rPr/>
      </w:pPr>
      <w:r>
        <w:rPr/>
        <w:t xml:space="preserve">Таблица 1. Общие условия </w:t>
      </w:r>
    </w:p>
    <w:p>
      <w:pPr>
        <w:pStyle w:val="Normal"/>
        <w:jc w:val="end"/>
        <w:rPr/>
      </w:pPr>
      <w:r>
        <w:rPr/>
      </w:r>
    </w:p>
    <w:tbl>
      <w:tblPr>
        <w:tblStyle w:val="a5"/>
        <w:tblpPr w:vertAnchor="text" w:horzAnchor="margin" w:leftFromText="180" w:rightFromText="180" w:tblpX="0" w:tblpY="-78"/>
        <w:tblW w:w="1456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76"/>
        <w:gridCol w:w="3642"/>
        <w:gridCol w:w="1842"/>
      </w:tblGrid>
      <w:tr>
        <w:trPr/>
        <w:tc>
          <w:tcPr>
            <w:tcW w:w="90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к потенциальным  участникам</w:t>
            </w:r>
          </w:p>
        </w:tc>
        <w:tc>
          <w:tcPr>
            <w:tcW w:w="36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Сроки предоставления информации, до</w:t>
            </w:r>
          </w:p>
        </w:tc>
      </w:tr>
      <w:tr>
        <w:trPr/>
        <w:tc>
          <w:tcPr>
            <w:tcW w:w="90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Отсутствие в реестре НРП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Отсутствие возбужденных дел о банкротстве/несостоятельности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Наличие оборудование и материальных ресурсов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</w:tc>
        <w:tc>
          <w:tcPr>
            <w:tcW w:w="36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10:00 0</w:t>
            </w: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9</w:t>
            </w: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.04.2026 г.</w:t>
            </w:r>
          </w:p>
        </w:tc>
      </w:tr>
    </w:tbl>
    <w:p>
      <w:pPr>
        <w:pStyle w:val="Normal"/>
        <w:jc w:val="end"/>
        <w:rPr/>
      </w:pPr>
      <w:r/>
      <w:r>
        <w:rPr/>
        <w:t>Таблица 2. Закупаемые товары, работы, услуги*</w:t>
      </w:r>
    </w:p>
    <w:tbl>
      <w:tblPr>
        <w:tblStyle w:val="a5"/>
        <w:tblW w:w="1460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26"/>
        <w:gridCol w:w="1870"/>
        <w:gridCol w:w="2385"/>
        <w:gridCol w:w="4278"/>
        <w:gridCol w:w="4107"/>
        <w:gridCol w:w="1534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товара,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работы, услуги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Назначение товара,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работы, услуги</w:t>
            </w:r>
          </w:p>
        </w:tc>
        <w:tc>
          <w:tcPr>
            <w:tcW w:w="42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Количество товара, объем работ, услуг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0" w:start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Работы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      </w:r>
          </w:p>
        </w:tc>
        <w:tc>
          <w:tcPr>
            <w:tcW w:w="427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 w:eastAsiaTheme="minorHAnsi"/>
                <w:sz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Предоставление обеспечения исполнения Договора (банковская гарантия или денежное обеспечение) – 5%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Сроки выполнения Работ: с 01.05.2026 г. по 25.07.2026 г..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 w:eastAsiaTheme="minorHAnsi"/>
                <w:sz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Условия оплаты: 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hanging="0" w:start="720"/>
              <w:contextualSpacing/>
              <w:jc w:val="both"/>
              <w:rPr>
                <w:rFonts w:eastAsia="Calibri" w:eastAsiaTheme="minorHAnsi"/>
                <w:sz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Расчет в течение 30 календарных дней с даты подписания актов.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hanging="0" w:start="720"/>
              <w:contextualSpacing/>
              <w:jc w:val="both"/>
              <w:rPr>
                <w:rFonts w:eastAsia="Calibri" w:eastAsiaTheme="minorHAnsi"/>
                <w:sz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Для субъектов МСП – в течение 7 рабочих дней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 даты подписания актов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567"/>
              <w:jc w:val="both"/>
              <w:rPr>
                <w:sz w:val="22"/>
              </w:rPr>
            </w:pPr>
            <w:r>
              <w:rPr>
                <w:sz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 соответствии с техническим заданием.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 усл.ед.</w:t>
            </w:r>
          </w:p>
        </w:tc>
      </w:tr>
    </w:tbl>
    <w:p>
      <w:pPr>
        <w:pStyle w:val="Normal"/>
        <w:spacing w:lineRule="auto" w:line="360"/>
        <w:ind w:hanging="0"/>
        <w:jc w:val="start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анкета участника;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№1 АНКЕТА»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технико-коммерческое предложение;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 2 ТКП»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иные документы и условия (при необходимости)</w:t>
      </w:r>
    </w:p>
    <w:p>
      <w:pPr>
        <w:pStyle w:val="Normal"/>
        <w:widowControl/>
        <w:spacing w:lineRule="auto" w:line="360"/>
        <w:ind w:firstLine="567" w:start="0" w:end="0"/>
        <w:jc w:val="start"/>
        <w:rPr/>
      </w:pPr>
      <w:r>
        <w:rPr/>
      </w:r>
    </w:p>
    <w:p>
      <w:pPr>
        <w:pStyle w:val="Default1"/>
        <w:widowControl/>
        <w:ind w:firstLine="709" w:start="0" w:end="0"/>
        <w:jc w:val="both"/>
        <w:rPr>
          <w:rFonts w:ascii="Times New Roman" w:hAnsi="Times New Roman"/>
          <w:i w:val="false"/>
          <w:i w:val="false"/>
          <w:sz w:val="22"/>
        </w:rPr>
      </w:pPr>
      <w:r>
        <w:rPr>
          <w:color w:val="000000"/>
        </w:rPr>
        <w:t xml:space="preserve">В случае вашей заинтересованности просим направить предложения </w:t>
      </w:r>
      <w:r>
        <w:rPr>
          <w:b/>
          <w:color w:val="000000"/>
        </w:rPr>
        <w:t>до 10-00 0</w:t>
      </w:r>
      <w:r>
        <w:rPr>
          <w:b/>
          <w:color w:val="000000"/>
        </w:rPr>
        <w:t>9</w:t>
      </w:r>
      <w:r>
        <w:rPr>
          <w:b/>
          <w:color w:val="000000"/>
        </w:rPr>
        <w:t xml:space="preserve"> апреля 2026 года</w:t>
      </w:r>
      <w:r>
        <w:rPr>
          <w:b/>
        </w:rPr>
        <w:t xml:space="preserve"> </w:t>
      </w:r>
      <w:r>
        <w:rPr/>
        <w:t xml:space="preserve">по электронной почте </w:t>
      </w:r>
      <w:hyperlink r:id="rId2">
        <w:r>
          <w:rPr>
            <w:rStyle w:val="Hyperlink"/>
            <w:rFonts w:ascii="Times New Roman;serif" w:hAnsi="Times New Roman;serif"/>
            <w:b w:val="false"/>
            <w:i w:val="false"/>
            <w:caps w:val="false"/>
            <w:smallCaps w:val="false"/>
            <w:color w:val="954F72"/>
            <w:spacing w:val="0"/>
            <w:sz w:val="24"/>
            <w:u w:val="single"/>
          </w:rPr>
          <w:t>m.akimova@volga.rt.ru</w:t>
        </w:r>
      </w:hyperlink>
      <w:r>
        <w:rPr/>
        <w:t xml:space="preserve"> </w:t>
      </w:r>
      <w:r>
        <w:rPr>
          <w:sz w:val="26"/>
        </w:rPr>
        <w:t xml:space="preserve"> </w:t>
      </w:r>
      <w:r>
        <w:rPr/>
        <w:t xml:space="preserve"> или на электронной торговой площадке </w:t>
      </w:r>
      <w:r>
        <w:rPr>
          <w:i w:val="false"/>
          <w:color w:val="000000"/>
          <w:sz w:val="22"/>
        </w:rPr>
        <w:t>ЭТП АО «Российский аукционный дом»</w:t>
      </w:r>
      <w:r>
        <w:rPr>
          <w:i w:val="false"/>
          <w:sz w:val="22"/>
        </w:rPr>
        <w:t xml:space="preserve">, </w:t>
      </w:r>
      <w:r>
        <w:rPr>
          <w:sz w:val="22"/>
        </w:rPr>
        <w:t xml:space="preserve">находящейся по адресу </w:t>
      </w:r>
      <w:hyperlink r:id="rId3">
        <w:r>
          <w:rPr>
            <w:rStyle w:val="Style1"/>
            <w:sz w:val="22"/>
          </w:rPr>
          <w:t xml:space="preserve"> </w:t>
        </w:r>
      </w:hyperlink>
      <w:hyperlink r:id="rId4">
        <w:r>
          <w:rPr>
            <w:rStyle w:val="Hyperlink"/>
            <w:rFonts w:ascii="Times New Roman;Times;serif" w:hAnsi="Times New Roman;Times;serif"/>
            <w:b w:val="false"/>
            <w:i w:val="false"/>
            <w:caps w:val="false"/>
            <w:smallCaps w:val="false"/>
            <w:color w:val="000000"/>
            <w:spacing w:val="0"/>
          </w:rPr>
          <w:t>https://lot-online.ru/</w:t>
        </w:r>
      </w:hyperlink>
    </w:p>
    <w:p>
      <w:pPr>
        <w:pStyle w:val="Default1"/>
        <w:widowControl/>
        <w:ind w:firstLine="709" w:start="0" w:end="0"/>
        <w:jc w:val="both"/>
        <w:rPr/>
      </w:pPr>
      <w:r>
        <w:rPr/>
        <w:t xml:space="preserve"> </w:t>
      </w:r>
      <w:r>
        <w:rPr/>
        <w:t xml:space="preserve">В теме письма указать:  «RFI № ___________: </w:t>
      </w:r>
      <w:r>
        <w:rPr>
          <w:color w:val="000000"/>
          <w:sz w:val="24"/>
        </w:rPr>
        <w:t xml:space="preserve">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252525"/>
          <w:spacing w:val="0"/>
          <w:kern w:val="0"/>
          <w:sz w:val="22"/>
          <w:szCs w:val="22"/>
          <w:lang w:val="ru-RU" w:eastAsia="en-US" w:bidi="ar-SA"/>
        </w:rPr>
        <w:t>Организация волоконно-оптических линий связи</w:t>
      </w:r>
      <w:r>
        <w:rPr>
          <w:color w:val="000000"/>
          <w:sz w:val="24"/>
        </w:rPr>
        <w:t>.</w:t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Roboto"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  <w:font w:name="Times New Roman">
    <w:altName w:val="Times"/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6f25"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Times New Roman" w:eastAsiaTheme="minorHAnsi"/>
      <w:color w:val="auto"/>
      <w:kern w:val="0"/>
      <w:sz w:val="26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e6f2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e6f25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be6f2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e6f2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be6f25"/>
    <w:pPr>
      <w:keepNext w:val="true"/>
      <w:outlineLvl w:val="4"/>
    </w:pPr>
    <w:rPr>
      <w:rFonts w:eastAsia="Times New Roman"/>
      <w:b/>
      <w:i/>
      <w:szCs w:val="26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74556"/>
    <w:pPr>
      <w:keepNext w:val="true"/>
      <w:spacing w:lineRule="auto" w:line="360"/>
      <w:ind w:firstLine="567"/>
      <w:jc w:val="start"/>
      <w:outlineLvl w:val="5"/>
    </w:pPr>
    <w:rPr>
      <w:i/>
    </w:rPr>
  </w:style>
  <w:style w:type="paragraph" w:styleId="Heading7">
    <w:name w:val="heading 7"/>
    <w:basedOn w:val="Normal"/>
    <w:next w:val="Normal"/>
    <w:link w:val="7"/>
    <w:qFormat/>
    <w:rsid w:val="00be6f25"/>
    <w:pPr>
      <w:tabs>
        <w:tab w:val="clear" w:pos="708"/>
        <w:tab w:val="left" w:pos="3469" w:leader="none"/>
      </w:tabs>
      <w:spacing w:before="240" w:after="60"/>
      <w:ind w:hanging="1296" w:start="3469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374556"/>
    <w:pPr>
      <w:keepNext w:val="true"/>
      <w:spacing w:lineRule="auto" w:line="360"/>
      <w:ind w:hanging="0"/>
      <w:jc w:val="start"/>
      <w:outlineLvl w:val="7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styleId="7" w:customStyle="1">
    <w:name w:val="Заголовок 7 Знак"/>
    <w:basedOn w:val="DefaultParagraphFont"/>
    <w:qFormat/>
    <w:rsid w:val="00be6f25"/>
    <w:rPr>
      <w:rFonts w:eastAsia="Times New Roman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374556"/>
    <w:rPr>
      <w:i/>
    </w:rPr>
  </w:style>
  <w:style w:type="character" w:styleId="8" w:customStyle="1">
    <w:name w:val="Заголовок 8 Знак"/>
    <w:basedOn w:val="DefaultParagraphFont"/>
    <w:uiPriority w:val="9"/>
    <w:qFormat/>
    <w:rsid w:val="00374556"/>
    <w:rPr>
      <w:b/>
      <w:bCs/>
    </w:rPr>
  </w:style>
  <w:style w:type="character" w:styleId="Style6" w:customStyle="1">
    <w:name w:val="Основной текст с отступом Знак"/>
    <w:basedOn w:val="DefaultParagraphFont"/>
    <w:qFormat/>
    <w:rsid w:val="002e1a6d"/>
    <w:rPr>
      <w:rFonts w:eastAsia="Times New Roman"/>
      <w:sz w:val="24"/>
      <w:szCs w:val="24"/>
      <w:lang w:eastAsia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7ae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81c31"/>
    <w:rPr>
      <w:b/>
      <w:bCs/>
    </w:rPr>
  </w:style>
  <w:style w:type="character" w:styleId="copytarget" w:customStyle="1">
    <w:name w:val="copy_target"/>
    <w:basedOn w:val="DefaultParagraphFont"/>
    <w:qFormat/>
    <w:rsid w:val="00781c31"/>
    <w:rPr/>
  </w:style>
  <w:style w:type="character" w:styleId="Emphasis">
    <w:name w:val="Emphasis"/>
    <w:uiPriority w:val="20"/>
    <w:qFormat/>
    <w:rsid w:val="00962ae4"/>
    <w:rPr>
      <w:rFonts w:cs="Times New Roman"/>
      <w:i/>
      <w:iCs/>
    </w:rPr>
  </w:style>
  <w:style w:type="character" w:styleId="21" w:customStyle="1">
    <w:name w:val="Основной текст с отступом 2 Знак"/>
    <w:link w:val="BodyTextIndent2"/>
    <w:uiPriority w:val="99"/>
    <w:semiHidden/>
    <w:qFormat/>
    <w:locked/>
    <w:rsid w:val="00dc4c01"/>
    <w:rPr/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dc4c01"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mes12" w:customStyle="1">
    <w:name w:val="Times 12"/>
    <w:basedOn w:val="Normal"/>
    <w:uiPriority w:val="99"/>
    <w:qFormat/>
    <w:rsid w:val="00be6f25"/>
    <w:pPr>
      <w:overflowPunct w:val="true"/>
      <w:ind w:firstLine="567"/>
    </w:pPr>
    <w:rPr>
      <w:rFonts w:eastAsia="Times New Roman"/>
      <w:bCs/>
    </w:rPr>
  </w:style>
  <w:style w:type="paragraph" w:styleId="ListParagraph">
    <w:name w:val="List Paragraph"/>
    <w:basedOn w:val="Normal"/>
    <w:uiPriority w:val="34"/>
    <w:qFormat/>
    <w:rsid w:val="00be6f25"/>
    <w:pPr>
      <w:spacing w:before="0" w:after="0"/>
      <w:ind w:start="720"/>
      <w:contextualSpacing/>
    </w:pPr>
    <w:rPr>
      <w:rFonts w:eastAsia="Times New Roman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6f25"/>
    <w:pPr>
      <w:spacing w:lineRule="auto" w:line="276"/>
      <w:outlineLvl w:val="9"/>
    </w:pPr>
    <w:rPr/>
  </w:style>
  <w:style w:type="paragraph" w:styleId="BodyTextIndent">
    <w:name w:val="Body Text Indent"/>
    <w:basedOn w:val="Normal"/>
    <w:link w:val="Style6"/>
    <w:rsid w:val="002e1a6d"/>
    <w:pPr>
      <w:spacing w:before="0" w:after="120"/>
      <w:ind w:hanging="0" w:start="283"/>
      <w:jc w:val="star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2e1a6d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1"/>
    <w:uiPriority w:val="99"/>
    <w:semiHidden/>
    <w:qFormat/>
    <w:rsid w:val="00dc4c01"/>
    <w:pPr>
      <w:spacing w:lineRule="auto" w:line="480" w:before="0" w:after="120"/>
      <w:ind w:hanging="0" w:start="283"/>
      <w:jc w:val="start"/>
    </w:pPr>
    <w:rPr/>
  </w:style>
  <w:style w:type="paragraph" w:styleId="Style10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ListParagraph1">
    <w:name w:val="List Paragraph1"/>
    <w:basedOn w:val="Normal"/>
    <w:qFormat/>
    <w:pPr>
      <w:widowControl/>
      <w:spacing w:before="0" w:after="0"/>
      <w:ind w:start="720"/>
      <w:contextualSpacing/>
    </w:pPr>
    <w:rPr/>
  </w:style>
  <w:style w:type="paragraph" w:styleId="Default1">
    <w:name w:val="Default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745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3" Type="http://schemas.openxmlformats.org/officeDocument/2006/relationships/hyperlink" Target="https://tender.lot-online.ru/" TargetMode="External"/><Relationship Id="rId4" Type="http://schemas.openxmlformats.org/officeDocument/2006/relationships/hyperlink" Target="https://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Application>LibreOffice/25.8.0.4$Linux_X86_64 LibreOffice_project/48f00303701489684e67c38c28aff00cd5929e67</Application>
  <AppVersion>15.0000</AppVersion>
  <Pages>2</Pages>
  <Words>422</Words>
  <Characters>3047</Characters>
  <CharactersWithSpaces>3439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2022-07-29T10:35:00Z</dcterms:created>
  <dc:creator>Людмила</dc:creator>
  <dc:description/>
  <dc:language>ru-RU</dc:language>
  <cp:lastModifiedBy/>
  <cp:lastPrinted>2016-01-27T11:22:00Z</cp:lastPrinted>
  <dcterms:modified xsi:type="dcterms:W3CDTF">2026-04-06T14:40:59Z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