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02D" w:rsidRDefault="00B90612">
      <w:pPr>
        <w:widowControl w:val="0"/>
        <w:tabs>
          <w:tab w:val="left" w:pos="1276"/>
        </w:tabs>
        <w:ind w:firstLine="567"/>
        <w:jc w:val="center"/>
        <w:rPr>
          <w:rFonts w:eastAsia="PT Sans"/>
          <w:b/>
          <w:sz w:val="26"/>
          <w:szCs w:val="26"/>
          <w:lang w:eastAsia="en-US"/>
        </w:rPr>
      </w:pPr>
      <w:r>
        <w:rPr>
          <w:rFonts w:eastAsia="PT Sans"/>
          <w:b/>
          <w:sz w:val="26"/>
          <w:szCs w:val="26"/>
          <w:lang w:eastAsia="en-US"/>
        </w:rPr>
        <w:t xml:space="preserve">ТЕХНИЧЕСКОЕ ЗАДАНИЕ </w:t>
      </w:r>
    </w:p>
    <w:p w:rsidR="00A1702D" w:rsidRDefault="00A1702D">
      <w:pPr>
        <w:tabs>
          <w:tab w:val="left" w:pos="993"/>
          <w:tab w:val="left" w:pos="1276"/>
          <w:tab w:val="left" w:pos="1418"/>
          <w:tab w:val="left" w:pos="1560"/>
        </w:tabs>
        <w:spacing w:after="200" w:line="276" w:lineRule="auto"/>
        <w:jc w:val="right"/>
        <w:rPr>
          <w:iCs/>
          <w:sz w:val="26"/>
          <w:szCs w:val="26"/>
        </w:rPr>
      </w:pPr>
    </w:p>
    <w:p w:rsidR="00A1702D" w:rsidRDefault="00B90612">
      <w:pPr>
        <w:widowControl w:val="0"/>
        <w:tabs>
          <w:tab w:val="left" w:pos="993"/>
        </w:tabs>
        <w:spacing w:line="276" w:lineRule="auto"/>
        <w:ind w:firstLine="567"/>
        <w:jc w:val="center"/>
        <w:rPr>
          <w:b/>
        </w:rPr>
      </w:pPr>
      <w:r>
        <w:rPr>
          <w:b/>
        </w:rPr>
        <w:t xml:space="preserve">на поставку оборудования, монтаж и пуско-наладочные работы </w:t>
      </w:r>
    </w:p>
    <w:p w:rsidR="00A1702D" w:rsidRDefault="00B90612">
      <w:pPr>
        <w:widowControl w:val="0"/>
        <w:tabs>
          <w:tab w:val="left" w:pos="993"/>
        </w:tabs>
        <w:spacing w:line="276" w:lineRule="auto"/>
        <w:ind w:firstLine="567"/>
        <w:jc w:val="center"/>
        <w:rPr>
          <w:b/>
        </w:rPr>
      </w:pPr>
      <w:r>
        <w:rPr>
          <w:b/>
        </w:rPr>
        <w:t>для создания МСОН в муниципальных округах Чувашской Республики</w:t>
      </w:r>
    </w:p>
    <w:p w:rsidR="00A1702D" w:rsidRDefault="00A1702D">
      <w:pPr>
        <w:widowControl w:val="0"/>
        <w:tabs>
          <w:tab w:val="left" w:pos="993"/>
        </w:tabs>
        <w:spacing w:line="276" w:lineRule="auto"/>
        <w:ind w:firstLine="567"/>
        <w:jc w:val="both"/>
        <w:rPr>
          <w:lang w:eastAsia="ar-SA"/>
        </w:rPr>
      </w:pPr>
    </w:p>
    <w:p w:rsidR="00A1702D" w:rsidRDefault="00B90612">
      <w:pPr>
        <w:widowControl w:val="0"/>
        <w:tabs>
          <w:tab w:val="left" w:pos="993"/>
        </w:tabs>
        <w:spacing w:line="276" w:lineRule="auto"/>
        <w:ind w:right="-318" w:firstLine="142"/>
        <w:jc w:val="both"/>
        <w:rPr>
          <w:b/>
          <w:iCs/>
        </w:rPr>
      </w:pPr>
      <w:r>
        <w:rPr>
          <w:b/>
          <w:lang w:eastAsia="ar-SA"/>
        </w:rPr>
        <w:t>Место поставки оборудования, монтажа и пусконаладочных работ:</w:t>
      </w:r>
      <w:r>
        <w:rPr>
          <w:b/>
          <w:iCs/>
        </w:rPr>
        <w:t xml:space="preserve"> </w:t>
      </w:r>
    </w:p>
    <w:p w:rsidR="00A1702D" w:rsidRDefault="00B90612">
      <w:pPr>
        <w:widowControl w:val="0"/>
        <w:tabs>
          <w:tab w:val="left" w:pos="993"/>
        </w:tabs>
        <w:spacing w:line="276" w:lineRule="auto"/>
        <w:ind w:right="-318" w:firstLine="142"/>
        <w:jc w:val="both"/>
        <w:rPr>
          <w:iCs/>
        </w:rPr>
      </w:pPr>
      <w:r>
        <w:rPr>
          <w:iCs/>
        </w:rPr>
        <w:t>-</w:t>
      </w:r>
      <w:r>
        <w:t xml:space="preserve"> </w:t>
      </w:r>
      <w:r>
        <w:rPr>
          <w:iCs/>
        </w:rPr>
        <w:t xml:space="preserve">муниципальные образования Чувашской Республики. </w:t>
      </w:r>
    </w:p>
    <w:p w:rsidR="00A1702D" w:rsidRDefault="00A1702D">
      <w:pPr>
        <w:widowControl w:val="0"/>
        <w:tabs>
          <w:tab w:val="left" w:pos="993"/>
        </w:tabs>
        <w:spacing w:line="276" w:lineRule="auto"/>
        <w:ind w:right="-318" w:firstLine="142"/>
        <w:jc w:val="both"/>
        <w:rPr>
          <w:iCs/>
        </w:rPr>
      </w:pPr>
    </w:p>
    <w:p w:rsidR="00A1702D" w:rsidRDefault="00B90612">
      <w:pPr>
        <w:widowControl w:val="0"/>
        <w:tabs>
          <w:tab w:val="left" w:pos="993"/>
        </w:tabs>
        <w:spacing w:line="276" w:lineRule="auto"/>
        <w:ind w:right="-318" w:firstLine="142"/>
        <w:jc w:val="both"/>
      </w:pPr>
      <w:r>
        <w:t xml:space="preserve">Срок </w:t>
      </w:r>
      <w:r w:rsidR="00A309A9">
        <w:t xml:space="preserve">Поставки и </w:t>
      </w:r>
      <w:r>
        <w:t>выполнения Работ: указывается в заказах к рамочному договору в течение 2026 года.</w:t>
      </w:r>
      <w:bookmarkStart w:id="0" w:name="_GoBack"/>
      <w:bookmarkEnd w:id="0"/>
    </w:p>
    <w:p w:rsidR="00A1702D" w:rsidRDefault="00A1702D">
      <w:pPr>
        <w:widowControl w:val="0"/>
        <w:spacing w:line="276" w:lineRule="auto"/>
        <w:ind w:firstLine="142"/>
        <w:jc w:val="both"/>
        <w:rPr>
          <w:b/>
          <w:color w:val="000000"/>
          <w:lang w:eastAsia="en-US"/>
        </w:rPr>
      </w:pPr>
    </w:p>
    <w:p w:rsidR="00A1702D" w:rsidRDefault="00B90612">
      <w:pPr>
        <w:widowControl w:val="0"/>
        <w:spacing w:line="276" w:lineRule="auto"/>
        <w:ind w:firstLine="142"/>
        <w:jc w:val="both"/>
        <w:rPr>
          <w:color w:val="000000"/>
          <w:lang w:eastAsia="en-US"/>
        </w:rPr>
      </w:pPr>
      <w:r>
        <w:rPr>
          <w:color w:val="000000"/>
          <w:lang w:eastAsia="en-US"/>
        </w:rPr>
        <w:t>Таблица №1. Спецификация Работ и Оборудования</w:t>
      </w:r>
    </w:p>
    <w:tbl>
      <w:tblPr>
        <w:tblpPr w:leftFromText="180" w:rightFromText="180" w:vertAnchor="text" w:tblpX="-318" w:tblpY="1"/>
        <w:tblOverlap w:val="never"/>
        <w:tblW w:w="4650" w:type="pct"/>
        <w:tblLayout w:type="fixed"/>
        <w:tblLook w:val="04A0" w:firstRow="1" w:lastRow="0" w:firstColumn="1" w:lastColumn="0" w:noHBand="0" w:noVBand="1"/>
      </w:tblPr>
      <w:tblGrid>
        <w:gridCol w:w="675"/>
        <w:gridCol w:w="3544"/>
        <w:gridCol w:w="1559"/>
        <w:gridCol w:w="851"/>
        <w:gridCol w:w="1594"/>
        <w:gridCol w:w="2126"/>
        <w:gridCol w:w="1843"/>
        <w:gridCol w:w="1559"/>
      </w:tblGrid>
      <w:tr w:rsidR="00B90612" w:rsidTr="00B90612">
        <w:trPr>
          <w:trHeight w:val="1318"/>
        </w:trPr>
        <w:tc>
          <w:tcPr>
            <w:tcW w:w="675"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jc w:val="center"/>
              <w:rPr>
                <w:b/>
                <w:sz w:val="18"/>
                <w:szCs w:val="18"/>
              </w:rPr>
            </w:pPr>
            <w:r>
              <w:rPr>
                <w:b/>
                <w:sz w:val="18"/>
                <w:szCs w:val="18"/>
              </w:rPr>
              <w:t>№ п/п</w:t>
            </w:r>
          </w:p>
        </w:tc>
        <w:tc>
          <w:tcPr>
            <w:tcW w:w="3544"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jc w:val="center"/>
              <w:rPr>
                <w:b/>
                <w:sz w:val="18"/>
                <w:szCs w:val="18"/>
              </w:rPr>
            </w:pPr>
            <w:r>
              <w:rPr>
                <w:b/>
                <w:sz w:val="18"/>
                <w:szCs w:val="18"/>
              </w:rPr>
              <w:t>Наименование работ и  оборудования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ind w:left="-108" w:right="-108"/>
              <w:jc w:val="center"/>
              <w:rPr>
                <w:b/>
                <w:sz w:val="18"/>
                <w:szCs w:val="18"/>
              </w:rPr>
            </w:pPr>
            <w:r>
              <w:rPr>
                <w:b/>
                <w:sz w:val="18"/>
                <w:szCs w:val="18"/>
              </w:rPr>
              <w:t>Ед.</w:t>
            </w:r>
          </w:p>
          <w:p w:rsidR="00B90612" w:rsidRDefault="00B90612" w:rsidP="00B90612">
            <w:pPr>
              <w:widowControl w:val="0"/>
              <w:ind w:left="-108" w:right="-108"/>
              <w:jc w:val="center"/>
              <w:rPr>
                <w:b/>
                <w:sz w:val="18"/>
                <w:szCs w:val="18"/>
              </w:rPr>
            </w:pPr>
            <w:r>
              <w:rPr>
                <w:b/>
                <w:sz w:val="18"/>
                <w:szCs w:val="18"/>
              </w:rPr>
              <w:t>изм.</w:t>
            </w:r>
          </w:p>
          <w:p w:rsidR="00B90612" w:rsidRDefault="00B90612" w:rsidP="00B90612">
            <w:pPr>
              <w:widowControl w:val="0"/>
              <w:ind w:left="-108" w:right="-108"/>
              <w:jc w:val="center"/>
              <w:rPr>
                <w:b/>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ind w:left="-108" w:right="-89"/>
              <w:jc w:val="center"/>
              <w:rPr>
                <w:b/>
                <w:sz w:val="18"/>
                <w:szCs w:val="18"/>
              </w:rPr>
            </w:pPr>
            <w:r>
              <w:rPr>
                <w:b/>
                <w:sz w:val="18"/>
                <w:szCs w:val="18"/>
              </w:rPr>
              <w:t>Кол-во</w:t>
            </w:r>
          </w:p>
        </w:tc>
        <w:tc>
          <w:tcPr>
            <w:tcW w:w="1594"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ind w:left="-108" w:right="-108"/>
              <w:jc w:val="center"/>
              <w:rPr>
                <w:b/>
                <w:sz w:val="18"/>
                <w:szCs w:val="18"/>
              </w:rPr>
            </w:pPr>
            <w:r>
              <w:rPr>
                <w:b/>
                <w:sz w:val="18"/>
                <w:szCs w:val="18"/>
              </w:rPr>
              <w:t>Ориентировочное кол-во</w:t>
            </w:r>
          </w:p>
        </w:tc>
        <w:tc>
          <w:tcPr>
            <w:tcW w:w="2126"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ind w:left="-108" w:right="-108"/>
              <w:jc w:val="center"/>
              <w:rPr>
                <w:b/>
                <w:sz w:val="18"/>
                <w:szCs w:val="18"/>
              </w:rPr>
            </w:pPr>
            <w:r>
              <w:rPr>
                <w:b/>
                <w:sz w:val="18"/>
                <w:szCs w:val="18"/>
              </w:rPr>
              <w:t>Товарный знак(его словесное обозначение), фирменное наименование</w:t>
            </w:r>
          </w:p>
        </w:tc>
        <w:tc>
          <w:tcPr>
            <w:tcW w:w="1843"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ind w:left="-108" w:right="-108"/>
              <w:jc w:val="center"/>
              <w:rPr>
                <w:b/>
                <w:sz w:val="18"/>
                <w:szCs w:val="18"/>
              </w:rPr>
            </w:pPr>
            <w:r>
              <w:rPr>
                <w:b/>
                <w:sz w:val="18"/>
                <w:szCs w:val="18"/>
              </w:rPr>
              <w:t>Модель/ артикул / парт. номер товара у производителя</w:t>
            </w:r>
          </w:p>
        </w:tc>
        <w:tc>
          <w:tcPr>
            <w:tcW w:w="1559"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ind w:left="-108" w:right="-108"/>
              <w:jc w:val="center"/>
              <w:rPr>
                <w:b/>
                <w:sz w:val="18"/>
                <w:szCs w:val="18"/>
              </w:rPr>
            </w:pPr>
            <w:r>
              <w:rPr>
                <w:b/>
                <w:sz w:val="18"/>
                <w:szCs w:val="18"/>
              </w:rPr>
              <w:t>Страна происхождения</w:t>
            </w:r>
          </w:p>
        </w:tc>
      </w:tr>
      <w:tr w:rsidR="00B90612" w:rsidTr="00B90612">
        <w:trPr>
          <w:trHeight w:val="1318"/>
        </w:trPr>
        <w:tc>
          <w:tcPr>
            <w:tcW w:w="675"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rPr>
                <w:sz w:val="20"/>
                <w:szCs w:val="20"/>
              </w:rPr>
            </w:pPr>
            <w:r>
              <w:rPr>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rPr>
                <w:b/>
                <w:sz w:val="18"/>
                <w:szCs w:val="18"/>
              </w:rPr>
            </w:pPr>
            <w:r>
              <w:rPr>
                <w:bCs/>
                <w:color w:val="000000"/>
                <w:sz w:val="20"/>
                <w:szCs w:val="20"/>
              </w:rPr>
              <w:t>Усилительно коммутационный блок УКБ СГС-22-МЕ400Н с 4-мя рупорными громкоговорителями ГР.100, комплект в составе:</w:t>
            </w:r>
          </w:p>
        </w:tc>
        <w:tc>
          <w:tcPr>
            <w:tcW w:w="1559"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ind w:left="-108" w:right="-108"/>
              <w:jc w:val="center"/>
              <w:rPr>
                <w:b/>
                <w:sz w:val="18"/>
                <w:szCs w:val="18"/>
              </w:rPr>
            </w:pPr>
            <w:r>
              <w:rPr>
                <w:b/>
                <w:sz w:val="18"/>
                <w:szCs w:val="18"/>
              </w:rPr>
              <w:t>комплект</w:t>
            </w:r>
          </w:p>
        </w:tc>
        <w:tc>
          <w:tcPr>
            <w:tcW w:w="851"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ind w:left="-108" w:right="-89"/>
              <w:jc w:val="center"/>
              <w:rPr>
                <w:b/>
                <w:sz w:val="18"/>
                <w:szCs w:val="18"/>
              </w:rPr>
            </w:pPr>
            <w:r>
              <w:rPr>
                <w:b/>
                <w:sz w:val="18"/>
                <w:szCs w:val="18"/>
              </w:rPr>
              <w:t>1</w:t>
            </w:r>
          </w:p>
        </w:tc>
        <w:tc>
          <w:tcPr>
            <w:tcW w:w="1594" w:type="dxa"/>
            <w:tcBorders>
              <w:top w:val="single" w:sz="4" w:space="0" w:color="000000"/>
              <w:left w:val="single" w:sz="4" w:space="0" w:color="000000"/>
              <w:bottom w:val="single" w:sz="4" w:space="0" w:color="000000"/>
              <w:right w:val="single" w:sz="4" w:space="0" w:color="000000"/>
            </w:tcBorders>
          </w:tcPr>
          <w:p w:rsidR="00B90612" w:rsidRDefault="00B90612" w:rsidP="00B90612">
            <w:pPr>
              <w:spacing w:line="276" w:lineRule="auto"/>
              <w:jc w:val="center"/>
              <w:rPr>
                <w:rFonts w:eastAsia="SimSun"/>
                <w:bCs/>
                <w:iCs/>
                <w:color w:val="000000"/>
                <w:kern w:val="2"/>
                <w:sz w:val="20"/>
                <w:szCs w:val="20"/>
                <w:lang w:eastAsia="hi-IN" w:bidi="hi-IN"/>
              </w:rPr>
            </w:pPr>
          </w:p>
          <w:p w:rsidR="00B90612" w:rsidRDefault="00B90612" w:rsidP="00B90612">
            <w:pPr>
              <w:spacing w:line="276" w:lineRule="auto"/>
              <w:jc w:val="center"/>
              <w:rPr>
                <w:rFonts w:eastAsia="SimSun"/>
                <w:bCs/>
                <w:iCs/>
                <w:color w:val="000000"/>
                <w:kern w:val="2"/>
                <w:sz w:val="20"/>
                <w:szCs w:val="20"/>
                <w:lang w:eastAsia="hi-IN" w:bidi="hi-IN"/>
              </w:rPr>
            </w:pPr>
          </w:p>
          <w:p w:rsidR="00B90612" w:rsidRDefault="00B90612" w:rsidP="00B90612">
            <w:pPr>
              <w:spacing w:line="276" w:lineRule="auto"/>
              <w:jc w:val="center"/>
              <w:rPr>
                <w:rFonts w:eastAsia="SimSun"/>
                <w:bCs/>
                <w:iCs/>
                <w:color w:val="000000"/>
                <w:kern w:val="2"/>
                <w:sz w:val="20"/>
                <w:szCs w:val="20"/>
                <w:lang w:eastAsia="hi-IN" w:bidi="hi-IN"/>
              </w:rPr>
            </w:pPr>
            <w:r>
              <w:rPr>
                <w:rFonts w:eastAsia="SimSun"/>
                <w:bCs/>
                <w:iCs/>
                <w:color w:val="000000"/>
                <w:kern w:val="2"/>
                <w:sz w:val="20"/>
                <w:szCs w:val="20"/>
                <w:lang w:eastAsia="hi-IN" w:bidi="hi-IN"/>
              </w:rPr>
              <w:t>46</w:t>
            </w:r>
          </w:p>
        </w:tc>
        <w:tc>
          <w:tcPr>
            <w:tcW w:w="2126" w:type="dxa"/>
            <w:tcBorders>
              <w:top w:val="single" w:sz="4" w:space="0" w:color="000000"/>
              <w:left w:val="single" w:sz="4" w:space="0" w:color="000000"/>
              <w:bottom w:val="single" w:sz="4" w:space="0" w:color="000000"/>
              <w:right w:val="single" w:sz="4" w:space="0" w:color="000000"/>
            </w:tcBorders>
          </w:tcPr>
          <w:p w:rsidR="00B90612" w:rsidRDefault="00B90612" w:rsidP="00B90612">
            <w:pPr>
              <w:spacing w:line="276" w:lineRule="auto"/>
              <w:jc w:val="center"/>
              <w:rPr>
                <w:rFonts w:eastAsia="SimSun"/>
                <w:bCs/>
                <w:iCs/>
                <w:color w:val="000000"/>
                <w:kern w:val="2"/>
                <w:sz w:val="20"/>
                <w:szCs w:val="20"/>
                <w:lang w:eastAsia="hi-IN" w:bidi="hi-IN"/>
              </w:rPr>
            </w:pPr>
            <w:r>
              <w:rPr>
                <w:rFonts w:eastAsia="SimSun"/>
                <w:bCs/>
                <w:iCs/>
                <w:color w:val="000000"/>
                <w:kern w:val="2"/>
                <w:sz w:val="20"/>
                <w:szCs w:val="20"/>
                <w:lang w:eastAsia="hi-IN" w:bidi="hi-IN"/>
              </w:rPr>
              <w:t>Усилительно-</w:t>
            </w:r>
          </w:p>
          <w:p w:rsidR="00B90612" w:rsidRDefault="00B90612" w:rsidP="00B90612">
            <w:pPr>
              <w:spacing w:line="276" w:lineRule="auto"/>
              <w:jc w:val="center"/>
              <w:rPr>
                <w:rFonts w:eastAsia="SimSun"/>
                <w:bCs/>
                <w:iCs/>
                <w:color w:val="000000"/>
                <w:kern w:val="2"/>
                <w:sz w:val="20"/>
                <w:szCs w:val="20"/>
                <w:lang w:eastAsia="hi-IN" w:bidi="hi-IN"/>
              </w:rPr>
            </w:pPr>
            <w:r>
              <w:rPr>
                <w:rFonts w:eastAsia="SimSun"/>
                <w:bCs/>
                <w:iCs/>
                <w:color w:val="000000"/>
                <w:kern w:val="2"/>
                <w:sz w:val="20"/>
                <w:szCs w:val="20"/>
                <w:lang w:eastAsia="hi-IN" w:bidi="hi-IN"/>
              </w:rPr>
              <w:t>коммутационный блок</w:t>
            </w:r>
          </w:p>
          <w:p w:rsidR="00B90612" w:rsidRDefault="00B90612" w:rsidP="00B90612">
            <w:pPr>
              <w:widowControl w:val="0"/>
              <w:ind w:left="-108" w:right="-108"/>
              <w:jc w:val="center"/>
              <w:rPr>
                <w:b/>
                <w:sz w:val="18"/>
                <w:szCs w:val="18"/>
              </w:rPr>
            </w:pPr>
            <w:r>
              <w:rPr>
                <w:rFonts w:eastAsia="SimSun"/>
                <w:bCs/>
                <w:iCs/>
                <w:color w:val="000000"/>
                <w:kern w:val="2"/>
                <w:sz w:val="20"/>
                <w:szCs w:val="20"/>
                <w:lang w:eastAsia="hi-IN" w:bidi="hi-IN"/>
              </w:rPr>
              <w:t>УКБ СГС-22МЕ400Н</w:t>
            </w:r>
          </w:p>
        </w:tc>
        <w:tc>
          <w:tcPr>
            <w:tcW w:w="1843" w:type="dxa"/>
            <w:tcBorders>
              <w:top w:val="single" w:sz="4" w:space="0" w:color="000000"/>
              <w:left w:val="single" w:sz="4" w:space="0" w:color="000000"/>
              <w:bottom w:val="single" w:sz="4" w:space="0" w:color="000000"/>
              <w:right w:val="single" w:sz="4" w:space="0" w:color="000000"/>
            </w:tcBorders>
          </w:tcPr>
          <w:p w:rsidR="00B90612" w:rsidRDefault="00B90612" w:rsidP="00B90612">
            <w:pPr>
              <w:spacing w:line="276" w:lineRule="auto"/>
              <w:jc w:val="center"/>
              <w:rPr>
                <w:rFonts w:eastAsia="SimSun"/>
                <w:bCs/>
                <w:iCs/>
                <w:color w:val="000000"/>
                <w:kern w:val="2"/>
                <w:sz w:val="20"/>
                <w:szCs w:val="20"/>
                <w:lang w:eastAsia="hi-IN" w:bidi="hi-IN"/>
              </w:rPr>
            </w:pPr>
            <w:r>
              <w:rPr>
                <w:rFonts w:eastAsia="SimSun"/>
                <w:bCs/>
                <w:iCs/>
                <w:color w:val="000000"/>
                <w:kern w:val="2"/>
                <w:sz w:val="20"/>
                <w:szCs w:val="20"/>
                <w:lang w:eastAsia="hi-IN" w:bidi="hi-IN"/>
              </w:rPr>
              <w:t>УКБ СГС-22МЕ400Н</w:t>
            </w:r>
          </w:p>
          <w:p w:rsidR="00B90612" w:rsidRDefault="00B90612" w:rsidP="00B90612">
            <w:pPr>
              <w:widowControl w:val="0"/>
              <w:ind w:left="-108" w:right="-108"/>
              <w:jc w:val="center"/>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ind w:left="-108" w:right="-108"/>
              <w:jc w:val="center"/>
              <w:rPr>
                <w:b/>
                <w:sz w:val="18"/>
                <w:szCs w:val="18"/>
              </w:rPr>
            </w:pPr>
            <w:r>
              <w:rPr>
                <w:bCs/>
                <w:sz w:val="20"/>
                <w:szCs w:val="20"/>
                <w:lang w:eastAsia="en-US"/>
              </w:rPr>
              <w:t>РФ</w:t>
            </w:r>
          </w:p>
        </w:tc>
      </w:tr>
      <w:tr w:rsidR="00B90612" w:rsidTr="00B90612">
        <w:trPr>
          <w:trHeight w:val="563"/>
        </w:trPr>
        <w:tc>
          <w:tcPr>
            <w:tcW w:w="675"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rPr>
                <w:sz w:val="20"/>
                <w:szCs w:val="20"/>
              </w:rPr>
            </w:pPr>
            <w:r>
              <w:rPr>
                <w:sz w:val="20"/>
                <w:szCs w:val="20"/>
              </w:rPr>
              <w:t>2</w:t>
            </w:r>
          </w:p>
        </w:tc>
        <w:tc>
          <w:tcPr>
            <w:tcW w:w="3544" w:type="dxa"/>
            <w:tcBorders>
              <w:top w:val="single" w:sz="8" w:space="0" w:color="000000"/>
              <w:left w:val="single" w:sz="8" w:space="0" w:color="000000"/>
              <w:bottom w:val="single" w:sz="8" w:space="0" w:color="000000"/>
              <w:right w:val="single" w:sz="8" w:space="0" w:color="000000"/>
            </w:tcBorders>
            <w:vAlign w:val="center"/>
          </w:tcPr>
          <w:p w:rsidR="00B90612" w:rsidRDefault="00B90612" w:rsidP="00B90612">
            <w:pPr>
              <w:jc w:val="both"/>
              <w:rPr>
                <w:sz w:val="20"/>
                <w:szCs w:val="20"/>
              </w:rPr>
            </w:pPr>
            <w:r>
              <w:rPr>
                <w:bCs/>
                <w:color w:val="000000"/>
                <w:sz w:val="20"/>
                <w:szCs w:val="20"/>
              </w:rPr>
              <w:t>Усилительно коммутационный блок УКБ СГС-22-МЕ400У с 4-мя рупорными громкоговорителями ГР.100, комплект в составе:</w:t>
            </w:r>
          </w:p>
        </w:tc>
        <w:tc>
          <w:tcPr>
            <w:tcW w:w="1559"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jc w:val="center"/>
              <w:rPr>
                <w:bCs/>
                <w:sz w:val="20"/>
                <w:szCs w:val="20"/>
              </w:rPr>
            </w:pPr>
            <w:r>
              <w:rPr>
                <w:rFonts w:eastAsia="Calibri"/>
                <w:b/>
                <w:sz w:val="20"/>
                <w:szCs w:val="20"/>
              </w:rPr>
              <w:t>комплект</w:t>
            </w:r>
          </w:p>
        </w:tc>
        <w:tc>
          <w:tcPr>
            <w:tcW w:w="851"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jc w:val="center"/>
              <w:rPr>
                <w:rFonts w:eastAsia="Calibri"/>
                <w:b/>
                <w:sz w:val="20"/>
                <w:szCs w:val="20"/>
              </w:rPr>
            </w:pPr>
            <w:r>
              <w:rPr>
                <w:rFonts w:eastAsia="Calibri"/>
                <w:b/>
                <w:sz w:val="20"/>
                <w:szCs w:val="20"/>
              </w:rPr>
              <w:t>1</w:t>
            </w:r>
          </w:p>
        </w:tc>
        <w:tc>
          <w:tcPr>
            <w:tcW w:w="1594" w:type="dxa"/>
            <w:tcBorders>
              <w:top w:val="single" w:sz="4" w:space="0" w:color="000000"/>
              <w:left w:val="single" w:sz="4" w:space="0" w:color="000000"/>
              <w:bottom w:val="single" w:sz="4" w:space="0" w:color="000000"/>
              <w:right w:val="single" w:sz="4" w:space="0" w:color="000000"/>
            </w:tcBorders>
          </w:tcPr>
          <w:p w:rsidR="00B90612" w:rsidRDefault="00B90612" w:rsidP="00B90612">
            <w:pPr>
              <w:spacing w:line="276" w:lineRule="auto"/>
              <w:jc w:val="center"/>
              <w:rPr>
                <w:rFonts w:eastAsia="SimSun"/>
                <w:bCs/>
                <w:iCs/>
                <w:color w:val="000000"/>
                <w:kern w:val="2"/>
                <w:sz w:val="20"/>
                <w:szCs w:val="20"/>
                <w:lang w:eastAsia="hi-IN" w:bidi="hi-IN"/>
              </w:rPr>
            </w:pPr>
          </w:p>
          <w:p w:rsidR="00B90612" w:rsidRDefault="00B90612" w:rsidP="00B90612">
            <w:pPr>
              <w:spacing w:line="276" w:lineRule="auto"/>
              <w:jc w:val="center"/>
              <w:rPr>
                <w:rFonts w:eastAsia="SimSun"/>
                <w:bCs/>
                <w:iCs/>
                <w:color w:val="000000"/>
                <w:kern w:val="2"/>
                <w:sz w:val="20"/>
                <w:szCs w:val="20"/>
                <w:lang w:eastAsia="hi-IN" w:bidi="hi-IN"/>
              </w:rPr>
            </w:pPr>
            <w:r>
              <w:rPr>
                <w:rFonts w:eastAsia="SimSun"/>
                <w:bCs/>
                <w:iCs/>
                <w:color w:val="000000"/>
                <w:kern w:val="2"/>
                <w:sz w:val="20"/>
                <w:szCs w:val="20"/>
                <w:lang w:eastAsia="hi-IN" w:bidi="hi-IN"/>
              </w:rPr>
              <w:t>10</w:t>
            </w:r>
          </w:p>
        </w:tc>
        <w:tc>
          <w:tcPr>
            <w:tcW w:w="2126" w:type="dxa"/>
            <w:tcBorders>
              <w:top w:val="single" w:sz="4" w:space="0" w:color="000000"/>
              <w:left w:val="single" w:sz="4" w:space="0" w:color="000000"/>
              <w:bottom w:val="single" w:sz="4" w:space="0" w:color="000000"/>
              <w:right w:val="single" w:sz="4" w:space="0" w:color="000000"/>
            </w:tcBorders>
          </w:tcPr>
          <w:p w:rsidR="00B90612" w:rsidRDefault="00B90612" w:rsidP="00B90612">
            <w:pPr>
              <w:spacing w:line="276" w:lineRule="auto"/>
              <w:jc w:val="center"/>
              <w:rPr>
                <w:rFonts w:eastAsia="SimSun"/>
                <w:bCs/>
                <w:iCs/>
                <w:color w:val="000000"/>
                <w:kern w:val="2"/>
                <w:sz w:val="20"/>
                <w:szCs w:val="20"/>
                <w:lang w:eastAsia="hi-IN" w:bidi="hi-IN"/>
              </w:rPr>
            </w:pPr>
            <w:r>
              <w:rPr>
                <w:rFonts w:eastAsia="SimSun"/>
                <w:bCs/>
                <w:iCs/>
                <w:color w:val="000000"/>
                <w:kern w:val="2"/>
                <w:sz w:val="20"/>
                <w:szCs w:val="20"/>
                <w:lang w:eastAsia="hi-IN" w:bidi="hi-IN"/>
              </w:rPr>
              <w:t>Усилительно-</w:t>
            </w:r>
          </w:p>
          <w:p w:rsidR="00B90612" w:rsidRDefault="00B90612" w:rsidP="00B90612">
            <w:pPr>
              <w:spacing w:line="276" w:lineRule="auto"/>
              <w:jc w:val="center"/>
              <w:rPr>
                <w:rFonts w:eastAsia="SimSun"/>
                <w:bCs/>
                <w:iCs/>
                <w:color w:val="000000"/>
                <w:kern w:val="2"/>
                <w:sz w:val="20"/>
                <w:szCs w:val="20"/>
                <w:lang w:eastAsia="hi-IN" w:bidi="hi-IN"/>
              </w:rPr>
            </w:pPr>
            <w:r>
              <w:rPr>
                <w:rFonts w:eastAsia="SimSun"/>
                <w:bCs/>
                <w:iCs/>
                <w:color w:val="000000"/>
                <w:kern w:val="2"/>
                <w:sz w:val="20"/>
                <w:szCs w:val="20"/>
                <w:lang w:eastAsia="hi-IN" w:bidi="hi-IN"/>
              </w:rPr>
              <w:t>коммутационный блок</w:t>
            </w:r>
          </w:p>
          <w:p w:rsidR="00B90612" w:rsidRDefault="00B90612" w:rsidP="00B90612">
            <w:pPr>
              <w:spacing w:line="276" w:lineRule="auto"/>
              <w:jc w:val="center"/>
              <w:rPr>
                <w:bCs/>
                <w:color w:val="00000A"/>
                <w:kern w:val="2"/>
                <w:sz w:val="20"/>
                <w:szCs w:val="20"/>
                <w:lang w:eastAsia="zh-CN"/>
              </w:rPr>
            </w:pPr>
            <w:r>
              <w:rPr>
                <w:rFonts w:eastAsia="SimSun"/>
                <w:bCs/>
                <w:iCs/>
                <w:color w:val="000000"/>
                <w:kern w:val="2"/>
                <w:sz w:val="20"/>
                <w:szCs w:val="20"/>
                <w:lang w:eastAsia="hi-IN" w:bidi="hi-IN"/>
              </w:rPr>
              <w:t>УКБ СГС-22МЕ400У</w:t>
            </w:r>
          </w:p>
        </w:tc>
        <w:tc>
          <w:tcPr>
            <w:tcW w:w="1843" w:type="dxa"/>
            <w:tcBorders>
              <w:top w:val="single" w:sz="4" w:space="0" w:color="000000"/>
              <w:left w:val="single" w:sz="4" w:space="0" w:color="000000"/>
              <w:bottom w:val="single" w:sz="4" w:space="0" w:color="000000"/>
              <w:right w:val="single" w:sz="4" w:space="0" w:color="000000"/>
            </w:tcBorders>
          </w:tcPr>
          <w:p w:rsidR="00B90612" w:rsidRDefault="00B90612" w:rsidP="00B90612">
            <w:pPr>
              <w:spacing w:line="276" w:lineRule="auto"/>
              <w:jc w:val="center"/>
              <w:rPr>
                <w:rFonts w:eastAsia="SimSun"/>
                <w:bCs/>
                <w:iCs/>
                <w:color w:val="000000"/>
                <w:kern w:val="2"/>
                <w:sz w:val="20"/>
                <w:szCs w:val="20"/>
                <w:lang w:eastAsia="hi-IN" w:bidi="hi-IN"/>
              </w:rPr>
            </w:pPr>
            <w:r>
              <w:rPr>
                <w:rFonts w:eastAsia="SimSun"/>
                <w:bCs/>
                <w:iCs/>
                <w:color w:val="000000"/>
                <w:kern w:val="2"/>
                <w:sz w:val="20"/>
                <w:szCs w:val="20"/>
                <w:lang w:eastAsia="hi-IN" w:bidi="hi-IN"/>
              </w:rPr>
              <w:t>УКБ СГС-22МЕ400У</w:t>
            </w:r>
          </w:p>
          <w:p w:rsidR="00B90612" w:rsidRDefault="00B90612" w:rsidP="00B90612">
            <w:pPr>
              <w:spacing w:line="276" w:lineRule="auto"/>
              <w:jc w:val="center"/>
              <w:rPr>
                <w:bCs/>
                <w:color w:val="00000A"/>
                <w:kern w:val="2"/>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bCs/>
                <w:sz w:val="20"/>
                <w:szCs w:val="20"/>
                <w:lang w:eastAsia="en-US"/>
              </w:rPr>
            </w:pPr>
            <w:r>
              <w:rPr>
                <w:bCs/>
                <w:sz w:val="20"/>
                <w:szCs w:val="20"/>
                <w:lang w:eastAsia="en-US"/>
              </w:rPr>
              <w:t>РФ</w:t>
            </w:r>
          </w:p>
        </w:tc>
      </w:tr>
      <w:tr w:rsidR="00B90612" w:rsidTr="00B90612">
        <w:trPr>
          <w:trHeight w:val="799"/>
        </w:trPr>
        <w:tc>
          <w:tcPr>
            <w:tcW w:w="675"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rPr>
                <w:sz w:val="20"/>
                <w:szCs w:val="20"/>
              </w:rPr>
            </w:pPr>
            <w:r>
              <w:rPr>
                <w:sz w:val="20"/>
                <w:szCs w:val="20"/>
              </w:rPr>
              <w:t>3.</w:t>
            </w:r>
          </w:p>
        </w:tc>
        <w:tc>
          <w:tcPr>
            <w:tcW w:w="3544" w:type="dxa"/>
            <w:tcBorders>
              <w:top w:val="single" w:sz="8" w:space="0" w:color="000000"/>
              <w:left w:val="single" w:sz="8" w:space="0" w:color="000000"/>
              <w:bottom w:val="single" w:sz="8" w:space="0" w:color="000000"/>
              <w:right w:val="single" w:sz="8" w:space="0" w:color="000000"/>
            </w:tcBorders>
            <w:vAlign w:val="center"/>
          </w:tcPr>
          <w:p w:rsidR="00B90612" w:rsidRDefault="00B90612" w:rsidP="00B90612">
            <w:pPr>
              <w:rPr>
                <w:sz w:val="20"/>
                <w:szCs w:val="20"/>
              </w:rPr>
            </w:pPr>
            <w:r>
              <w:rPr>
                <w:sz w:val="20"/>
                <w:szCs w:val="20"/>
              </w:rPr>
              <w:t xml:space="preserve">Строительно-монтажные работы для УКБ </w:t>
            </w:r>
            <w:r>
              <w:rPr>
                <w:rFonts w:eastAsia="Calibri"/>
                <w:sz w:val="20"/>
                <w:szCs w:val="20"/>
                <w:lang w:eastAsia="en-US"/>
              </w:rPr>
              <w:t xml:space="preserve"> СГС-22МЕ400Н</w:t>
            </w:r>
          </w:p>
        </w:tc>
        <w:tc>
          <w:tcPr>
            <w:tcW w:w="1559"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jc w:val="center"/>
              <w:rPr>
                <w:bCs/>
                <w:sz w:val="20"/>
                <w:szCs w:val="20"/>
              </w:rPr>
            </w:pPr>
            <w:r>
              <w:rPr>
                <w:bCs/>
                <w:sz w:val="20"/>
                <w:szCs w:val="20"/>
              </w:rPr>
              <w:t>усл. ед.</w:t>
            </w:r>
          </w:p>
        </w:tc>
        <w:tc>
          <w:tcPr>
            <w:tcW w:w="851"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jc w:val="center"/>
              <w:rPr>
                <w:rFonts w:eastAsia="Calibri"/>
                <w:sz w:val="20"/>
                <w:szCs w:val="20"/>
              </w:rPr>
            </w:pPr>
            <w:r>
              <w:rPr>
                <w:rFonts w:eastAsia="Calibri"/>
                <w:sz w:val="20"/>
                <w:szCs w:val="20"/>
              </w:rPr>
              <w:t>1</w:t>
            </w:r>
          </w:p>
        </w:tc>
        <w:tc>
          <w:tcPr>
            <w:tcW w:w="1594"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bCs/>
                <w:sz w:val="20"/>
                <w:szCs w:val="20"/>
              </w:rPr>
            </w:pPr>
          </w:p>
          <w:p w:rsidR="00B90612" w:rsidRDefault="00B90612" w:rsidP="00B90612">
            <w:pPr>
              <w:widowControl w:val="0"/>
              <w:jc w:val="center"/>
              <w:rPr>
                <w:bCs/>
                <w:sz w:val="20"/>
                <w:szCs w:val="20"/>
              </w:rPr>
            </w:pPr>
            <w:r>
              <w:rPr>
                <w:bCs/>
                <w:sz w:val="20"/>
                <w:szCs w:val="20"/>
              </w:rPr>
              <w:t>46</w:t>
            </w:r>
          </w:p>
        </w:tc>
        <w:tc>
          <w:tcPr>
            <w:tcW w:w="2126"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bCs/>
                <w:sz w:val="20"/>
                <w:szCs w:val="20"/>
              </w:rPr>
            </w:pPr>
            <w:r>
              <w:rPr>
                <w:bCs/>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bCs/>
                <w:sz w:val="20"/>
                <w:szCs w:val="20"/>
              </w:rPr>
            </w:pPr>
            <w:r>
              <w:rPr>
                <w:bCs/>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bCs/>
                <w:sz w:val="20"/>
                <w:szCs w:val="20"/>
              </w:rPr>
            </w:pPr>
            <w:r>
              <w:rPr>
                <w:bCs/>
                <w:sz w:val="20"/>
                <w:szCs w:val="20"/>
                <w:lang w:eastAsia="en-US"/>
              </w:rPr>
              <w:t>РФ</w:t>
            </w:r>
          </w:p>
        </w:tc>
      </w:tr>
      <w:tr w:rsidR="00B90612" w:rsidTr="00B90612">
        <w:trPr>
          <w:trHeight w:val="419"/>
        </w:trPr>
        <w:tc>
          <w:tcPr>
            <w:tcW w:w="675"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rPr>
                <w:sz w:val="20"/>
                <w:szCs w:val="20"/>
              </w:rPr>
            </w:pPr>
            <w:r>
              <w:rPr>
                <w:sz w:val="20"/>
                <w:szCs w:val="20"/>
              </w:rPr>
              <w:t>4.</w:t>
            </w:r>
          </w:p>
        </w:tc>
        <w:tc>
          <w:tcPr>
            <w:tcW w:w="3544" w:type="dxa"/>
            <w:tcBorders>
              <w:top w:val="single" w:sz="8" w:space="0" w:color="000000"/>
              <w:left w:val="single" w:sz="8" w:space="0" w:color="000000"/>
              <w:bottom w:val="single" w:sz="8" w:space="0" w:color="000000"/>
              <w:right w:val="single" w:sz="8" w:space="0" w:color="000000"/>
            </w:tcBorders>
            <w:vAlign w:val="center"/>
          </w:tcPr>
          <w:p w:rsidR="00B90612" w:rsidRDefault="00B90612" w:rsidP="00B90612">
            <w:pPr>
              <w:spacing w:before="100" w:after="200" w:line="251" w:lineRule="atLeast"/>
              <w:rPr>
                <w:sz w:val="20"/>
                <w:szCs w:val="20"/>
              </w:rPr>
            </w:pPr>
            <w:r>
              <w:rPr>
                <w:sz w:val="20"/>
                <w:szCs w:val="20"/>
              </w:rPr>
              <w:t xml:space="preserve">Пуско-наладочные работы  для УКБ </w:t>
            </w:r>
            <w:r>
              <w:rPr>
                <w:rFonts w:eastAsia="Calibri"/>
                <w:sz w:val="20"/>
                <w:szCs w:val="20"/>
                <w:lang w:eastAsia="en-US"/>
              </w:rPr>
              <w:t xml:space="preserve"> СГС-22МЕ400Н</w:t>
            </w:r>
          </w:p>
        </w:tc>
        <w:tc>
          <w:tcPr>
            <w:tcW w:w="1559"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jc w:val="center"/>
              <w:rPr>
                <w:bCs/>
                <w:sz w:val="20"/>
                <w:szCs w:val="20"/>
              </w:rPr>
            </w:pPr>
            <w:r>
              <w:rPr>
                <w:bCs/>
                <w:sz w:val="20"/>
                <w:szCs w:val="20"/>
              </w:rPr>
              <w:t>усл. ед.</w:t>
            </w:r>
          </w:p>
        </w:tc>
        <w:tc>
          <w:tcPr>
            <w:tcW w:w="851"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jc w:val="center"/>
              <w:rPr>
                <w:rFonts w:eastAsia="Calibri"/>
                <w:sz w:val="20"/>
                <w:szCs w:val="20"/>
              </w:rPr>
            </w:pPr>
            <w:r>
              <w:rPr>
                <w:rFonts w:eastAsia="Calibri"/>
                <w:sz w:val="20"/>
                <w:szCs w:val="20"/>
              </w:rPr>
              <w:t>1</w:t>
            </w:r>
          </w:p>
        </w:tc>
        <w:tc>
          <w:tcPr>
            <w:tcW w:w="1594"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p>
          <w:p w:rsidR="00B90612" w:rsidRDefault="00B90612" w:rsidP="00B90612">
            <w:pPr>
              <w:widowControl w:val="0"/>
              <w:jc w:val="center"/>
              <w:rPr>
                <w:rFonts w:eastAsia="Calibri"/>
                <w:sz w:val="20"/>
                <w:szCs w:val="20"/>
              </w:rPr>
            </w:pPr>
            <w:r>
              <w:rPr>
                <w:rFonts w:eastAsia="Calibri"/>
                <w:sz w:val="20"/>
                <w:szCs w:val="20"/>
              </w:rPr>
              <w:t>46</w:t>
            </w:r>
          </w:p>
        </w:tc>
        <w:tc>
          <w:tcPr>
            <w:tcW w:w="2126"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rFonts w:eastAsia="Calibri"/>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rFonts w:eastAsia="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bCs/>
                <w:sz w:val="20"/>
                <w:szCs w:val="20"/>
                <w:lang w:eastAsia="en-US"/>
              </w:rPr>
              <w:t>РФ</w:t>
            </w:r>
          </w:p>
        </w:tc>
      </w:tr>
      <w:tr w:rsidR="00B90612" w:rsidTr="00B90612">
        <w:trPr>
          <w:trHeight w:val="419"/>
        </w:trPr>
        <w:tc>
          <w:tcPr>
            <w:tcW w:w="675"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rPr>
                <w:sz w:val="20"/>
                <w:szCs w:val="20"/>
              </w:rPr>
            </w:pPr>
            <w:r>
              <w:rPr>
                <w:sz w:val="20"/>
                <w:szCs w:val="20"/>
              </w:rPr>
              <w:t>5.</w:t>
            </w:r>
          </w:p>
        </w:tc>
        <w:tc>
          <w:tcPr>
            <w:tcW w:w="3544" w:type="dxa"/>
            <w:tcBorders>
              <w:top w:val="single" w:sz="8" w:space="0" w:color="000000"/>
              <w:left w:val="single" w:sz="8" w:space="0" w:color="000000"/>
              <w:bottom w:val="single" w:sz="8" w:space="0" w:color="000000"/>
              <w:right w:val="single" w:sz="8" w:space="0" w:color="000000"/>
            </w:tcBorders>
            <w:vAlign w:val="center"/>
          </w:tcPr>
          <w:p w:rsidR="00B90612" w:rsidRDefault="00B90612" w:rsidP="00B90612">
            <w:pPr>
              <w:spacing w:before="100" w:after="200" w:line="251" w:lineRule="atLeast"/>
              <w:rPr>
                <w:sz w:val="20"/>
                <w:szCs w:val="20"/>
              </w:rPr>
            </w:pPr>
            <w:r>
              <w:rPr>
                <w:sz w:val="20"/>
                <w:szCs w:val="20"/>
              </w:rPr>
              <w:t xml:space="preserve">Строительно-монтажные работы для </w:t>
            </w:r>
            <w:r>
              <w:rPr>
                <w:sz w:val="20"/>
                <w:szCs w:val="20"/>
              </w:rPr>
              <w:lastRenderedPageBreak/>
              <w:t xml:space="preserve">УКБ </w:t>
            </w:r>
            <w:r>
              <w:rPr>
                <w:rFonts w:eastAsia="Calibri"/>
                <w:sz w:val="20"/>
                <w:szCs w:val="20"/>
                <w:lang w:eastAsia="en-US"/>
              </w:rPr>
              <w:t xml:space="preserve"> СГС-22МЕ400У</w:t>
            </w:r>
          </w:p>
        </w:tc>
        <w:tc>
          <w:tcPr>
            <w:tcW w:w="1559"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jc w:val="center"/>
              <w:rPr>
                <w:bCs/>
                <w:sz w:val="20"/>
                <w:szCs w:val="20"/>
              </w:rPr>
            </w:pPr>
            <w:r>
              <w:rPr>
                <w:bCs/>
                <w:sz w:val="20"/>
                <w:szCs w:val="20"/>
              </w:rPr>
              <w:lastRenderedPageBreak/>
              <w:t>усл. ед.</w:t>
            </w:r>
          </w:p>
        </w:tc>
        <w:tc>
          <w:tcPr>
            <w:tcW w:w="851"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jc w:val="center"/>
              <w:rPr>
                <w:rFonts w:eastAsia="Calibri"/>
                <w:sz w:val="20"/>
                <w:szCs w:val="20"/>
              </w:rPr>
            </w:pPr>
            <w:r>
              <w:rPr>
                <w:rFonts w:eastAsia="Calibri"/>
                <w:sz w:val="20"/>
                <w:szCs w:val="20"/>
              </w:rPr>
              <w:t>1</w:t>
            </w:r>
          </w:p>
        </w:tc>
        <w:tc>
          <w:tcPr>
            <w:tcW w:w="1594"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p>
          <w:p w:rsidR="00B90612" w:rsidRDefault="00B90612" w:rsidP="00B90612">
            <w:pPr>
              <w:widowControl w:val="0"/>
              <w:jc w:val="center"/>
              <w:rPr>
                <w:rFonts w:eastAsia="Calibri"/>
                <w:sz w:val="20"/>
                <w:szCs w:val="20"/>
              </w:rPr>
            </w:pPr>
            <w:r>
              <w:rPr>
                <w:rFonts w:eastAsia="Calibri"/>
                <w:sz w:val="20"/>
                <w:szCs w:val="20"/>
              </w:rPr>
              <w:t>10</w:t>
            </w:r>
          </w:p>
        </w:tc>
        <w:tc>
          <w:tcPr>
            <w:tcW w:w="2126"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rFonts w:eastAsia="Calibri"/>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rFonts w:eastAsia="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bCs/>
                <w:sz w:val="20"/>
                <w:szCs w:val="20"/>
                <w:lang w:eastAsia="en-US"/>
              </w:rPr>
              <w:t>РФ</w:t>
            </w:r>
          </w:p>
        </w:tc>
      </w:tr>
      <w:tr w:rsidR="00B90612" w:rsidTr="00B90612">
        <w:trPr>
          <w:trHeight w:val="419"/>
        </w:trPr>
        <w:tc>
          <w:tcPr>
            <w:tcW w:w="675"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rPr>
                <w:sz w:val="20"/>
                <w:szCs w:val="20"/>
              </w:rPr>
            </w:pPr>
            <w:r>
              <w:rPr>
                <w:sz w:val="20"/>
                <w:szCs w:val="20"/>
              </w:rPr>
              <w:t>6.</w:t>
            </w:r>
          </w:p>
        </w:tc>
        <w:tc>
          <w:tcPr>
            <w:tcW w:w="3544" w:type="dxa"/>
            <w:tcBorders>
              <w:top w:val="single" w:sz="8" w:space="0" w:color="000000"/>
              <w:left w:val="single" w:sz="8" w:space="0" w:color="000000"/>
              <w:bottom w:val="single" w:sz="8" w:space="0" w:color="000000"/>
              <w:right w:val="single" w:sz="8" w:space="0" w:color="000000"/>
            </w:tcBorders>
            <w:vAlign w:val="center"/>
          </w:tcPr>
          <w:p w:rsidR="00B90612" w:rsidRDefault="00B90612" w:rsidP="00B90612">
            <w:pPr>
              <w:spacing w:before="100" w:after="200" w:line="251" w:lineRule="atLeast"/>
              <w:rPr>
                <w:sz w:val="20"/>
                <w:szCs w:val="20"/>
              </w:rPr>
            </w:pPr>
            <w:r>
              <w:rPr>
                <w:sz w:val="20"/>
                <w:szCs w:val="20"/>
              </w:rPr>
              <w:t xml:space="preserve">Пуско-наладочные работы  для УКБ </w:t>
            </w:r>
            <w:r>
              <w:rPr>
                <w:rFonts w:eastAsia="Calibri"/>
                <w:sz w:val="20"/>
                <w:szCs w:val="20"/>
                <w:lang w:eastAsia="en-US"/>
              </w:rPr>
              <w:t xml:space="preserve"> СГС-22МЕ400У</w:t>
            </w:r>
          </w:p>
        </w:tc>
        <w:tc>
          <w:tcPr>
            <w:tcW w:w="1559"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widowControl w:val="0"/>
              <w:jc w:val="center"/>
              <w:rPr>
                <w:bCs/>
                <w:sz w:val="20"/>
                <w:szCs w:val="20"/>
              </w:rPr>
            </w:pPr>
            <w:r>
              <w:rPr>
                <w:bCs/>
                <w:sz w:val="20"/>
                <w:szCs w:val="20"/>
              </w:rPr>
              <w:t>усл. ед.</w:t>
            </w:r>
          </w:p>
        </w:tc>
        <w:tc>
          <w:tcPr>
            <w:tcW w:w="851" w:type="dxa"/>
            <w:tcBorders>
              <w:top w:val="single" w:sz="4" w:space="0" w:color="000000"/>
              <w:left w:val="single" w:sz="4" w:space="0" w:color="000000"/>
              <w:bottom w:val="single" w:sz="4" w:space="0" w:color="000000"/>
              <w:right w:val="single" w:sz="4" w:space="0" w:color="000000"/>
            </w:tcBorders>
            <w:vAlign w:val="center"/>
          </w:tcPr>
          <w:p w:rsidR="00B90612" w:rsidRDefault="00B90612" w:rsidP="00B90612">
            <w:pPr>
              <w:jc w:val="center"/>
              <w:rPr>
                <w:rFonts w:eastAsia="Calibri"/>
                <w:sz w:val="20"/>
                <w:szCs w:val="20"/>
              </w:rPr>
            </w:pPr>
            <w:r>
              <w:rPr>
                <w:rFonts w:eastAsia="Calibri"/>
                <w:sz w:val="20"/>
                <w:szCs w:val="20"/>
              </w:rPr>
              <w:t>1</w:t>
            </w:r>
          </w:p>
        </w:tc>
        <w:tc>
          <w:tcPr>
            <w:tcW w:w="1594"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sz w:val="22"/>
                <w:szCs w:val="22"/>
              </w:rPr>
            </w:pPr>
          </w:p>
          <w:p w:rsidR="00B90612" w:rsidRDefault="00B90612" w:rsidP="00B90612">
            <w:pPr>
              <w:jc w:val="center"/>
              <w:rPr>
                <w:rFonts w:eastAsia="Calibri"/>
                <w:sz w:val="20"/>
                <w:szCs w:val="20"/>
              </w:rPr>
            </w:pPr>
            <w:r>
              <w:rPr>
                <w:rFonts w:eastAsia="Calibri"/>
                <w:sz w:val="20"/>
                <w:szCs w:val="20"/>
              </w:rPr>
              <w:t>10</w:t>
            </w:r>
          </w:p>
        </w:tc>
        <w:tc>
          <w:tcPr>
            <w:tcW w:w="2126"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rFonts w:eastAsia="Calibri"/>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rFonts w:eastAsia="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rsidR="00B90612" w:rsidRDefault="00B90612" w:rsidP="00B90612">
            <w:pPr>
              <w:widowControl w:val="0"/>
              <w:jc w:val="center"/>
              <w:rPr>
                <w:rFonts w:eastAsia="Calibri"/>
                <w:sz w:val="20"/>
                <w:szCs w:val="20"/>
              </w:rPr>
            </w:pPr>
            <w:r>
              <w:rPr>
                <w:bCs/>
                <w:sz w:val="20"/>
                <w:szCs w:val="20"/>
                <w:lang w:eastAsia="en-US"/>
              </w:rPr>
              <w:t>РФ</w:t>
            </w:r>
          </w:p>
        </w:tc>
      </w:tr>
    </w:tbl>
    <w:p w:rsidR="00A1702D" w:rsidRDefault="00A1702D">
      <w:pPr>
        <w:ind w:firstLine="709"/>
        <w:jc w:val="both"/>
        <w:sectPr w:rsidR="00A1702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851" w:left="1134" w:header="720" w:footer="720" w:gutter="0"/>
          <w:cols w:space="720"/>
          <w:formProt w:val="0"/>
          <w:docGrid w:linePitch="326"/>
        </w:sectPr>
      </w:pPr>
    </w:p>
    <w:p w:rsidR="00B90612" w:rsidRDefault="00B90612" w:rsidP="00B90612">
      <w:pPr>
        <w:widowControl w:val="0"/>
        <w:spacing w:line="276" w:lineRule="auto"/>
        <w:ind w:left="567"/>
        <w:jc w:val="both"/>
      </w:pPr>
    </w:p>
    <w:p w:rsidR="00B90612" w:rsidRDefault="00B90612" w:rsidP="00B90612">
      <w:pPr>
        <w:widowControl w:val="0"/>
        <w:spacing w:line="276" w:lineRule="auto"/>
        <w:ind w:left="567"/>
        <w:jc w:val="both"/>
      </w:pPr>
    </w:p>
    <w:p w:rsidR="00B90612" w:rsidRDefault="00B90612" w:rsidP="00B90612">
      <w:pPr>
        <w:widowControl w:val="0"/>
        <w:spacing w:line="276" w:lineRule="auto"/>
        <w:ind w:left="567"/>
        <w:jc w:val="both"/>
      </w:pPr>
    </w:p>
    <w:p w:rsidR="00B90612" w:rsidRPr="00B90612" w:rsidRDefault="00B90612" w:rsidP="00B90612">
      <w:pPr>
        <w:widowControl w:val="0"/>
        <w:spacing w:line="276" w:lineRule="auto"/>
        <w:ind w:left="567"/>
        <w:jc w:val="both"/>
        <w:rPr>
          <w:b/>
        </w:rPr>
      </w:pPr>
      <w:r w:rsidRPr="00B90612">
        <w:rPr>
          <w:b/>
        </w:rPr>
        <w:t xml:space="preserve">Цель: </w:t>
      </w:r>
    </w:p>
    <w:p w:rsidR="00B90612" w:rsidRDefault="00B90612" w:rsidP="00B90612">
      <w:pPr>
        <w:widowControl w:val="0"/>
        <w:spacing w:line="276" w:lineRule="auto"/>
        <w:ind w:left="567"/>
        <w:jc w:val="both"/>
      </w:pPr>
      <w:r>
        <w:t xml:space="preserve">- </w:t>
      </w:r>
      <w:r w:rsidRPr="00B90612">
        <w:t>поставка оборудования, монтаж и пуско-наладочные работы для создания МСОН в муниципальных округах Чувашской Республики на базе современных телекоммуникационных технологий;</w:t>
      </w:r>
    </w:p>
    <w:p w:rsidR="00B90612" w:rsidRPr="00B90612" w:rsidRDefault="00B90612" w:rsidP="00B90612">
      <w:pPr>
        <w:widowControl w:val="0"/>
        <w:spacing w:line="276" w:lineRule="auto"/>
        <w:ind w:left="567"/>
        <w:jc w:val="both"/>
      </w:pPr>
    </w:p>
    <w:p w:rsidR="00A1702D" w:rsidRDefault="00B90612">
      <w:pPr>
        <w:widowControl w:val="0"/>
        <w:numPr>
          <w:ilvl w:val="0"/>
          <w:numId w:val="4"/>
        </w:numPr>
        <w:spacing w:line="276" w:lineRule="auto"/>
        <w:ind w:left="0" w:firstLine="567"/>
        <w:jc w:val="both"/>
      </w:pPr>
      <w:r>
        <w:rPr>
          <w:color w:val="00000A"/>
          <w:kern w:val="2"/>
          <w:lang w:eastAsia="zh-CN"/>
        </w:rPr>
        <w:t>своевременное и гарантированное оповещение населения об угрозе возникновения или о возникновении чрезвычайных ситуаций природного и техногенного характера;</w:t>
      </w:r>
    </w:p>
    <w:p w:rsidR="00A1702D" w:rsidRDefault="00B90612">
      <w:pPr>
        <w:widowControl w:val="0"/>
        <w:numPr>
          <w:ilvl w:val="0"/>
          <w:numId w:val="4"/>
        </w:numPr>
        <w:spacing w:line="276" w:lineRule="auto"/>
        <w:ind w:left="0" w:firstLine="567"/>
        <w:jc w:val="both"/>
      </w:pPr>
      <w:r>
        <w:rPr>
          <w:color w:val="00000A"/>
          <w:kern w:val="2"/>
          <w:lang w:eastAsia="zh-CN"/>
        </w:rPr>
        <w:t>приведение действующей системы оповещения в соответствии с требованиями действующих нормативно-правовых требований к системам оповещения населения.</w:t>
      </w:r>
    </w:p>
    <w:p w:rsidR="00A1702D" w:rsidRDefault="00A1702D">
      <w:pPr>
        <w:widowControl w:val="0"/>
        <w:spacing w:line="276" w:lineRule="auto"/>
        <w:jc w:val="both"/>
        <w:rPr>
          <w:b/>
          <w:bCs/>
          <w:lang w:eastAsia="en-US"/>
        </w:rPr>
      </w:pPr>
    </w:p>
    <w:p w:rsidR="00A1702D" w:rsidRDefault="00B90612">
      <w:pPr>
        <w:pStyle w:val="aa"/>
        <w:numPr>
          <w:ilvl w:val="6"/>
          <w:numId w:val="2"/>
        </w:numPr>
        <w:ind w:left="0" w:firstLine="709"/>
        <w:jc w:val="both"/>
        <w:rPr>
          <w:b/>
          <w:bCs/>
          <w:color w:val="00000A"/>
          <w:kern w:val="2"/>
          <w:lang w:eastAsia="zh-CN"/>
        </w:rPr>
      </w:pPr>
      <w:r>
        <w:rPr>
          <w:b/>
          <w:color w:val="00000A"/>
          <w:kern w:val="2"/>
          <w:lang w:eastAsia="zh-CN"/>
        </w:rPr>
        <w:t xml:space="preserve">Основания для </w:t>
      </w:r>
      <w:r>
        <w:rPr>
          <w:b/>
          <w:bCs/>
          <w:color w:val="00000A"/>
          <w:kern w:val="2"/>
          <w:lang w:eastAsia="zh-CN"/>
        </w:rPr>
        <w:t>модернизации</w:t>
      </w:r>
      <w:r>
        <w:rPr>
          <w:b/>
          <w:color w:val="00000A"/>
          <w:kern w:val="2"/>
          <w:lang w:eastAsia="zh-CN"/>
        </w:rPr>
        <w:t>:</w:t>
      </w:r>
    </w:p>
    <w:p w:rsidR="00A1702D" w:rsidRDefault="00B90612">
      <w:pPr>
        <w:shd w:val="clear" w:color="auto" w:fill="FFFFFF"/>
        <w:ind w:firstLine="567"/>
        <w:jc w:val="both"/>
      </w:pPr>
      <w:r>
        <w:t xml:space="preserve"> Федеральные законы:</w:t>
      </w:r>
    </w:p>
    <w:p w:rsidR="00A1702D" w:rsidRDefault="00B90612">
      <w:pPr>
        <w:numPr>
          <w:ilvl w:val="0"/>
          <w:numId w:val="4"/>
        </w:numPr>
        <w:ind w:left="0" w:firstLine="567"/>
        <w:contextualSpacing/>
        <w:jc w:val="both"/>
      </w:pPr>
      <w:r>
        <w:t xml:space="preserve">от 12 февраля 1998 г. № 28-ФЗ «О гражданской обороне» (с изменениями и дополнениями); </w:t>
      </w:r>
    </w:p>
    <w:p w:rsidR="00A1702D" w:rsidRDefault="00B90612">
      <w:pPr>
        <w:numPr>
          <w:ilvl w:val="0"/>
          <w:numId w:val="4"/>
        </w:numPr>
        <w:ind w:left="0" w:firstLine="567"/>
        <w:contextualSpacing/>
        <w:jc w:val="both"/>
      </w:pPr>
      <w:r>
        <w:t>от 21 декабря 1994 г. № 68-ФЗ «О защите населения и территорий от чрезвычайных ситуаций природного и техногенного характера (с изменениями и дополнениями)».</w:t>
      </w:r>
    </w:p>
    <w:p w:rsidR="00A1702D" w:rsidRDefault="00B90612">
      <w:pPr>
        <w:shd w:val="clear" w:color="auto" w:fill="FFFFFF"/>
        <w:ind w:firstLine="567"/>
        <w:jc w:val="both"/>
      </w:pPr>
      <w:r>
        <w:t>Постановления Правительства Российской Федерации:</w:t>
      </w:r>
    </w:p>
    <w:p w:rsidR="00A1702D" w:rsidRDefault="00B90612">
      <w:pPr>
        <w:numPr>
          <w:ilvl w:val="0"/>
          <w:numId w:val="6"/>
        </w:numPr>
        <w:tabs>
          <w:tab w:val="left" w:pos="453"/>
        </w:tabs>
        <w:ind w:left="27" w:firstLine="540"/>
        <w:contextualSpacing/>
        <w:jc w:val="both"/>
        <w:rPr>
          <w:iCs/>
          <w:color w:val="000000"/>
          <w:spacing w:val="1"/>
        </w:rPr>
      </w:pPr>
      <w:r>
        <w:rPr>
          <w:iCs/>
          <w:color w:val="000000"/>
          <w:spacing w:val="1"/>
        </w:rPr>
        <w:t>Постановление Правительства РФ от 17 мая 2023 г. № 769 «О порядке создания, реконструкции и поддержания в состоянии постоянной готовности к использованию систем оповещения населения»;</w:t>
      </w:r>
    </w:p>
    <w:p w:rsidR="00A1702D" w:rsidRDefault="00B90612">
      <w:pPr>
        <w:ind w:firstLine="567"/>
        <w:contextualSpacing/>
        <w:jc w:val="both"/>
      </w:pPr>
      <w:r>
        <w:t>Совместные приказы МЧС России, Министерство цифрового развития, связи и массовых коммуникаций Российской Федерации:</w:t>
      </w:r>
    </w:p>
    <w:p w:rsidR="00A1702D" w:rsidRDefault="00B90612">
      <w:pPr>
        <w:numPr>
          <w:ilvl w:val="0"/>
          <w:numId w:val="4"/>
        </w:numPr>
        <w:ind w:left="0" w:firstLine="567"/>
        <w:contextualSpacing/>
        <w:jc w:val="both"/>
      </w:pPr>
      <w:r>
        <w:t>от 31 июля 2020 г. № 578/365 «Об утверждении Положения о системах оповещения населения» (зарегистрирован в Минюсте России, регистрационный номер 60567 от 26 октября 2020 г.);</w:t>
      </w:r>
    </w:p>
    <w:p w:rsidR="00A1702D" w:rsidRDefault="00B90612">
      <w:pPr>
        <w:numPr>
          <w:ilvl w:val="0"/>
          <w:numId w:val="4"/>
        </w:numPr>
        <w:ind w:left="0" w:firstLine="567"/>
        <w:contextualSpacing/>
        <w:jc w:val="both"/>
      </w:pPr>
      <w:r>
        <w:t>от 31 июля 2020 г. № 579/366 «Об утверждении Положения по организации эксплуатационно-технического обслуживания систем оповещения населения» (зарегистрирован в Минюсте России, регистрационный номер 60566 от 26 октября 2020 г.).</w:t>
      </w:r>
    </w:p>
    <w:p w:rsidR="00A1702D" w:rsidRDefault="00B90612">
      <w:pPr>
        <w:ind w:firstLine="567"/>
        <w:jc w:val="both"/>
      </w:pPr>
      <w:r>
        <w:t>Приказы:</w:t>
      </w:r>
    </w:p>
    <w:p w:rsidR="00A1702D" w:rsidRDefault="00B90612">
      <w:pPr>
        <w:numPr>
          <w:ilvl w:val="0"/>
          <w:numId w:val="4"/>
        </w:numPr>
        <w:ind w:left="0" w:firstLine="567"/>
        <w:contextualSpacing/>
        <w:jc w:val="both"/>
      </w:pPr>
      <w:r>
        <w:t>Приказ Министерства информационных технологий и связи Российской Федерации от 9 января 2008 г. № 1 «Об утверждении требований по защите сетей связи от несанкционированного доступа к ним и передаваемой посредством их информации».</w:t>
      </w:r>
    </w:p>
    <w:p w:rsidR="00A1702D" w:rsidRDefault="00B90612">
      <w:pPr>
        <w:ind w:firstLine="567"/>
        <w:jc w:val="both"/>
      </w:pPr>
      <w:r>
        <w:t>Методические рекомендации:</w:t>
      </w:r>
    </w:p>
    <w:p w:rsidR="00A1702D" w:rsidRDefault="00B90612">
      <w:pPr>
        <w:numPr>
          <w:ilvl w:val="0"/>
          <w:numId w:val="4"/>
        </w:numPr>
        <w:tabs>
          <w:tab w:val="left" w:pos="709"/>
        </w:tabs>
        <w:ind w:left="0" w:firstLine="567"/>
      </w:pPr>
      <w:r>
        <w:t>Методические рекомендации по поддержанию в состоянии постоянной готовности к использованию систем оповещения населения (утверждены МЧС России 26 июня 2024 г., Протокол №2);</w:t>
      </w:r>
    </w:p>
    <w:p w:rsidR="00A1702D" w:rsidRDefault="00B90612">
      <w:pPr>
        <w:pStyle w:val="aa"/>
        <w:tabs>
          <w:tab w:val="left" w:pos="709"/>
        </w:tabs>
        <w:ind w:left="426" w:firstLine="141"/>
        <w:jc w:val="both"/>
      </w:pPr>
      <w:r>
        <w:t>Проектная документация:</w:t>
      </w:r>
    </w:p>
    <w:p w:rsidR="00A1702D" w:rsidRDefault="00B90612">
      <w:pPr>
        <w:pStyle w:val="aa"/>
        <w:numPr>
          <w:ilvl w:val="0"/>
          <w:numId w:val="4"/>
        </w:numPr>
        <w:tabs>
          <w:tab w:val="left" w:pos="709"/>
        </w:tabs>
        <w:ind w:left="0" w:firstLine="426"/>
        <w:jc w:val="both"/>
        <w:rPr>
          <w:sz w:val="20"/>
          <w:szCs w:val="20"/>
        </w:rPr>
      </w:pPr>
      <w:r>
        <w:lastRenderedPageBreak/>
        <w:t xml:space="preserve"> «Региональная автоматизированная система централизованного оповещения населения Чувашской Республики-Чувашии (актуализированная версия)» шифр 30/0606-12-20-РАСЦО, согласованная с ГУ МЧС РФ по Чувашской Республике, прошедшая экспертизу во ВНИИГОЧС в 2022 г.</w:t>
      </w:r>
    </w:p>
    <w:p w:rsidR="00A1702D" w:rsidRDefault="00B90612">
      <w:pPr>
        <w:tabs>
          <w:tab w:val="left" w:pos="142"/>
          <w:tab w:val="left" w:pos="1418"/>
        </w:tabs>
        <w:ind w:firstLine="709"/>
        <w:jc w:val="both"/>
        <w:rPr>
          <w:lang w:val="x-none" w:eastAsia="ar-SA"/>
        </w:rPr>
      </w:pPr>
      <w:r>
        <w:rPr>
          <w:lang w:val="x-none" w:eastAsia="ar-SA"/>
        </w:rPr>
        <w:t xml:space="preserve">Порядок предоставления </w:t>
      </w:r>
      <w:r>
        <w:rPr>
          <w:lang w:eastAsia="ar-SA"/>
        </w:rPr>
        <w:t>Заказчиком</w:t>
      </w:r>
      <w:r>
        <w:rPr>
          <w:lang w:val="x-none" w:eastAsia="ar-SA"/>
        </w:rPr>
        <w:t xml:space="preserve"> исходных данных: исходные данные предоставляются после заключения Договора.</w:t>
      </w:r>
    </w:p>
    <w:p w:rsidR="00A1702D" w:rsidRDefault="00A1702D">
      <w:pPr>
        <w:tabs>
          <w:tab w:val="left" w:pos="142"/>
          <w:tab w:val="left" w:pos="1418"/>
        </w:tabs>
        <w:ind w:firstLine="709"/>
        <w:jc w:val="both"/>
        <w:rPr>
          <w:lang w:val="x-none"/>
        </w:rPr>
      </w:pPr>
    </w:p>
    <w:p w:rsidR="00A1702D" w:rsidRDefault="00B90612">
      <w:pPr>
        <w:pStyle w:val="af3"/>
        <w:numPr>
          <w:ilvl w:val="0"/>
          <w:numId w:val="17"/>
        </w:numPr>
        <w:tabs>
          <w:tab w:val="left" w:pos="0"/>
          <w:tab w:val="left" w:pos="851"/>
        </w:tabs>
        <w:ind w:firstLine="709"/>
        <w:contextualSpacing/>
        <w:jc w:val="both"/>
        <w:rPr>
          <w:color w:val="00000A"/>
          <w:kern w:val="2"/>
          <w:sz w:val="24"/>
          <w:lang w:eastAsia="zh-CN"/>
        </w:rPr>
      </w:pPr>
      <w:r>
        <w:rPr>
          <w:color w:val="00000A"/>
          <w:kern w:val="2"/>
          <w:sz w:val="24"/>
          <w:lang w:eastAsia="zh-CN"/>
        </w:rPr>
        <w:t>Характеристика действующей системы оповещения Чувашской Республики</w:t>
      </w:r>
    </w:p>
    <w:p w:rsidR="00A1702D" w:rsidRDefault="00A1702D">
      <w:pPr>
        <w:ind w:firstLine="709"/>
        <w:jc w:val="both"/>
      </w:pPr>
    </w:p>
    <w:p w:rsidR="00A1702D" w:rsidRDefault="00B90612">
      <w:pPr>
        <w:numPr>
          <w:ilvl w:val="0"/>
          <w:numId w:val="3"/>
        </w:numPr>
        <w:ind w:left="0" w:firstLine="709"/>
        <w:contextualSpacing/>
        <w:jc w:val="both"/>
        <w:rPr>
          <w:b/>
          <w:color w:val="00000A"/>
          <w:kern w:val="2"/>
          <w:lang w:eastAsia="zh-CN"/>
        </w:rPr>
      </w:pPr>
      <w:r>
        <w:rPr>
          <w:b/>
          <w:color w:val="00000A"/>
          <w:kern w:val="2"/>
          <w:lang w:eastAsia="zh-CN"/>
        </w:rPr>
        <w:t>Характеристика действующей РСОН Чувашской Республики</w:t>
      </w:r>
    </w:p>
    <w:p w:rsidR="00A1702D" w:rsidRDefault="00B90612">
      <w:pPr>
        <w:ind w:firstLine="709"/>
        <w:jc w:val="both"/>
      </w:pPr>
      <w:r>
        <w:t xml:space="preserve">Действующая региональная система оповещения населения состоит из комбинации взаимодействующих элементов, состоящих из специальных программно-технических средств оповещения на базе КТСО П-166М, а также обеспечивающих ее функционирование каналов, линий связи и сетей передачи данных единой сети электросвязи Чувашского филиала ПАО «Ростелеком». </w:t>
      </w:r>
    </w:p>
    <w:p w:rsidR="00A1702D" w:rsidRDefault="00B90612">
      <w:pPr>
        <w:ind w:firstLine="709"/>
        <w:jc w:val="both"/>
      </w:pPr>
      <w:r>
        <w:t>Автоматизированное управление РСОН осуществляется по сетям передачи данных из пункта управления Правительства Чувашской Республики (г. Чебоксары), ЗПУ Правительства Чувашской Республики  аппаратуры П-166М.</w:t>
      </w:r>
    </w:p>
    <w:p w:rsidR="00A1702D" w:rsidRDefault="00B90612">
      <w:pPr>
        <w:ind w:firstLine="709"/>
        <w:jc w:val="both"/>
      </w:pPr>
      <w:r>
        <w:t>В настоящее время на базе КТСО П-166М в муниципальных округах Республики созданы все пункты управления.</w:t>
      </w:r>
    </w:p>
    <w:p w:rsidR="00A1702D" w:rsidRDefault="00B90612">
      <w:pPr>
        <w:pStyle w:val="a"/>
        <w:widowControl/>
        <w:numPr>
          <w:ilvl w:val="1"/>
          <w:numId w:val="18"/>
        </w:numPr>
        <w:tabs>
          <w:tab w:val="left" w:pos="1365"/>
        </w:tabs>
        <w:ind w:left="0" w:firstLine="709"/>
        <w:rPr>
          <w:b/>
          <w:sz w:val="24"/>
          <w:szCs w:val="24"/>
          <w:lang w:val="ru-RU"/>
        </w:rPr>
      </w:pPr>
      <w:r>
        <w:rPr>
          <w:b/>
          <w:sz w:val="24"/>
          <w:szCs w:val="24"/>
          <w:lang w:val="ru-RU"/>
        </w:rPr>
        <w:t>Характеристика действующей системы оповещения муниципальных образованиях Чувашской Республики</w:t>
      </w:r>
    </w:p>
    <w:p w:rsidR="00A1702D" w:rsidRDefault="00B90612">
      <w:pPr>
        <w:pStyle w:val="a"/>
        <w:numPr>
          <w:ilvl w:val="0"/>
          <w:numId w:val="0"/>
        </w:numPr>
        <w:ind w:firstLine="709"/>
        <w:rPr>
          <w:sz w:val="24"/>
          <w:szCs w:val="24"/>
          <w:lang w:val="ru-RU"/>
        </w:rPr>
      </w:pPr>
      <w:r>
        <w:rPr>
          <w:sz w:val="24"/>
          <w:szCs w:val="24"/>
          <w:lang w:val="ru-RU"/>
        </w:rPr>
        <w:t>В муниципальных образованиях Чувашской Республики в помещении ЕДДС, установлен пункт управления муниципальной системы оповещения населения, построенный на оборудовании П-166М.</w:t>
      </w:r>
    </w:p>
    <w:p w:rsidR="00A1702D" w:rsidRDefault="00B90612">
      <w:pPr>
        <w:pStyle w:val="a"/>
        <w:widowControl/>
        <w:numPr>
          <w:ilvl w:val="1"/>
          <w:numId w:val="19"/>
        </w:numPr>
        <w:tabs>
          <w:tab w:val="left" w:pos="710"/>
          <w:tab w:val="left" w:pos="1365"/>
          <w:tab w:val="left" w:pos="2370"/>
        </w:tabs>
        <w:suppressAutoHyphens w:val="0"/>
        <w:ind w:left="710"/>
        <w:rPr>
          <w:b/>
          <w:color w:val="00000A"/>
          <w:kern w:val="2"/>
          <w:sz w:val="24"/>
          <w:szCs w:val="24"/>
          <w:lang w:eastAsia="zh-CN"/>
        </w:rPr>
      </w:pPr>
      <w:r>
        <w:rPr>
          <w:b/>
          <w:color w:val="00000A"/>
          <w:kern w:val="2"/>
          <w:sz w:val="24"/>
          <w:szCs w:val="24"/>
          <w:lang w:eastAsia="zh-CN"/>
        </w:rPr>
        <w:t>Управление оборудованием</w:t>
      </w:r>
    </w:p>
    <w:p w:rsidR="00A1702D" w:rsidRDefault="00B90612">
      <w:pPr>
        <w:pStyle w:val="a"/>
        <w:numPr>
          <w:ilvl w:val="0"/>
          <w:numId w:val="0"/>
        </w:numPr>
        <w:ind w:firstLine="710"/>
        <w:rPr>
          <w:color w:val="00000A"/>
          <w:kern w:val="2"/>
          <w:sz w:val="24"/>
          <w:szCs w:val="24"/>
          <w:lang w:val="ru-RU" w:eastAsia="zh-CN"/>
        </w:rPr>
      </w:pPr>
      <w:r>
        <w:rPr>
          <w:sz w:val="24"/>
          <w:szCs w:val="24"/>
          <w:lang w:val="ru-RU"/>
        </w:rPr>
        <w:t>Управление новыми оконечными средствами оповещения (технические средства речевого оповещения) предусмотреть с повседневного пункта управления ЕДДС муниципальных округов Чувашской Республики (КТСО П-166М, версия ПО 756.117.746. и выше), в соответствии с требованиями п.п. 5.1.8 и 5.4.4 ГОСТ Р 42.3.01-2021 г.</w:t>
      </w:r>
    </w:p>
    <w:p w:rsidR="00A1702D" w:rsidRDefault="00B90612">
      <w:pPr>
        <w:pStyle w:val="af3"/>
        <w:numPr>
          <w:ilvl w:val="0"/>
          <w:numId w:val="20"/>
        </w:numPr>
        <w:tabs>
          <w:tab w:val="left" w:pos="0"/>
          <w:tab w:val="left" w:pos="851"/>
        </w:tabs>
        <w:ind w:firstLine="709"/>
        <w:contextualSpacing/>
        <w:jc w:val="both"/>
        <w:rPr>
          <w:color w:val="00000A"/>
          <w:kern w:val="2"/>
          <w:lang w:eastAsia="zh-CN"/>
        </w:rPr>
      </w:pPr>
      <w:r>
        <w:rPr>
          <w:color w:val="00000A"/>
          <w:kern w:val="2"/>
          <w:sz w:val="24"/>
          <w:lang w:eastAsia="zh-CN"/>
        </w:rPr>
        <w:t>Т</w:t>
      </w:r>
      <w:r>
        <w:rPr>
          <w:bCs/>
          <w:color w:val="000000"/>
          <w:kern w:val="2"/>
          <w:sz w:val="24"/>
          <w:lang w:eastAsia="zh-CN"/>
        </w:rPr>
        <w:t>ребования к поставляемому оборудованию</w:t>
      </w:r>
    </w:p>
    <w:p w:rsidR="00A1702D" w:rsidRDefault="00B90612">
      <w:pPr>
        <w:ind w:firstLine="709"/>
        <w:jc w:val="both"/>
      </w:pPr>
      <w:r>
        <w:t>Поставка, монтаж и пуско-наладка новых оконечных средств оповещения (технических средств речевого оповещения) муниципальной системы оповещения населения муниципальных округах Чувашской Республики должна проводится на базе технических средств оповещения (ТСО), разработанных под контролем Федерального органа власти, осуществляющего государственную политику в области гражданской обороны и уполномоченного для решения задач в области гражданской обороны, прошедших в установленном порядке приемочные испытания, принятых к серийному производству на территории Российской Федерации и имеющих программно-техническое  сопряжение   с оборудованием ПУ ЕДДС муниципальных образований Чувашской Республики (КТСО П-166М, версия ПО 756.117.746. и выше), в соответствии с требованиями п.п. 5.1.8 и 5.4.4 ГОСТ Р 42.3.01-2021 г..</w:t>
      </w:r>
    </w:p>
    <w:p w:rsidR="00A1702D" w:rsidRDefault="00B90612">
      <w:pPr>
        <w:ind w:firstLine="709"/>
        <w:jc w:val="both"/>
      </w:pPr>
      <w:r>
        <w:t>Программно-техническое сопряжение должно быть подтверждено актом совместных испытаний с участием представителей федерального органа власти, уполномоченного на решение задач в области гражданской обороны, защиты населения и территорий от чрезвычайных ситуаций, и полномочных представителей предприятий - изготовителей ТСО.</w:t>
      </w:r>
    </w:p>
    <w:p w:rsidR="00A1702D" w:rsidRDefault="00B90612">
      <w:pPr>
        <w:ind w:firstLine="709"/>
        <w:jc w:val="both"/>
      </w:pPr>
      <w:r>
        <w:t xml:space="preserve">Установка новых оконечных средств оповещения (технические средства речевого оповещения) должна осуществляться таким образом, чтобы во всех точках зоны адекватной идентификации сигнала оповещения (речевого сигнала оповещения) уровень звука, </w:t>
      </w:r>
      <w:r>
        <w:lastRenderedPageBreak/>
        <w:t>поступающий от какого-либо одного из оконечных устройств коллективного оповещения (электрических, электронных сирен и мощных акустических систем), рассчитываемый для высоты 1,5 м над уровнем земли (поверхности пола), должен превышать не менее чем на 15 дБА суперпозицию звуковых сигналов, поступающих от других оконечных устройств коллективного оповещения, и постоянного шума, определяемого функциональным назначением данной зоны. В любой точке зоны оповещения уровень звука, поступающего от всех оконечных устройств звукового и речевого оповещения, не должен превышать 120 дБА.</w:t>
      </w:r>
    </w:p>
    <w:p w:rsidR="00A1702D" w:rsidRDefault="00B90612">
      <w:pPr>
        <w:ind w:firstLine="709"/>
        <w:jc w:val="both"/>
      </w:pPr>
      <w:r>
        <w:t xml:space="preserve">Новые оконечные средства оповещения (технические средства речевого оповещения) должны размещаться на объектах в специально выделенных помещениях с ограниченным доступом людей, в которых обеспечивается необходимый температурно-влажностный режим. </w:t>
      </w:r>
    </w:p>
    <w:p w:rsidR="00A1702D" w:rsidRDefault="00B90612">
      <w:pPr>
        <w:ind w:firstLine="709"/>
        <w:jc w:val="both"/>
      </w:pPr>
      <w:r>
        <w:t>Технические средства речевого оповещения, размещаемые на открытых пространствах (вне помещений, зданий, сооружений), должны устанавливаться в автономных защищенных термошкафах соответствующего климатического исполнения и оборудованы сигнализацией о несанкционированном вскрытии, размещение и функционирование должно быть безопасным для жизнедеятельности людей.</w:t>
      </w:r>
    </w:p>
    <w:p w:rsidR="00A1702D" w:rsidRDefault="00B90612">
      <w:pPr>
        <w:ind w:firstLine="709"/>
        <w:jc w:val="both"/>
      </w:pPr>
      <w:r>
        <w:t>Оконечное средство оповещения, установленное на открытых пространствах, не должно влиять на безопасность дорожного движения, нести угрозу жизни людей, размещаться на одной опоре с дорожными знаками, светофорами, опоре линии электропередачи.</w:t>
      </w:r>
    </w:p>
    <w:p w:rsidR="00A1702D" w:rsidRDefault="00B90612">
      <w:pPr>
        <w:ind w:firstLine="709"/>
        <w:jc w:val="both"/>
      </w:pPr>
      <w:r>
        <w:t>Установка всех технических средств речевого оповещения должна осуществляться в местах, не подверженных воздействию последствий чрезвычайных ситуаций природного и техногенного характера, в том числе быстро развивающихся.</w:t>
      </w:r>
    </w:p>
    <w:p w:rsidR="00A1702D" w:rsidRDefault="00B90612">
      <w:pPr>
        <w:ind w:firstLine="709"/>
        <w:jc w:val="both"/>
      </w:pPr>
      <w:r>
        <w:t>Параметры усилителей, применяемые в составе оконечных средств речевого оповещения, должны соответствовать ОСТ 45.138-99</w:t>
      </w:r>
    </w:p>
    <w:p w:rsidR="00A1702D" w:rsidRDefault="00B90612">
      <w:pPr>
        <w:ind w:firstLine="709"/>
        <w:jc w:val="both"/>
      </w:pPr>
      <w:r>
        <w:t>Оконечное средство речевого оповещения должно обеспечивать:</w:t>
      </w:r>
    </w:p>
    <w:p w:rsidR="00A1702D" w:rsidRDefault="00B90612">
      <w:pPr>
        <w:ind w:firstLine="709"/>
        <w:jc w:val="both"/>
      </w:pPr>
      <w:r>
        <w:t></w:t>
      </w:r>
      <w:r>
        <w:tab/>
        <w:t xml:space="preserve"> передачу звучания сирены в двух режимах: однотональном (непрерывный сигнал в течение 165 сек. частотой от 300 до 600 Гц) и изменяющейся тональности (прерывистый сигнал 11 циклов по 15 сек. частотой от 300 до 600 Гц;</w:t>
      </w:r>
    </w:p>
    <w:p w:rsidR="00A1702D" w:rsidRDefault="00B90612">
      <w:pPr>
        <w:ind w:firstLine="709"/>
        <w:jc w:val="both"/>
      </w:pPr>
      <w:r>
        <w:t></w:t>
      </w:r>
      <w:r>
        <w:tab/>
        <w:t xml:space="preserve"> речевое сообщение.</w:t>
      </w:r>
    </w:p>
    <w:p w:rsidR="00A1702D" w:rsidRDefault="00B90612">
      <w:pPr>
        <w:ind w:firstLine="709"/>
        <w:jc w:val="both"/>
      </w:pPr>
      <w:r>
        <w:t>Разборчивость речи оконечных средств речевого оповещения должна соответствовать ГОСТ 16600-72.</w:t>
      </w:r>
    </w:p>
    <w:p w:rsidR="00A1702D" w:rsidRDefault="00B90612">
      <w:pPr>
        <w:ind w:firstLine="709"/>
        <w:jc w:val="both"/>
      </w:pPr>
      <w:r>
        <w:t>Диагностирование состояния новых оконечных средств оповещения (технических средств речевого оповещения), в том числе каналов управления, должно обеспечиваться:</w:t>
      </w:r>
    </w:p>
    <w:p w:rsidR="00A1702D" w:rsidRDefault="00B90612">
      <w:pPr>
        <w:ind w:firstLine="709"/>
        <w:jc w:val="both"/>
      </w:pPr>
      <w:r>
        <w:t></w:t>
      </w:r>
      <w:r>
        <w:tab/>
        <w:t xml:space="preserve"> автоматическим контролем состояния, с использованием встроенных программно-аппаратных средств – не реже одного раза в 30 мин.;</w:t>
      </w:r>
    </w:p>
    <w:p w:rsidR="00A1702D" w:rsidRDefault="00B90612">
      <w:pPr>
        <w:ind w:firstLine="709"/>
        <w:jc w:val="both"/>
      </w:pPr>
      <w:r>
        <w:t></w:t>
      </w:r>
      <w:r>
        <w:tab/>
        <w:t xml:space="preserve"> передачей контрольных (тестовых) сообщений как циркулярное по всей системе оповещения населения, так и выборочно, по установленному графику, но не реже одного раза в сутки.</w:t>
      </w:r>
    </w:p>
    <w:p w:rsidR="00A1702D" w:rsidRDefault="00B90612">
      <w:pPr>
        <w:ind w:firstLine="709"/>
        <w:jc w:val="both"/>
      </w:pPr>
      <w:r>
        <w:t>Технические средства речевого оповещения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rsidR="00A1702D" w:rsidRDefault="00B90612">
      <w:pPr>
        <w:ind w:firstLine="709"/>
        <w:jc w:val="both"/>
      </w:pPr>
      <w:r>
        <w:t>Токоведущие составные части технических средств речевого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rsidR="00A1702D" w:rsidRDefault="00B90612">
      <w:pPr>
        <w:ind w:firstLine="709"/>
        <w:jc w:val="both"/>
      </w:pPr>
      <w:r>
        <w:t>Электропитание технических средств речевого оповещения должно осуществляться от сети гарантированного электропитания, в том числе от источников автономного питания.</w:t>
      </w:r>
    </w:p>
    <w:p w:rsidR="00A1702D" w:rsidRDefault="00B90612">
      <w:pPr>
        <w:ind w:firstLine="709"/>
        <w:jc w:val="both"/>
      </w:pPr>
      <w:r>
        <w:lastRenderedPageBreak/>
        <w:t xml:space="preserve">Поставка, монтаж и пуско-наладка новых оконечных средств оповещения (технических средств речевого оповещения) для развития муниципальной системы оповещения населения должна проводиться в соответствии с проектной документацией «Региональная автоматизированная система централизованного оповещения населения Чувашской Республики-Чувашии (актуализированная версия)» шифр 30/0606-12-20-РАСЦО, прошедшим экспертизу во ВНИИГОЧС в 2022 г. </w:t>
      </w:r>
    </w:p>
    <w:p w:rsidR="00A1702D" w:rsidRDefault="00B90612">
      <w:pPr>
        <w:ind w:firstLine="709"/>
        <w:jc w:val="both"/>
      </w:pPr>
      <w:r>
        <w:t>Поставляемое оборудование должно быть новое, выпущенное не ранее 2025 года, не восстановленное, иметь заводскую сборку и выпускаться серийно.</w:t>
      </w:r>
    </w:p>
    <w:p w:rsidR="00A1702D" w:rsidRDefault="00B90612">
      <w:pPr>
        <w:spacing w:after="120"/>
        <w:ind w:firstLine="709"/>
        <w:jc w:val="both"/>
        <w:rPr>
          <w:color w:val="000000"/>
          <w:kern w:val="2"/>
          <w:lang w:eastAsia="zh-CN"/>
        </w:rPr>
      </w:pPr>
      <w:r>
        <w:rPr>
          <w:color w:val="000000"/>
          <w:kern w:val="2"/>
          <w:lang w:eastAsia="zh-CN"/>
        </w:rPr>
        <w:t>Функциональные, технические и качественные характеристики и значение их показателей установлены в таблице № 2.</w:t>
      </w:r>
    </w:p>
    <w:p w:rsidR="00A1702D" w:rsidRDefault="00B90612">
      <w:pPr>
        <w:spacing w:after="120"/>
        <w:ind w:firstLine="567"/>
        <w:jc w:val="both"/>
        <w:rPr>
          <w:bCs/>
          <w:color w:val="000000" w:themeColor="dark1"/>
          <w:kern w:val="2"/>
          <w:lang w:eastAsia="zh-CN"/>
        </w:rPr>
      </w:pPr>
      <w:r>
        <w:rPr>
          <w:bCs/>
          <w:color w:val="000000" w:themeColor="dark1"/>
          <w:kern w:val="2"/>
          <w:lang w:eastAsia="zh-CN"/>
        </w:rPr>
        <w:t>Таблица №2. Функциональные, технические и качественные характеристики значение их показателей.</w:t>
      </w:r>
    </w:p>
    <w:tbl>
      <w:tblPr>
        <w:tblW w:w="14625" w:type="dxa"/>
        <w:tblLayout w:type="fixed"/>
        <w:tblCellMar>
          <w:left w:w="225" w:type="dxa"/>
          <w:right w:w="150" w:type="dxa"/>
        </w:tblCellMar>
        <w:tblLook w:val="04A0" w:firstRow="1" w:lastRow="0" w:firstColumn="1" w:lastColumn="0" w:noHBand="0" w:noVBand="1"/>
      </w:tblPr>
      <w:tblGrid>
        <w:gridCol w:w="14625"/>
      </w:tblGrid>
      <w:tr w:rsidR="00A1702D">
        <w:tc>
          <w:tcPr>
            <w:tcW w:w="14625" w:type="dxa"/>
            <w:vAlign w:val="center"/>
          </w:tcPr>
          <w:tbl>
            <w:tblPr>
              <w:tblW w:w="13785" w:type="dxa"/>
              <w:tblInd w:w="240" w:type="dxa"/>
              <w:tblLayout w:type="fixed"/>
              <w:tblCellMar>
                <w:top w:w="75" w:type="dxa"/>
                <w:left w:w="75" w:type="dxa"/>
                <w:bottom w:w="75" w:type="dxa"/>
                <w:right w:w="75" w:type="dxa"/>
              </w:tblCellMar>
              <w:tblLook w:val="04A0" w:firstRow="1" w:lastRow="0" w:firstColumn="1" w:lastColumn="0" w:noHBand="0" w:noVBand="1"/>
            </w:tblPr>
            <w:tblGrid>
              <w:gridCol w:w="7485"/>
              <w:gridCol w:w="2265"/>
              <w:gridCol w:w="4035"/>
            </w:tblGrid>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rPr>
                      <w:bCs/>
                    </w:rPr>
                  </w:pPr>
                  <w:r>
                    <w:rPr>
                      <w:bCs/>
                    </w:rPr>
                    <w:t>Наименование характеристики</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rPr>
                      <w:bCs/>
                    </w:rPr>
                  </w:pPr>
                  <w:r>
                    <w:rPr>
                      <w:bCs/>
                    </w:rPr>
                    <w:t>Единица измерения характеристики</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1702D" w:rsidRDefault="00B90612">
                  <w:pPr>
                    <w:jc w:val="center"/>
                    <w:rPr>
                      <w:bCs/>
                    </w:rPr>
                  </w:pPr>
                  <w:r>
                    <w:rPr>
                      <w:bCs/>
                    </w:rPr>
                    <w:t>Значение характеристики</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pPr>
                    <w:rPr>
                      <w:b/>
                    </w:rPr>
                  </w:pPr>
                  <w:bookmarkStart w:id="1" w:name="_Hlk62810040"/>
                  <w:r>
                    <w:rPr>
                      <w:b/>
                      <w:sz w:val="22"/>
                      <w:szCs w:val="22"/>
                    </w:rPr>
                    <w:t xml:space="preserve">Усилительно коммутационный </w:t>
                  </w:r>
                  <w:bookmarkEnd w:id="1"/>
                  <w:r>
                    <w:rPr>
                      <w:b/>
                      <w:sz w:val="22"/>
                      <w:szCs w:val="22"/>
                    </w:rPr>
                    <w:t>блок (далее - УКБ)</w:t>
                  </w:r>
                </w:p>
                <w:p w:rsidR="00A1702D" w:rsidRDefault="00B90612">
                  <w:pPr>
                    <w:rPr>
                      <w:bCs/>
                    </w:rPr>
                  </w:pPr>
                  <w:r>
                    <w:rPr>
                      <w:b/>
                      <w:sz w:val="22"/>
                      <w:szCs w:val="22"/>
                    </w:rPr>
                    <w:t>УКБ СГС-22-МЕ400Н</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pPr>
                    <w:rPr>
                      <w:bCs/>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1702D" w:rsidRDefault="00A1702D">
                  <w:pPr>
                    <w:rPr>
                      <w:bCs/>
                    </w:rPr>
                  </w:pP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Усилительно-коммутационный блок предназначен для эксплуатации на предприятиях, в населенных пунктах, местах большого скопления людей и др. С помощью УКБ проводятся мероприятия по звуковому оповещению персонала и населения. УКБ обеспечивает подачу сигнала электронной сирены и передачу звуковой и речевой информации. УКБ предназначен для коммутации и усиления звуковых сигналов.</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Управление УКБ производится по каналам связи: по сети Ethernet от существующего Пульта управления (П-166М КПУ версия ПО 756.117.746. и выше) (далее - ПУ) ЕДДС муниципального округа Чувашской Республики по протоколу КТСО П-166М</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Прием сигналов управления и передача ответного сигнала подтверждения по цифровым сетям передачи данных с пакетной коммутацией 10Base-T (IEEE802.3i) и 100Base-TX (IEEE 802.3u) с гарантированной пропускной способностью «точка-точка», Кбит/с.</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32</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Степень защиты от воздействия окружающей среды (исполнение), IP</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54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Электроснабжение УКБ осуществляется от сети переменного тока напряжением (220 ± 22) В при частоте (50±2) Гц</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lastRenderedPageBreak/>
                    <w:t>Диапазон воспроизводимых частот звукового тракта, Гц</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100-10000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Защищенность от невзвешенного шума, дБ</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55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Повышение выходного напряжения при подаче на вход напряжения в 4 раза выше номинального</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Децибел</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0.5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Время выхода на режим после включения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Секунда</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Номинальная выходная мощность</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Ватт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400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Количество выходов УКБ для подключения линий РФ</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16</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Мощность, потребляемая УКБ от сети переменного тока 220В 50 Гц, в режимах: дежурный режим, Вт</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40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Мощность, потребляемая УКБ от сети переменного тока 220В 50 Гц, в режимах: режим оповещения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Ватт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140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Мощность каждого выхода для подключения линии РФ</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Ватт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25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Номинальное напряжение выходов УКБ для подключения линий РФ</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Вольт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120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Номинальное напряжение и входное сопротивление входа от П166 - 0,775 В, кОм</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1.2</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lastRenderedPageBreak/>
                    <w:t>Усилительно-коммутационный блок обеспечивает выполнение следующих функций: воспроизведение сигналов электронных сирен и речевых сообщений, записанных на карте памяти, в выходные линии с требуемой мощностью в соответствии с командами; проверку выходных линий на наличие короткого замыкания, обрыва и перегрузки; отключение неисправной линии до устранения неисправности; индикацию неисправности выходных линий; индикацию срабатывания защиты при неисправности или перегреве усилителя мощности; индикацию управления (ETHERNET, ВХОД1, ВХОД2); индикацию неисправности блоков: входного, усилителя мощности, блока бесперебойного питания; выдачу квитанции о вскрытии устройства на пульт управления при открывании дверцы шкафа; выдачу квитанции об отсутствии напряжения сети 220В; выдачу квитанции о разряде АКБ.</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УКБ имеет автономный источник бесперебойного питания – аккумуляторная батарея с напряжением питания 12 В.</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Переключение на электроснабжение от резервного источника происходит автоматически при пропадании напряжения на вводе от основного источника питания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Время работы от резервного источника питания: в режиме передачи информации</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Час</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3</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Время работы от резервного источника питания: в дежурном режиме</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Час</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24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Допустимые условия эксплуатации (рабочие значения) рупорного громкоговорителя: температура окружающего воздуха, °С</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в диапазоне от -50 до +50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Допустимые условия эксплуатации (рабочие значения) рупорного громкоговорителя: относительная влажность воздуха, %</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в диапазоне от 30 до 95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b/>
                      <w:sz w:val="22"/>
                      <w:szCs w:val="22"/>
                    </w:rPr>
                    <w:t>Рупорный громкоговоритель ГР.100</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шт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Допустимые условия эксплуатации (рабочие значения) рупорного громкоговорителя: атмосферное давление, кПа</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в диапазоне от 86 до 106</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lastRenderedPageBreak/>
                    <w:t>Вид климатического исполнения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УХЛ1</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Степень защиты (исполнение) рупорного громкоговорителя , IP</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65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Номинальное напряжение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Вольт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120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Номинальное электрическое сопротивление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Ом</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144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Долговременная мощность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Ватт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100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Звуковое давление (1Вт,1м,1кГц)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Децибел</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114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Максимальное звуковое давление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Децибел</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134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Диапазон частот (-16дБ), Гц 290-3900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A1702D"/>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соответствие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vAlign w:val="center"/>
                </w:tcPr>
                <w:p w:rsidR="00A1702D" w:rsidRDefault="00B90612">
                  <w:r>
                    <w:t>Масса нетто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vAlign w:val="center"/>
                </w:tcPr>
                <w:p w:rsidR="00A1702D" w:rsidRDefault="00B90612">
                  <w:pPr>
                    <w:jc w:val="center"/>
                  </w:pPr>
                  <w:r>
                    <w:t>Килограмм</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1702D" w:rsidRDefault="00B90612">
                  <w:pPr>
                    <w:jc w:val="center"/>
                  </w:pPr>
                  <w:r>
                    <w:t>4.4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b/>
                      <w:sz w:val="22"/>
                      <w:szCs w:val="22"/>
                    </w:rPr>
                    <w:t>УКБ СГС-22-МЕ 400У</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A1702D">
                  <w:pPr>
                    <w:jc w:val="center"/>
                  </w:pP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Усилительно-коммутационный блок предназначен для эксплуатации на предприятиях, в населенных пунктах, местах большого скопления людей и др. С помощью УКБ проводятся мероприятия по звуковому оповещению персонала и населения. УКБ обеспечивает подачу сигнала электронной сирены и передачу звуковой и речевой информации. УКБ предназначен для коммутации и усиления звуковых сигналов.</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Управление УКБ производиться по каналам связи:</w:t>
                  </w:r>
                </w:p>
                <w:p w:rsidR="00A1702D" w:rsidRDefault="00B90612">
                  <w:r>
                    <w:rPr>
                      <w:sz w:val="22"/>
                      <w:szCs w:val="22"/>
                    </w:rPr>
                    <w:t>• по сети Ethernet;</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pPr>
                    <w:rPr>
                      <w:sz w:val="22"/>
                      <w:szCs w:val="22"/>
                    </w:rPr>
                  </w:pPr>
                  <w:r>
                    <w:rPr>
                      <w:sz w:val="22"/>
                      <w:szCs w:val="22"/>
                    </w:rPr>
                    <w:t>Прием сигналов управления и передача ответного сигнала подтверждения по цифровым сетям передачи данных с пакетной коммутацией 10Base-T (IEEE802.3i) и 100Base-TX (IEEE 802.3u) с гарантированной пропускной способностью «точка-точка», Кбит/с.</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rPr>
                      <w:sz w:val="22"/>
                      <w:szCs w:val="22"/>
                      <w:lang w:val="en-US"/>
                    </w:rP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A1702D">
                  <w:pPr>
                    <w:jc w:val="center"/>
                    <w:rPr>
                      <w:sz w:val="22"/>
                      <w:szCs w:val="22"/>
                    </w:rPr>
                  </w:pPr>
                </w:p>
                <w:p w:rsidR="00A1702D" w:rsidRDefault="00A1702D">
                  <w:pPr>
                    <w:jc w:val="center"/>
                    <w:rPr>
                      <w:sz w:val="22"/>
                      <w:szCs w:val="22"/>
                    </w:rPr>
                  </w:pPr>
                </w:p>
                <w:p w:rsidR="00A1702D" w:rsidRDefault="00B90612">
                  <w:pPr>
                    <w:jc w:val="center"/>
                    <w:rPr>
                      <w:sz w:val="22"/>
                      <w:szCs w:val="22"/>
                    </w:rPr>
                  </w:pPr>
                  <w:r>
                    <w:rPr>
                      <w:sz w:val="22"/>
                      <w:szCs w:val="22"/>
                    </w:rPr>
                    <w:t>32</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Степень защиты от воздействия окружающей среды (исполнение)</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lang w:val="en-US"/>
                    </w:rPr>
                    <w:t>IP</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65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Электроснабжение УКБ осуществляется от сети переменного тока напряжением (220 ± 22) В при частоте (50±2) Гц.</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Наличие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lastRenderedPageBreak/>
                    <w:t>Диапазон воспроизводимых частот звукового тракта</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Гц</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100-10000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Защищенность от невзвешенного шума</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дБ</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55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Повышение выходного напряжения при подаче на вход напряжения в 4 раза выше номинального</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дБ</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0,5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Время выхода на режим после включения</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с</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Номинальная выходная мощность</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Вт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400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Количество выходов УКБ для подключения линий РФ</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16</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Мощность, потребляемая УКБ от сети переменного тока 220В 50 Гц, в дежурном режиме, Вт</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Вт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40</w:t>
                  </w:r>
                </w:p>
                <w:p w:rsidR="00A1702D" w:rsidRDefault="00A1702D">
                  <w:pPr>
                    <w:jc w:val="center"/>
                  </w:pP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Мощность, потребляемая УКБ от сети переменного тока 220В 50 Гц, в дежурном режиме при температуре минус 10 С</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Вт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340</w:t>
                  </w:r>
                </w:p>
                <w:p w:rsidR="00A1702D" w:rsidRDefault="00A1702D">
                  <w:pPr>
                    <w:jc w:val="center"/>
                  </w:pP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Мощность, потребляемая УКБ от сети переменного тока 220В 50 Гц, в режиме оповещения</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Вт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140</w:t>
                  </w:r>
                </w:p>
                <w:p w:rsidR="00A1702D" w:rsidRDefault="00A1702D">
                  <w:pPr>
                    <w:jc w:val="center"/>
                  </w:pP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Мощность, потребляемая УКБ от сети переменного тока 220В 50 Гц, в режиме оповещения при температуре минус 10 С</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Вт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440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Мощность каждого выхода для подключения линии РФ</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Вт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25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Номинальное напряжение выходов УКБ для подключения линий РФ</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В</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120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lastRenderedPageBreak/>
                    <w:t>Усилительно-коммутационный блок обеспечивает</w:t>
                  </w:r>
                </w:p>
                <w:p w:rsidR="00A1702D" w:rsidRDefault="00B90612">
                  <w:r>
                    <w:rPr>
                      <w:sz w:val="22"/>
                      <w:szCs w:val="22"/>
                    </w:rPr>
                    <w:t>выполнение следующих функций:</w:t>
                  </w:r>
                </w:p>
                <w:p w:rsidR="00A1702D" w:rsidRDefault="00B90612">
                  <w:r>
                    <w:rPr>
                      <w:sz w:val="22"/>
                      <w:szCs w:val="22"/>
                    </w:rPr>
                    <w:t>• воспроизведение сигналов электронных сирен и речевых сообщений, записанных на карте памяти, в выходные линии с требуемой мощностью в соответствии с командами;</w:t>
                  </w:r>
                </w:p>
                <w:p w:rsidR="00A1702D" w:rsidRDefault="00B90612">
                  <w:r>
                    <w:rPr>
                      <w:sz w:val="22"/>
                      <w:szCs w:val="22"/>
                    </w:rPr>
                    <w:t>• проверку выходных линий на наличие короткого замыкания, обрыва и перегрузки;</w:t>
                  </w:r>
                </w:p>
                <w:p w:rsidR="00A1702D" w:rsidRDefault="00B90612">
                  <w:r>
                    <w:rPr>
                      <w:sz w:val="22"/>
                      <w:szCs w:val="22"/>
                    </w:rPr>
                    <w:t>• отключение неисправной линии до устранения неисправности;</w:t>
                  </w:r>
                </w:p>
                <w:p w:rsidR="00A1702D" w:rsidRDefault="00B90612">
                  <w:r>
                    <w:rPr>
                      <w:sz w:val="22"/>
                      <w:szCs w:val="22"/>
                    </w:rPr>
                    <w:t>• индикацию неисправности выходных линий;</w:t>
                  </w:r>
                </w:p>
                <w:p w:rsidR="00A1702D" w:rsidRDefault="00B90612">
                  <w:r>
                    <w:rPr>
                      <w:sz w:val="22"/>
                      <w:szCs w:val="22"/>
                    </w:rPr>
                    <w:t>• индикацию срабатывания защиты при неисправности или перегреве усилителя мощности;</w:t>
                  </w:r>
                </w:p>
                <w:p w:rsidR="00A1702D" w:rsidRDefault="00B90612">
                  <w:r>
                    <w:rPr>
                      <w:sz w:val="22"/>
                      <w:szCs w:val="22"/>
                    </w:rPr>
                    <w:t>• индикацию управления (ETHERNET, ВХОД1, ВХОД2);</w:t>
                  </w:r>
                </w:p>
                <w:p w:rsidR="00A1702D" w:rsidRDefault="00B90612">
                  <w:r>
                    <w:rPr>
                      <w:sz w:val="22"/>
                      <w:szCs w:val="22"/>
                    </w:rPr>
                    <w:t>• индикацию неисправности блоков: входного, усилителя мощности, блока бесперебойного питания;</w:t>
                  </w:r>
                </w:p>
                <w:p w:rsidR="00A1702D" w:rsidRDefault="00B90612">
                  <w:r>
                    <w:rPr>
                      <w:sz w:val="22"/>
                      <w:szCs w:val="22"/>
                    </w:rPr>
                    <w:t>• выдачу квитанции о вскрытии устройства на пульт управления при открывании дверцы шкафа;</w:t>
                  </w:r>
                </w:p>
                <w:p w:rsidR="00A1702D" w:rsidRDefault="00B90612">
                  <w:r>
                    <w:rPr>
                      <w:sz w:val="22"/>
                      <w:szCs w:val="22"/>
                    </w:rPr>
                    <w:t>• выдачу квитанции об отсутствии напряжения сети 220В;</w:t>
                  </w:r>
                </w:p>
                <w:p w:rsidR="00A1702D" w:rsidRDefault="00B90612">
                  <w:r>
                    <w:rPr>
                      <w:sz w:val="22"/>
                      <w:szCs w:val="22"/>
                    </w:rPr>
                    <w:t>• выдачу квитанции о разряде АКБ.</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Наличие</w:t>
                  </w:r>
                </w:p>
                <w:p w:rsidR="00A1702D" w:rsidRDefault="00A1702D">
                  <w:pPr>
                    <w:jc w:val="center"/>
                  </w:pPr>
                </w:p>
                <w:p w:rsidR="00A1702D" w:rsidRDefault="00A1702D">
                  <w:pPr>
                    <w:jc w:val="center"/>
                  </w:pP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УКБ имеет автономный источник бесперебойного питания – аккумуляторная батарея с напряжением питания 12 В.</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Соответствие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Переключение на электроснабжение от резервного источника происходит автоматически при пропадании напряжения на вводе от основного источника питания</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Соответствие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Время работы от резервного источника питания: в режиме передачи информации</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Ч</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3</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Время работы от резервного источника питания: в дежурном режиме</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Ч</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24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b/>
                      <w:sz w:val="22"/>
                      <w:szCs w:val="22"/>
                    </w:rPr>
                    <w:t>Рупорный громкоговоритель ГР.100</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шт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bCs/>
                      <w:sz w:val="22"/>
                      <w:szCs w:val="22"/>
                    </w:rPr>
                    <w:t>Допустимые условия эксплуатации (рабочие значения) рупорного громкоговорителя: температура окружающего воздуха в диапазоне, °С</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-50 +50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bCs/>
                      <w:sz w:val="22"/>
                      <w:szCs w:val="22"/>
                    </w:rPr>
                    <w:t>Допустимые условия эксплуатации (рабочие значения) рупорного громкоговорителя: относительная влажность воздуха в диапазоне, %</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30 - 95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bCs/>
                      <w:sz w:val="22"/>
                      <w:szCs w:val="22"/>
                    </w:rPr>
                    <w:lastRenderedPageBreak/>
                    <w:t>Допустимые условия эксплуатации (рабочие значения) рупорного громкоговорителя: атмосферное давление в диапазоне, кПа</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86 - 106</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Вид климатического исполнения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УХЛ1</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Степень защиты (исполнение)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bCs/>
                      <w:sz w:val="22"/>
                      <w:szCs w:val="22"/>
                      <w:lang w:val="en-US"/>
                    </w:rPr>
                    <w:t>IP</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65</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Номинальное напряжение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bCs/>
                      <w:sz w:val="22"/>
                      <w:szCs w:val="22"/>
                    </w:rPr>
                    <w:t>В</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120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Номинальное электрическое сопротивление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Ом</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144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Долговременная мощность рупорного громкоговорителя, Вт</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bCs/>
                      <w:sz w:val="22"/>
                      <w:szCs w:val="22"/>
                    </w:rPr>
                    <w:t>Вт</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100</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Звуковое давление (1Вт,1м,1кГц) рупорного громкоговорителя, дБ</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sz w:val="22"/>
                      <w:szCs w:val="22"/>
                    </w:rPr>
                    <w:t>дБ</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sz w:val="22"/>
                      <w:szCs w:val="22"/>
                    </w:rPr>
                    <w:t>114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Максимальное звуковое давление рупорного громкоговорителя, дБ</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bCs/>
                      <w:sz w:val="22"/>
                      <w:szCs w:val="22"/>
                    </w:rPr>
                    <w:t>дБ</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134</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Диапазон частот (-16дБ), Гц 290-3900 рупорного громкоговорителя</w:t>
                  </w:r>
                </w:p>
              </w:tc>
              <w:tc>
                <w:tcPr>
                  <w:tcW w:w="2265" w:type="dxa"/>
                  <w:tcBorders>
                    <w:top w:val="single" w:sz="4" w:space="0" w:color="000000"/>
                    <w:left w:val="single" w:sz="4" w:space="0" w:color="000000"/>
                    <w:bottom w:val="single" w:sz="4" w:space="0" w:color="000000"/>
                    <w:right w:val="single" w:sz="4" w:space="0" w:color="000000"/>
                  </w:tcBorders>
                </w:tcPr>
                <w:p w:rsidR="00A1702D" w:rsidRDefault="00A1702D">
                  <w:pPr>
                    <w:jc w:val="center"/>
                  </w:pP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Соответствие</w:t>
                  </w:r>
                </w:p>
              </w:tc>
            </w:tr>
            <w:tr w:rsidR="00A1702D">
              <w:trPr>
                <w:cantSplit/>
              </w:trPr>
              <w:tc>
                <w:tcPr>
                  <w:tcW w:w="7485" w:type="dxa"/>
                  <w:tcBorders>
                    <w:top w:val="single" w:sz="4" w:space="0" w:color="000000"/>
                    <w:left w:val="single" w:sz="4" w:space="0" w:color="000000"/>
                    <w:bottom w:val="single" w:sz="4" w:space="0" w:color="000000"/>
                    <w:right w:val="single" w:sz="4" w:space="0" w:color="000000"/>
                  </w:tcBorders>
                </w:tcPr>
                <w:p w:rsidR="00A1702D" w:rsidRDefault="00B90612">
                  <w:r>
                    <w:rPr>
                      <w:sz w:val="22"/>
                      <w:szCs w:val="22"/>
                    </w:rPr>
                    <w:t>Масса нетто рупорного громкоговорителя, кг</w:t>
                  </w:r>
                </w:p>
              </w:tc>
              <w:tc>
                <w:tcPr>
                  <w:tcW w:w="2265" w:type="dxa"/>
                  <w:tcBorders>
                    <w:top w:val="single" w:sz="4" w:space="0" w:color="000000"/>
                    <w:left w:val="single" w:sz="4" w:space="0" w:color="000000"/>
                    <w:bottom w:val="single" w:sz="4" w:space="0" w:color="000000"/>
                    <w:right w:val="single" w:sz="4" w:space="0" w:color="000000"/>
                  </w:tcBorders>
                </w:tcPr>
                <w:p w:rsidR="00A1702D" w:rsidRDefault="00B90612">
                  <w:pPr>
                    <w:jc w:val="center"/>
                  </w:pPr>
                  <w:r>
                    <w:rPr>
                      <w:bCs/>
                      <w:sz w:val="22"/>
                      <w:szCs w:val="22"/>
                    </w:rPr>
                    <w:t>КГ</w:t>
                  </w:r>
                </w:p>
              </w:tc>
              <w:tc>
                <w:tcPr>
                  <w:tcW w:w="40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A1702D" w:rsidRDefault="00B90612">
                  <w:pPr>
                    <w:jc w:val="center"/>
                  </w:pPr>
                  <w:r>
                    <w:rPr>
                      <w:bCs/>
                      <w:sz w:val="22"/>
                      <w:szCs w:val="22"/>
                    </w:rPr>
                    <w:t>4,4</w:t>
                  </w:r>
                </w:p>
              </w:tc>
            </w:tr>
          </w:tbl>
          <w:p w:rsidR="00A1702D" w:rsidRDefault="00A1702D">
            <w:pPr>
              <w:rPr>
                <w:sz w:val="20"/>
                <w:szCs w:val="20"/>
              </w:rPr>
            </w:pPr>
          </w:p>
        </w:tc>
      </w:tr>
    </w:tbl>
    <w:p w:rsidR="00A1702D" w:rsidRDefault="00A1702D">
      <w:pPr>
        <w:ind w:firstLine="709"/>
        <w:jc w:val="both"/>
        <w:rPr>
          <w:bCs/>
          <w:color w:val="000000"/>
        </w:rPr>
      </w:pPr>
    </w:p>
    <w:p w:rsidR="00A1702D" w:rsidRDefault="00B90612">
      <w:pPr>
        <w:ind w:firstLine="567"/>
        <w:jc w:val="both"/>
        <w:rPr>
          <w:bCs/>
          <w:color w:val="000000"/>
        </w:rPr>
      </w:pPr>
      <w:r>
        <w:rPr>
          <w:bCs/>
          <w:color w:val="000000"/>
        </w:rPr>
        <w:t>Оборудование оконечных средств речевого оповещения должно быть интегрировано в существующую Систему:</w:t>
      </w:r>
    </w:p>
    <w:p w:rsidR="00A1702D" w:rsidRDefault="00B90612">
      <w:pPr>
        <w:pStyle w:val="aa"/>
        <w:numPr>
          <w:ilvl w:val="0"/>
          <w:numId w:val="4"/>
        </w:numPr>
        <w:tabs>
          <w:tab w:val="left" w:pos="709"/>
        </w:tabs>
        <w:ind w:left="0" w:firstLine="567"/>
        <w:jc w:val="both"/>
        <w:rPr>
          <w:bCs/>
          <w:color w:val="000000"/>
        </w:rPr>
      </w:pPr>
      <w:r>
        <w:rPr>
          <w:bCs/>
          <w:color w:val="000000"/>
        </w:rPr>
        <w:t>подключено к линиям и каналам связи;</w:t>
      </w:r>
    </w:p>
    <w:p w:rsidR="00A1702D" w:rsidRDefault="00B90612">
      <w:pPr>
        <w:pStyle w:val="aa"/>
        <w:numPr>
          <w:ilvl w:val="0"/>
          <w:numId w:val="4"/>
        </w:numPr>
        <w:tabs>
          <w:tab w:val="left" w:pos="709"/>
        </w:tabs>
        <w:ind w:left="0" w:firstLine="567"/>
        <w:jc w:val="both"/>
        <w:rPr>
          <w:bCs/>
          <w:color w:val="000000"/>
        </w:rPr>
      </w:pPr>
      <w:r>
        <w:rPr>
          <w:bCs/>
          <w:color w:val="000000"/>
        </w:rPr>
        <w:t>подключено к линиям электропитания и заземления.</w:t>
      </w:r>
    </w:p>
    <w:p w:rsidR="00A1702D" w:rsidRDefault="00B90612">
      <w:pPr>
        <w:ind w:firstLine="709"/>
        <w:jc w:val="both"/>
        <w:rPr>
          <w:bCs/>
          <w:color w:val="000000"/>
        </w:rPr>
      </w:pPr>
      <w:r>
        <w:rPr>
          <w:bCs/>
          <w:color w:val="000000"/>
        </w:rPr>
        <w:t>В рамках Договора необходимо поставку оборудования, монтаж и пуско-наладочные работы с соответствующими характеристиками и использованием необходимых сертифицированных материалов.</w:t>
      </w:r>
    </w:p>
    <w:p w:rsidR="00A1702D" w:rsidRDefault="00B90612">
      <w:pPr>
        <w:pStyle w:val="a"/>
        <w:widowControl/>
        <w:numPr>
          <w:ilvl w:val="1"/>
          <w:numId w:val="2"/>
        </w:numPr>
        <w:tabs>
          <w:tab w:val="left" w:pos="1134"/>
        </w:tabs>
        <w:suppressAutoHyphens w:val="0"/>
        <w:ind w:left="0" w:firstLine="709"/>
        <w:rPr>
          <w:bCs/>
          <w:color w:val="000000"/>
          <w:sz w:val="24"/>
          <w:szCs w:val="24"/>
        </w:rPr>
      </w:pPr>
      <w:r>
        <w:rPr>
          <w:b/>
          <w:sz w:val="24"/>
          <w:szCs w:val="24"/>
        </w:rPr>
        <w:t xml:space="preserve">Входной контроль </w:t>
      </w:r>
    </w:p>
    <w:p w:rsidR="00A1702D" w:rsidRDefault="00B90612">
      <w:pPr>
        <w:ind w:firstLine="709"/>
        <w:jc w:val="both"/>
        <w:rPr>
          <w:bCs/>
          <w:color w:val="000000"/>
        </w:rPr>
      </w:pPr>
      <w:r>
        <w:rPr>
          <w:bCs/>
          <w:color w:val="000000"/>
        </w:rPr>
        <w:t>Поставщик предоставляет Заказчику комплект оборудования для осуществления входного контроля.</w:t>
      </w:r>
    </w:p>
    <w:p w:rsidR="00A1702D" w:rsidRDefault="00B90612">
      <w:pPr>
        <w:ind w:firstLine="709"/>
        <w:jc w:val="both"/>
        <w:rPr>
          <w:bCs/>
          <w:color w:val="000000"/>
        </w:rPr>
      </w:pPr>
      <w:r>
        <w:rPr>
          <w:bCs/>
          <w:color w:val="000000"/>
        </w:rPr>
        <w:t>Предоставление Заказчику комплекта оборудования для входного контроля осуществляется с целью определения фактического соответствия поставляемого оборудования требованиям, указанным в Договоре.</w:t>
      </w:r>
    </w:p>
    <w:p w:rsidR="00A1702D" w:rsidRDefault="00B90612">
      <w:pPr>
        <w:ind w:firstLine="709"/>
        <w:jc w:val="both"/>
        <w:rPr>
          <w:bCs/>
          <w:color w:val="000000"/>
        </w:rPr>
      </w:pPr>
      <w:r>
        <w:rPr>
          <w:bCs/>
          <w:color w:val="000000"/>
        </w:rPr>
        <w:t xml:space="preserve">Поставщик самостоятельно и за свой счет организует на территории муниципального округа временное хранение поставляемого оборудования на период проведения входного контроля и последующей доставки его до мест размещения в соответствии с адресным планом указанному в Заказе направленном Заказчиком. </w:t>
      </w:r>
    </w:p>
    <w:p w:rsidR="00A1702D" w:rsidRDefault="00B90612">
      <w:pPr>
        <w:ind w:firstLine="709"/>
        <w:jc w:val="both"/>
        <w:rPr>
          <w:bCs/>
          <w:color w:val="000000"/>
        </w:rPr>
      </w:pPr>
      <w:r>
        <w:rPr>
          <w:bCs/>
          <w:color w:val="000000"/>
        </w:rPr>
        <w:t>Поставщик письменно извещает Заказчика о дате предоставления оборудования для входного контроля не позднее, чем за 5 (пять) рабочих дней.</w:t>
      </w:r>
    </w:p>
    <w:p w:rsidR="00A1702D" w:rsidRDefault="00B90612">
      <w:pPr>
        <w:ind w:firstLine="709"/>
        <w:jc w:val="both"/>
        <w:rPr>
          <w:bCs/>
          <w:color w:val="000000"/>
        </w:rPr>
      </w:pPr>
      <w:r>
        <w:rPr>
          <w:bCs/>
          <w:color w:val="000000"/>
        </w:rPr>
        <w:t xml:space="preserve">Отбор комплекта оборудования для проведения входного контроля производится Заказчиком в месте его временного хранения. </w:t>
      </w:r>
    </w:p>
    <w:p w:rsidR="00A1702D" w:rsidRDefault="00B90612">
      <w:pPr>
        <w:ind w:firstLine="709"/>
        <w:jc w:val="both"/>
        <w:rPr>
          <w:bCs/>
          <w:color w:val="000000"/>
        </w:rPr>
      </w:pPr>
      <w:r>
        <w:rPr>
          <w:bCs/>
          <w:color w:val="000000"/>
        </w:rPr>
        <w:t>Поставщик самостоятельно и за свой счет, осуществляет доставку отобранного комплекта оборудования для проведения входного контроля.</w:t>
      </w:r>
    </w:p>
    <w:p w:rsidR="00A1702D" w:rsidRDefault="00B90612">
      <w:pPr>
        <w:ind w:firstLine="709"/>
        <w:jc w:val="both"/>
        <w:rPr>
          <w:bCs/>
          <w:color w:val="000000"/>
        </w:rPr>
      </w:pPr>
      <w:r>
        <w:rPr>
          <w:bCs/>
          <w:color w:val="000000"/>
        </w:rPr>
        <w:lastRenderedPageBreak/>
        <w:t>Входной контроль проводится в срок не более 10 (десяти) рабочих дней с момента предоставления Поставщиком отобранного комплекта оборудования.</w:t>
      </w:r>
    </w:p>
    <w:p w:rsidR="00A1702D" w:rsidRDefault="00B90612">
      <w:pPr>
        <w:ind w:firstLine="709"/>
        <w:jc w:val="both"/>
        <w:rPr>
          <w:bCs/>
          <w:color w:val="000000"/>
        </w:rPr>
      </w:pPr>
      <w:r>
        <w:rPr>
          <w:bCs/>
          <w:color w:val="000000"/>
        </w:rPr>
        <w:t>Отбор оборудования и входной контроль проводится Заказчиком в соответствие с порядком, указанным Договоре.</w:t>
      </w:r>
    </w:p>
    <w:p w:rsidR="00A1702D" w:rsidRDefault="00B90612">
      <w:pPr>
        <w:ind w:firstLine="709"/>
        <w:jc w:val="both"/>
        <w:rPr>
          <w:bCs/>
          <w:color w:val="000000"/>
        </w:rPr>
      </w:pPr>
      <w:r>
        <w:rPr>
          <w:bCs/>
          <w:color w:val="000000"/>
        </w:rPr>
        <w:t>Порядок отбора оборудования и проведения входного контроля.</w:t>
      </w:r>
    </w:p>
    <w:p w:rsidR="00A1702D" w:rsidRDefault="00B90612">
      <w:pPr>
        <w:ind w:firstLine="709"/>
        <w:jc w:val="both"/>
        <w:rPr>
          <w:bCs/>
          <w:color w:val="000000"/>
        </w:rPr>
      </w:pPr>
      <w:r>
        <w:rPr>
          <w:bCs/>
          <w:color w:val="000000"/>
        </w:rPr>
        <w:t>Комплект оборудования для входного контроля определяется Заказчиком с целью проведения контроля работоспособности, каждого отдельного элемента системы и функционального взаимодействия в составе сегмента системы.</w:t>
      </w:r>
    </w:p>
    <w:p w:rsidR="00A1702D" w:rsidRDefault="00B90612">
      <w:pPr>
        <w:ind w:firstLine="709"/>
        <w:jc w:val="both"/>
        <w:rPr>
          <w:bCs/>
          <w:color w:val="000000"/>
        </w:rPr>
      </w:pPr>
      <w:r>
        <w:rPr>
          <w:bCs/>
          <w:color w:val="000000"/>
        </w:rPr>
        <w:t>Отбор оборудования для проведения входного контроля</w:t>
      </w:r>
    </w:p>
    <w:p w:rsidR="00A1702D" w:rsidRDefault="00B90612">
      <w:pPr>
        <w:ind w:firstLine="709"/>
        <w:jc w:val="both"/>
        <w:rPr>
          <w:bCs/>
          <w:color w:val="000000"/>
        </w:rPr>
      </w:pPr>
      <w:r>
        <w:rPr>
          <w:bCs/>
          <w:color w:val="000000"/>
        </w:rPr>
        <w:t>Заказчик в течение 3 (трёх) рабочих дней с даты, получения Заказчиком письменного извещении Поставщика о готовности предоставления оборудования для входного контроля формирует комплекты оборудования подлежащих процедуре входного контроля.</w:t>
      </w:r>
    </w:p>
    <w:p w:rsidR="00A1702D" w:rsidRDefault="00B90612">
      <w:pPr>
        <w:ind w:firstLine="709"/>
        <w:jc w:val="both"/>
        <w:rPr>
          <w:bCs/>
          <w:color w:val="000000"/>
        </w:rPr>
      </w:pPr>
      <w:r>
        <w:rPr>
          <w:bCs/>
          <w:color w:val="000000"/>
        </w:rPr>
        <w:t>По результатам проведения входного контроля Заказчик составляет протокол о допуске поставляемого оборудования к монтажу.</w:t>
      </w:r>
    </w:p>
    <w:p w:rsidR="00A1702D" w:rsidRDefault="00B90612">
      <w:pPr>
        <w:ind w:firstLine="709"/>
        <w:jc w:val="both"/>
        <w:rPr>
          <w:bCs/>
          <w:color w:val="000000"/>
        </w:rPr>
      </w:pPr>
      <w:r>
        <w:rPr>
          <w:bCs/>
          <w:color w:val="000000"/>
        </w:rPr>
        <w:t>В случае выявления несоответствия характеристик оборудования, представленного для входного контроля, требованиям, указанным в описании объекта закупки, Поставщик обязан предоставить замену в срок не более 5 (пяти) рабочих дней.</w:t>
      </w:r>
    </w:p>
    <w:p w:rsidR="00A1702D" w:rsidRDefault="00B90612">
      <w:pPr>
        <w:ind w:firstLine="709"/>
        <w:jc w:val="both"/>
        <w:rPr>
          <w:bCs/>
          <w:color w:val="000000"/>
        </w:rPr>
      </w:pPr>
      <w:r>
        <w:rPr>
          <w:bCs/>
          <w:color w:val="000000"/>
        </w:rPr>
        <w:t>Оборудование, не прошедшее входной контроль не допускается к монтажу.</w:t>
      </w:r>
    </w:p>
    <w:p w:rsidR="00A1702D" w:rsidRDefault="00B90612">
      <w:pPr>
        <w:ind w:firstLine="709"/>
        <w:jc w:val="both"/>
        <w:rPr>
          <w:bCs/>
          <w:color w:val="000000"/>
        </w:rPr>
      </w:pPr>
      <w:r>
        <w:rPr>
          <w:bCs/>
          <w:color w:val="000000"/>
        </w:rPr>
        <w:t>Количество и типы отбираемого оборудования:</w:t>
      </w:r>
      <w:r>
        <w:rPr>
          <w:bCs/>
          <w:color w:val="000000"/>
        </w:rPr>
        <w:tab/>
      </w:r>
    </w:p>
    <w:p w:rsidR="00A1702D" w:rsidRDefault="00A1702D">
      <w:pPr>
        <w:ind w:firstLine="709"/>
        <w:jc w:val="both"/>
        <w:rPr>
          <w:bCs/>
          <w:color w:val="000000"/>
        </w:rPr>
      </w:pPr>
    </w:p>
    <w:tbl>
      <w:tblPr>
        <w:tblW w:w="14415" w:type="dxa"/>
        <w:tblInd w:w="108" w:type="dxa"/>
        <w:tblLayout w:type="fixed"/>
        <w:tblLook w:val="04A0" w:firstRow="1" w:lastRow="0" w:firstColumn="1" w:lastColumn="0" w:noHBand="0" w:noVBand="1"/>
      </w:tblPr>
      <w:tblGrid>
        <w:gridCol w:w="9721"/>
        <w:gridCol w:w="4694"/>
      </w:tblGrid>
      <w:tr w:rsidR="00A1702D">
        <w:trPr>
          <w:trHeight w:val="275"/>
        </w:trPr>
        <w:tc>
          <w:tcPr>
            <w:tcW w:w="9720" w:type="dxa"/>
            <w:tcBorders>
              <w:top w:val="single" w:sz="4" w:space="0" w:color="000000"/>
              <w:left w:val="single" w:sz="4" w:space="0" w:color="000000"/>
              <w:bottom w:val="single" w:sz="4" w:space="0" w:color="000000"/>
              <w:right w:val="single" w:sz="4" w:space="0" w:color="000000"/>
            </w:tcBorders>
            <w:shd w:val="clear" w:color="auto" w:fill="FFFFFF"/>
          </w:tcPr>
          <w:p w:rsidR="00A1702D" w:rsidRDefault="00B90612">
            <w:pPr>
              <w:jc w:val="center"/>
              <w:rPr>
                <w:u w:color="000000"/>
              </w:rPr>
            </w:pPr>
            <w:r>
              <w:rPr>
                <w:b/>
                <w:u w:color="000000"/>
              </w:rPr>
              <w:t>Оборудование</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Pr>
          <w:p w:rsidR="00A1702D" w:rsidRDefault="00B90612">
            <w:pPr>
              <w:jc w:val="center"/>
              <w:rPr>
                <w:u w:color="000000"/>
              </w:rPr>
            </w:pPr>
            <w:r>
              <w:rPr>
                <w:b/>
                <w:u w:color="000000"/>
              </w:rPr>
              <w:t>Количество отбираемого оборудования</w:t>
            </w:r>
          </w:p>
        </w:tc>
      </w:tr>
      <w:tr w:rsidR="00A1702D">
        <w:trPr>
          <w:trHeight w:val="275"/>
        </w:trPr>
        <w:tc>
          <w:tcPr>
            <w:tcW w:w="9720" w:type="dxa"/>
            <w:tcBorders>
              <w:top w:val="single" w:sz="4" w:space="0" w:color="000000"/>
              <w:left w:val="single" w:sz="4" w:space="0" w:color="000000"/>
              <w:bottom w:val="single" w:sz="4" w:space="0" w:color="000000"/>
              <w:right w:val="single" w:sz="4" w:space="0" w:color="000000"/>
            </w:tcBorders>
            <w:shd w:val="clear" w:color="auto" w:fill="FFFFFF"/>
          </w:tcPr>
          <w:p w:rsidR="00A1702D" w:rsidRDefault="00B90612">
            <w:pPr>
              <w:rPr>
                <w:u w:color="000000"/>
              </w:rPr>
            </w:pPr>
            <w:r>
              <w:rPr>
                <w:u w:color="000000"/>
              </w:rPr>
              <w:t>Усилительно коммутационный блок УКБ СГС-22-МЕ400Н с 4-мя рупорными громкоговорителями ГР.100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Pr>
          <w:p w:rsidR="00A1702D" w:rsidRDefault="00B90612">
            <w:pPr>
              <w:ind w:firstLine="709"/>
              <w:jc w:val="center"/>
              <w:rPr>
                <w:u w:color="000000"/>
              </w:rPr>
            </w:pPr>
            <w:r>
              <w:rPr>
                <w:u w:color="000000"/>
              </w:rPr>
              <w:t>1</w:t>
            </w:r>
          </w:p>
        </w:tc>
      </w:tr>
      <w:tr w:rsidR="00A1702D">
        <w:trPr>
          <w:trHeight w:val="275"/>
        </w:trPr>
        <w:tc>
          <w:tcPr>
            <w:tcW w:w="9720" w:type="dxa"/>
            <w:tcBorders>
              <w:top w:val="single" w:sz="4" w:space="0" w:color="000000"/>
              <w:left w:val="single" w:sz="4" w:space="0" w:color="000000"/>
              <w:bottom w:val="single" w:sz="4" w:space="0" w:color="000000"/>
              <w:right w:val="single" w:sz="4" w:space="0" w:color="000000"/>
            </w:tcBorders>
            <w:shd w:val="clear" w:color="auto" w:fill="FFFFFF"/>
          </w:tcPr>
          <w:p w:rsidR="00A1702D" w:rsidRDefault="00B90612">
            <w:pPr>
              <w:rPr>
                <w:u w:color="000000"/>
              </w:rPr>
            </w:pPr>
            <w:r>
              <w:rPr>
                <w:u w:color="000000"/>
              </w:rPr>
              <w:t>Усилительно коммутационный блок УКБ СГС-22-МЕ400У с 4-мя рупорными громкоговорителями ГР.100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Pr>
          <w:p w:rsidR="00A1702D" w:rsidRDefault="00B90612">
            <w:pPr>
              <w:ind w:firstLine="709"/>
              <w:jc w:val="center"/>
              <w:rPr>
                <w:u w:color="000000"/>
              </w:rPr>
            </w:pPr>
            <w:r>
              <w:rPr>
                <w:u w:color="000000"/>
              </w:rPr>
              <w:t>1</w:t>
            </w:r>
          </w:p>
        </w:tc>
      </w:tr>
    </w:tbl>
    <w:p w:rsidR="00A1702D" w:rsidRDefault="00A1702D">
      <w:pPr>
        <w:jc w:val="both"/>
        <w:rPr>
          <w:bCs/>
          <w:color w:val="000000"/>
        </w:rPr>
      </w:pPr>
    </w:p>
    <w:p w:rsidR="00A1702D" w:rsidRDefault="00B90612">
      <w:pPr>
        <w:ind w:firstLine="567"/>
        <w:jc w:val="both"/>
        <w:rPr>
          <w:bCs/>
          <w:color w:val="000000"/>
        </w:rPr>
      </w:pPr>
      <w:r>
        <w:rPr>
          <w:bCs/>
          <w:color w:val="000000"/>
        </w:rPr>
        <w:t>Порядок проведения входного контроля</w:t>
      </w:r>
    </w:p>
    <w:p w:rsidR="00A1702D" w:rsidRDefault="00B90612">
      <w:pPr>
        <w:ind w:firstLine="567"/>
        <w:jc w:val="both"/>
        <w:rPr>
          <w:bCs/>
          <w:color w:val="000000"/>
        </w:rPr>
      </w:pPr>
      <w:r>
        <w:rPr>
          <w:bCs/>
          <w:color w:val="000000"/>
        </w:rPr>
        <w:t>Поставщик:</w:t>
      </w:r>
    </w:p>
    <w:p w:rsidR="00A1702D" w:rsidRDefault="00B90612">
      <w:pPr>
        <w:ind w:firstLine="567"/>
        <w:jc w:val="both"/>
        <w:rPr>
          <w:bCs/>
          <w:color w:val="000000"/>
        </w:rPr>
      </w:pPr>
      <w:r>
        <w:rPr>
          <w:bCs/>
          <w:color w:val="000000"/>
        </w:rPr>
        <w:t>- доставляет комплект оборудования, сформированный Заказчиком на ПУ, определяемый так же Заказчиком;</w:t>
      </w:r>
    </w:p>
    <w:p w:rsidR="00A1702D" w:rsidRDefault="00B90612">
      <w:pPr>
        <w:ind w:firstLine="567"/>
        <w:jc w:val="both"/>
        <w:rPr>
          <w:bCs/>
          <w:color w:val="000000"/>
        </w:rPr>
      </w:pPr>
      <w:r>
        <w:rPr>
          <w:bCs/>
          <w:color w:val="000000"/>
        </w:rPr>
        <w:t>- устанавливает оборудование, коммутирует, подключает к сети электропитания, каналам связи;</w:t>
      </w:r>
    </w:p>
    <w:p w:rsidR="00A1702D" w:rsidRDefault="00B90612">
      <w:pPr>
        <w:ind w:firstLine="567"/>
        <w:jc w:val="both"/>
        <w:rPr>
          <w:bCs/>
          <w:color w:val="000000"/>
        </w:rPr>
      </w:pPr>
      <w:r>
        <w:rPr>
          <w:bCs/>
          <w:color w:val="000000"/>
        </w:rPr>
        <w:t>- в соответствии с инструкцией по эксплуатации включает и подготавливает оборудование к проведению входного контроля;</w:t>
      </w:r>
    </w:p>
    <w:p w:rsidR="00A1702D" w:rsidRDefault="00B90612">
      <w:pPr>
        <w:ind w:firstLine="567"/>
        <w:jc w:val="both"/>
        <w:rPr>
          <w:bCs/>
          <w:color w:val="000000"/>
        </w:rPr>
      </w:pPr>
      <w:r>
        <w:rPr>
          <w:bCs/>
          <w:color w:val="000000"/>
        </w:rPr>
        <w:t>- совместно с работниками Заказчика, выполняет мероприятия по проверке функционала, технических показателей, программно-технического сопряжения комплекта оборудования предоставленного к проведению входного контроля с существующими у Заказчика пунктами управления РСОН и ЕДДС МО Чувашской Республики (КТСО П-166М, версия ПО 756.117.746. и выше)</w:t>
      </w:r>
      <w:r>
        <w:t xml:space="preserve"> </w:t>
      </w:r>
      <w:r>
        <w:rPr>
          <w:bCs/>
          <w:color w:val="000000"/>
        </w:rPr>
        <w:t>в соответствии с требованиями п.п. 5.1.8 и 5.4.4 ГОСТ Р 42.3.01-2021 г.</w:t>
      </w:r>
    </w:p>
    <w:p w:rsidR="00A1702D" w:rsidRDefault="00B90612">
      <w:pPr>
        <w:ind w:firstLine="567"/>
        <w:jc w:val="both"/>
        <w:rPr>
          <w:bCs/>
          <w:color w:val="000000"/>
        </w:rPr>
      </w:pPr>
      <w:r>
        <w:rPr>
          <w:bCs/>
          <w:color w:val="000000"/>
        </w:rPr>
        <w:t xml:space="preserve">    Этапы, процедуры и результаты входного контроля заносятся в протокол входного контроля и подтверждаются подписями работников Поставщика и Заказчика уполномоченных проводить входной контроль.</w:t>
      </w:r>
    </w:p>
    <w:p w:rsidR="00A1702D" w:rsidRDefault="00B90612">
      <w:pPr>
        <w:ind w:firstLine="567"/>
        <w:jc w:val="both"/>
        <w:rPr>
          <w:bCs/>
          <w:color w:val="000000"/>
        </w:rPr>
      </w:pPr>
      <w:r>
        <w:rPr>
          <w:bCs/>
          <w:color w:val="000000"/>
        </w:rPr>
        <w:t>Результат входного контроля комплекта оборудования - соответствие или несоответствие требованиям по комплектации и характеристикам поставляемого оборудования согласно Договора.</w:t>
      </w:r>
    </w:p>
    <w:p w:rsidR="00A1702D" w:rsidRDefault="00B90612">
      <w:pPr>
        <w:ind w:firstLine="567"/>
        <w:jc w:val="both"/>
        <w:rPr>
          <w:bCs/>
          <w:color w:val="000000"/>
        </w:rPr>
      </w:pPr>
      <w:r>
        <w:rPr>
          <w:bCs/>
          <w:color w:val="000000"/>
        </w:rPr>
        <w:lastRenderedPageBreak/>
        <w:t>Оборудование, предоставленное к проведению входного контроля несоответствующее требованиям по комплектации и/или характеристикам поставляемого оборудования согласно Договора, Поставщик обязан заменить в срок не более 5(пяти) рабочих дней на новое оборудование и повторно провести входной контроль в комплекте оборудования, в котором проведена замена.</w:t>
      </w:r>
    </w:p>
    <w:p w:rsidR="00A1702D" w:rsidRDefault="00B90612">
      <w:pPr>
        <w:ind w:firstLine="567"/>
        <w:jc w:val="both"/>
        <w:rPr>
          <w:bCs/>
          <w:color w:val="000000"/>
        </w:rPr>
      </w:pPr>
      <w:r>
        <w:rPr>
          <w:bCs/>
          <w:color w:val="000000"/>
        </w:rPr>
        <w:t>Отказ Поставщика от замены оборудования не прошедшего входной контроль или не представление оборудования в течении 5 (пяти) рабочих дней с момента выявления несоответствия требованиям по комплектации и/или характеристикам поставляемого оборудования согласно Договора, Заказчик получает право в одностороннем порядке отказаться от исполнения Договора.</w:t>
      </w:r>
    </w:p>
    <w:p w:rsidR="00A1702D" w:rsidRDefault="00B90612">
      <w:pPr>
        <w:ind w:firstLine="567"/>
        <w:jc w:val="both"/>
        <w:rPr>
          <w:bCs/>
          <w:color w:val="000000"/>
        </w:rPr>
      </w:pPr>
      <w:r>
        <w:rPr>
          <w:bCs/>
          <w:color w:val="000000"/>
        </w:rPr>
        <w:t>Протокол входного контроля согласовывается Поставщиком и утверждается Заказчиком.</w:t>
      </w:r>
    </w:p>
    <w:p w:rsidR="00A1702D" w:rsidRDefault="00B90612">
      <w:pPr>
        <w:ind w:firstLine="567"/>
        <w:jc w:val="both"/>
        <w:rPr>
          <w:bCs/>
          <w:color w:val="000000"/>
        </w:rPr>
      </w:pPr>
      <w:r>
        <w:rPr>
          <w:bCs/>
          <w:color w:val="000000"/>
        </w:rPr>
        <w:t>Оборудование прошедшее входной контроль допускается к монтажу согласно Договора.</w:t>
      </w:r>
    </w:p>
    <w:p w:rsidR="00A1702D" w:rsidRDefault="00B90612">
      <w:pPr>
        <w:pStyle w:val="a"/>
        <w:widowControl/>
        <w:numPr>
          <w:ilvl w:val="1"/>
          <w:numId w:val="2"/>
        </w:numPr>
        <w:tabs>
          <w:tab w:val="left" w:pos="993"/>
        </w:tabs>
        <w:suppressAutoHyphens w:val="0"/>
        <w:ind w:left="0" w:firstLine="567"/>
        <w:rPr>
          <w:b/>
          <w:sz w:val="24"/>
          <w:szCs w:val="24"/>
          <w:lang w:eastAsia="zh-CN"/>
        </w:rPr>
      </w:pPr>
      <w:r>
        <w:rPr>
          <w:b/>
          <w:sz w:val="24"/>
          <w:szCs w:val="24"/>
          <w:lang w:eastAsia="zh-CN"/>
        </w:rPr>
        <w:t xml:space="preserve">Требования к электропитанию </w:t>
      </w:r>
    </w:p>
    <w:p w:rsidR="00A1702D" w:rsidRDefault="00B90612">
      <w:pPr>
        <w:ind w:firstLine="567"/>
        <w:jc w:val="both"/>
      </w:pPr>
      <w:r>
        <w:t>К электропитанию оконечных средств речевого оповещения предъявляются следующие требования:</w:t>
      </w:r>
    </w:p>
    <w:p w:rsidR="00A1702D" w:rsidRDefault="00B90612">
      <w:pPr>
        <w:pStyle w:val="aa"/>
        <w:numPr>
          <w:ilvl w:val="0"/>
          <w:numId w:val="4"/>
        </w:numPr>
        <w:tabs>
          <w:tab w:val="left" w:pos="709"/>
        </w:tabs>
        <w:ind w:left="0" w:firstLine="567"/>
        <w:jc w:val="both"/>
      </w:pPr>
      <w:r>
        <w:t xml:space="preserve"> сохранение работоспособности при отключении централизованного энергоснабжения не менее 24 ч в дежурном режиме и 3 часов в режиме передачи информации; </w:t>
      </w:r>
    </w:p>
    <w:p w:rsidR="00A1702D" w:rsidRDefault="00B90612">
      <w:pPr>
        <w:pStyle w:val="aa"/>
        <w:numPr>
          <w:ilvl w:val="0"/>
          <w:numId w:val="4"/>
        </w:numPr>
        <w:tabs>
          <w:tab w:val="left" w:pos="709"/>
        </w:tabs>
        <w:ind w:left="0" w:firstLine="567"/>
        <w:jc w:val="both"/>
      </w:pPr>
      <w:r>
        <w:t xml:space="preserve"> обеспечивать диагностику перехода на автономный режим работы;</w:t>
      </w:r>
    </w:p>
    <w:p w:rsidR="00A1702D" w:rsidRDefault="00B90612">
      <w:pPr>
        <w:pStyle w:val="aa"/>
        <w:numPr>
          <w:ilvl w:val="0"/>
          <w:numId w:val="4"/>
        </w:numPr>
        <w:tabs>
          <w:tab w:val="left" w:pos="709"/>
        </w:tabs>
        <w:ind w:left="0" w:firstLine="567"/>
        <w:jc w:val="both"/>
      </w:pPr>
      <w:r>
        <w:t xml:space="preserve"> обеспечение бесперебойного питания активного сетевого оборудования.</w:t>
      </w:r>
    </w:p>
    <w:p w:rsidR="00A1702D" w:rsidRDefault="00B90612">
      <w:pPr>
        <w:ind w:firstLine="567"/>
        <w:jc w:val="both"/>
        <w:rPr>
          <w:bCs/>
          <w:color w:val="000000"/>
        </w:rPr>
      </w:pPr>
      <w:r>
        <w:rPr>
          <w:bCs/>
          <w:color w:val="000000"/>
        </w:rPr>
        <w:t>В части электробезопасности оконечные средства речевого оповещения должны удовлетворять требованиям «Правил устройства электроустановок».</w:t>
      </w:r>
    </w:p>
    <w:p w:rsidR="00A1702D" w:rsidRDefault="00B90612">
      <w:pPr>
        <w:ind w:firstLine="567"/>
        <w:jc w:val="both"/>
        <w:rPr>
          <w:bCs/>
          <w:color w:val="000000"/>
        </w:rPr>
      </w:pPr>
      <w:r>
        <w:rPr>
          <w:bCs/>
          <w:color w:val="000000"/>
        </w:rPr>
        <w:t xml:space="preserve">Электропитание и заземление оконечных средств речевого оповещения предусмотреть от существующих источников электропитания и систем заземления. </w:t>
      </w:r>
    </w:p>
    <w:p w:rsidR="00A1702D" w:rsidRDefault="00B90612">
      <w:pPr>
        <w:ind w:firstLine="567"/>
        <w:jc w:val="both"/>
        <w:rPr>
          <w:bCs/>
          <w:color w:val="000000"/>
        </w:rPr>
      </w:pPr>
      <w:r>
        <w:rPr>
          <w:bCs/>
          <w:color w:val="000000"/>
        </w:rPr>
        <w:t xml:space="preserve">Электропитание оконечных средств оповещения, размещаемых на стационарных объектах, должно осуществляться от источников переменного тока напряжением (220 ±22) В. частотой 50 Гц ± 2 % (ГОСТ 29322-2014). Допускается электропитание от сетей постоянного тока напряжением (24 ±4) В. (48 ±12) В. </w:t>
      </w:r>
    </w:p>
    <w:p w:rsidR="00A1702D" w:rsidRDefault="00B90612">
      <w:pPr>
        <w:ind w:firstLine="567"/>
        <w:jc w:val="both"/>
        <w:rPr>
          <w:bCs/>
          <w:color w:val="000000"/>
        </w:rPr>
      </w:pPr>
      <w:r>
        <w:rPr>
          <w:bCs/>
          <w:color w:val="000000"/>
        </w:rPr>
        <w:t>Каждое оконечное средство должно запитываться однофазным напряжением 220 В частотой 50 Гц через сетевые розетки с заземляющим контактом или автоматический выключатель.</w:t>
      </w:r>
    </w:p>
    <w:p w:rsidR="00A1702D" w:rsidRDefault="00B90612">
      <w:pPr>
        <w:ind w:firstLine="709"/>
        <w:jc w:val="both"/>
        <w:rPr>
          <w:bCs/>
          <w:color w:val="000000"/>
        </w:rPr>
      </w:pPr>
      <w:r>
        <w:rPr>
          <w:bCs/>
          <w:color w:val="000000"/>
        </w:rPr>
        <w:t xml:space="preserve">Подключение к электропитанию оконечных средств оповещения осуществляет ответственный за подключение электроприемников к сети электропитания собственников объектов т.к. согласно пункта 12 Правил технической эксплуатации электроустановок потребителей электрической энергии (утверждены приказом Минэнерго от 12 августа 2022 г. № 811) все переключения в электроустановках имеют право выполнять только определенные собственником работники.  </w:t>
      </w:r>
    </w:p>
    <w:p w:rsidR="00A1702D" w:rsidRDefault="00B90612">
      <w:pPr>
        <w:pStyle w:val="a"/>
        <w:widowControl/>
        <w:numPr>
          <w:ilvl w:val="1"/>
          <w:numId w:val="2"/>
        </w:numPr>
        <w:tabs>
          <w:tab w:val="left" w:pos="993"/>
        </w:tabs>
        <w:suppressAutoHyphens w:val="0"/>
        <w:ind w:left="0" w:firstLine="567"/>
        <w:rPr>
          <w:b/>
          <w:sz w:val="24"/>
          <w:szCs w:val="24"/>
        </w:rPr>
      </w:pPr>
      <w:r>
        <w:rPr>
          <w:b/>
          <w:sz w:val="24"/>
          <w:szCs w:val="24"/>
        </w:rPr>
        <w:t>Требования по связи</w:t>
      </w:r>
    </w:p>
    <w:p w:rsidR="00A1702D" w:rsidRDefault="00B90612">
      <w:pPr>
        <w:ind w:firstLine="567"/>
        <w:jc w:val="both"/>
      </w:pPr>
      <w:r>
        <w:t>Система связи должна обеспечивать:</w:t>
      </w:r>
    </w:p>
    <w:p w:rsidR="00A1702D" w:rsidRDefault="00B90612">
      <w:pPr>
        <w:pStyle w:val="aa"/>
        <w:numPr>
          <w:ilvl w:val="0"/>
          <w:numId w:val="4"/>
        </w:numPr>
        <w:tabs>
          <w:tab w:val="left" w:pos="709"/>
        </w:tabs>
        <w:ind w:left="0" w:firstLine="567"/>
        <w:jc w:val="both"/>
      </w:pPr>
      <w:r>
        <w:t>осуществление связи пункта управления и оконечных устройств в автоматическом режиме по IP-протоколам в сети передачи данных (интерфейс Ethernet) сети связи IP L3 VPN ПАО «Ростелеком»;</w:t>
      </w:r>
    </w:p>
    <w:p w:rsidR="00A1702D" w:rsidRDefault="00B90612">
      <w:pPr>
        <w:pStyle w:val="aa"/>
        <w:numPr>
          <w:ilvl w:val="0"/>
          <w:numId w:val="4"/>
        </w:numPr>
        <w:tabs>
          <w:tab w:val="left" w:pos="709"/>
        </w:tabs>
        <w:ind w:left="0" w:firstLine="567"/>
        <w:jc w:val="both"/>
      </w:pPr>
      <w:r>
        <w:t>коэффициент готовности одного направления оповещения для муниципального уровня должен составлять не менее 0,99;</w:t>
      </w:r>
    </w:p>
    <w:p w:rsidR="00A1702D" w:rsidRDefault="00B90612">
      <w:pPr>
        <w:pStyle w:val="aa"/>
        <w:numPr>
          <w:ilvl w:val="0"/>
          <w:numId w:val="4"/>
        </w:numPr>
        <w:tabs>
          <w:tab w:val="left" w:pos="709"/>
        </w:tabs>
        <w:ind w:left="0" w:firstLine="567"/>
        <w:jc w:val="both"/>
        <w:rPr>
          <w:bCs/>
          <w:color w:val="000000"/>
        </w:rPr>
      </w:pPr>
      <w:r>
        <w:t>вероятность живучести одного направления оповещения для объектового и муниципального уровня должна составлять не   менее 0,95.</w:t>
      </w:r>
    </w:p>
    <w:p w:rsidR="00A1702D" w:rsidRDefault="00B90612">
      <w:pPr>
        <w:pStyle w:val="a"/>
        <w:widowControl/>
        <w:numPr>
          <w:ilvl w:val="1"/>
          <w:numId w:val="21"/>
        </w:numPr>
        <w:tabs>
          <w:tab w:val="left" w:pos="1134"/>
        </w:tabs>
        <w:ind w:left="0" w:firstLine="710"/>
        <w:contextualSpacing/>
        <w:rPr>
          <w:b/>
          <w:bCs/>
          <w:color w:val="00000A"/>
          <w:kern w:val="2"/>
          <w:sz w:val="24"/>
          <w:szCs w:val="24"/>
          <w:lang w:val="ru-RU" w:eastAsia="zh-CN"/>
        </w:rPr>
      </w:pPr>
      <w:r>
        <w:rPr>
          <w:b/>
          <w:bCs/>
          <w:color w:val="00000A"/>
          <w:kern w:val="2"/>
          <w:sz w:val="24"/>
          <w:szCs w:val="24"/>
          <w:lang w:val="ru-RU" w:eastAsia="zh-CN"/>
        </w:rPr>
        <w:lastRenderedPageBreak/>
        <w:t>Конструктивные требования, требования по стандартизации и унификации</w:t>
      </w:r>
    </w:p>
    <w:p w:rsidR="00A1702D" w:rsidRDefault="00B90612">
      <w:pPr>
        <w:ind w:firstLine="567"/>
        <w:jc w:val="both"/>
      </w:pPr>
      <w:r>
        <w:t>Стандартизация и унификация оконечных средств оповещения должна обеспечиваться посредством использования серийно выпускаемых средств оповещения повышенной надежности и коммуникационного оборудования.</w:t>
      </w:r>
    </w:p>
    <w:p w:rsidR="00A1702D" w:rsidRDefault="00B90612">
      <w:pPr>
        <w:ind w:firstLine="709"/>
        <w:jc w:val="both"/>
        <w:rPr>
          <w:b/>
        </w:rPr>
      </w:pPr>
      <w:r>
        <w:t>В оборудовании должны быть применены стандартные детали, освоенные производством (детали базовых конструкций).</w:t>
      </w:r>
    </w:p>
    <w:p w:rsidR="00A1702D" w:rsidRDefault="00B90612">
      <w:pPr>
        <w:pStyle w:val="a"/>
        <w:widowControl/>
        <w:numPr>
          <w:ilvl w:val="1"/>
          <w:numId w:val="22"/>
        </w:numPr>
        <w:tabs>
          <w:tab w:val="left" w:pos="710"/>
          <w:tab w:val="left" w:pos="1134"/>
        </w:tabs>
        <w:suppressAutoHyphens w:val="0"/>
        <w:ind w:left="710"/>
        <w:rPr>
          <w:b/>
          <w:sz w:val="24"/>
          <w:szCs w:val="24"/>
          <w:lang w:val="ru-RU"/>
        </w:rPr>
      </w:pPr>
      <w:r>
        <w:rPr>
          <w:b/>
          <w:sz w:val="24"/>
          <w:szCs w:val="24"/>
          <w:lang w:val="ru-RU"/>
        </w:rPr>
        <w:t>Требования по надежности и стойкости к внешним воздействиям</w:t>
      </w:r>
    </w:p>
    <w:p w:rsidR="00A1702D" w:rsidRDefault="00B90612">
      <w:pPr>
        <w:ind w:firstLine="567"/>
        <w:jc w:val="both"/>
      </w:pPr>
      <w:r>
        <w:t>Требования по надежности живучести и стойкости к внешним воздействиям оконечных средств оповещения:</w:t>
      </w:r>
    </w:p>
    <w:p w:rsidR="00A1702D" w:rsidRDefault="00B90612">
      <w:pPr>
        <w:pStyle w:val="aa"/>
        <w:numPr>
          <w:ilvl w:val="0"/>
          <w:numId w:val="4"/>
        </w:numPr>
        <w:tabs>
          <w:tab w:val="left" w:pos="709"/>
        </w:tabs>
        <w:ind w:left="0" w:firstLine="567"/>
        <w:jc w:val="both"/>
      </w:pPr>
      <w:r>
        <w:t>оконечное средство речевого оповещения, эксплуатируемое в стационарном отапливаемом помещении, защитных сооружениях, должны функционировать:</w:t>
      </w:r>
    </w:p>
    <w:p w:rsidR="00A1702D" w:rsidRDefault="00B90612">
      <w:pPr>
        <w:pStyle w:val="aa"/>
        <w:numPr>
          <w:ilvl w:val="0"/>
          <w:numId w:val="5"/>
        </w:numPr>
        <w:ind w:left="0" w:firstLine="567"/>
        <w:jc w:val="both"/>
      </w:pPr>
      <w:r>
        <w:t>при температуре от плюс 5°С до плюс 35 °С;</w:t>
      </w:r>
    </w:p>
    <w:p w:rsidR="00A1702D" w:rsidRDefault="00B90612">
      <w:pPr>
        <w:pStyle w:val="aa"/>
        <w:numPr>
          <w:ilvl w:val="0"/>
          <w:numId w:val="5"/>
        </w:numPr>
        <w:ind w:left="0" w:firstLine="567"/>
        <w:jc w:val="both"/>
      </w:pPr>
      <w:r>
        <w:t>относительной влажности 45 до 75 %;</w:t>
      </w:r>
    </w:p>
    <w:p w:rsidR="00A1702D" w:rsidRDefault="00B90612">
      <w:pPr>
        <w:pStyle w:val="aa"/>
        <w:numPr>
          <w:ilvl w:val="0"/>
          <w:numId w:val="5"/>
        </w:numPr>
        <w:ind w:left="0" w:firstLine="567"/>
        <w:jc w:val="both"/>
      </w:pPr>
      <w:r>
        <w:t>атмосферном давлении от 86 до 106 кПа;</w:t>
      </w:r>
    </w:p>
    <w:p w:rsidR="00A1702D" w:rsidRDefault="00B90612">
      <w:pPr>
        <w:jc w:val="both"/>
      </w:pPr>
      <w:r>
        <w:t xml:space="preserve">           -  оконечное средство речевого оповещения, эксплуатируемое на открытом пространстве, должно обладать долговечностью и сохраняемостью при воздействии агрессивных и других специальных сред. Необходимый уровень устойчивости функционирования к внешним воздействующим факторам при размещении на открытом пространстве необходимо обеспечивать:</w:t>
      </w:r>
    </w:p>
    <w:p w:rsidR="00A1702D" w:rsidRDefault="00B90612">
      <w:pPr>
        <w:pStyle w:val="aa"/>
        <w:numPr>
          <w:ilvl w:val="0"/>
          <w:numId w:val="5"/>
        </w:numPr>
        <w:ind w:left="0" w:firstLine="567"/>
        <w:jc w:val="both"/>
      </w:pPr>
      <w:r>
        <w:t>при температуре от минус 50°С до плюс 50 °С;</w:t>
      </w:r>
    </w:p>
    <w:p w:rsidR="00A1702D" w:rsidRDefault="00B90612">
      <w:pPr>
        <w:pStyle w:val="aa"/>
        <w:numPr>
          <w:ilvl w:val="0"/>
          <w:numId w:val="5"/>
        </w:numPr>
        <w:ind w:left="0" w:firstLine="567"/>
        <w:jc w:val="both"/>
      </w:pPr>
      <w:r>
        <w:t>относительной влажности от 30 до 95 %;</w:t>
      </w:r>
    </w:p>
    <w:p w:rsidR="00A1702D" w:rsidRDefault="00B90612">
      <w:pPr>
        <w:pStyle w:val="aa"/>
        <w:numPr>
          <w:ilvl w:val="0"/>
          <w:numId w:val="5"/>
        </w:numPr>
        <w:ind w:left="0" w:firstLine="567"/>
        <w:jc w:val="both"/>
      </w:pPr>
      <w:r>
        <w:t>атмосферном давлении от 86 до 106 кПа;</w:t>
      </w:r>
    </w:p>
    <w:p w:rsidR="00A1702D" w:rsidRDefault="00B90612">
      <w:pPr>
        <w:pStyle w:val="aa"/>
        <w:numPr>
          <w:ilvl w:val="0"/>
          <w:numId w:val="5"/>
        </w:numPr>
        <w:ind w:left="0" w:firstLine="567"/>
        <w:jc w:val="both"/>
      </w:pPr>
      <w:r>
        <w:t>степени защиты - не ниже IP65 по ГОСТ 14254.</w:t>
      </w:r>
    </w:p>
    <w:p w:rsidR="00A1702D" w:rsidRDefault="00B90612">
      <w:pPr>
        <w:pStyle w:val="aa"/>
        <w:numPr>
          <w:ilvl w:val="0"/>
          <w:numId w:val="4"/>
        </w:numPr>
        <w:tabs>
          <w:tab w:val="left" w:pos="709"/>
        </w:tabs>
        <w:ind w:left="0" w:firstLine="567"/>
        <w:jc w:val="both"/>
      </w:pPr>
      <w:r>
        <w:t>возможность круглосуточной работы.</w:t>
      </w:r>
    </w:p>
    <w:p w:rsidR="00A1702D" w:rsidRDefault="00B90612">
      <w:pPr>
        <w:ind w:firstLine="567"/>
        <w:jc w:val="both"/>
      </w:pPr>
      <w:r>
        <w:t>Оконечное средство речевого оповещения должно соответствовать следующим параметрам:</w:t>
      </w:r>
    </w:p>
    <w:p w:rsidR="00A1702D" w:rsidRDefault="00B90612">
      <w:pPr>
        <w:pStyle w:val="aa"/>
        <w:numPr>
          <w:ilvl w:val="0"/>
          <w:numId w:val="4"/>
        </w:numPr>
        <w:tabs>
          <w:tab w:val="left" w:pos="709"/>
        </w:tabs>
        <w:ind w:left="0" w:firstLine="567"/>
        <w:jc w:val="both"/>
      </w:pPr>
      <w:r>
        <w:t>показатель надежность (коэффициент готовности одного направления оповещения) для муниципального уровня – Кг должен быть не менее 0,99;</w:t>
      </w:r>
    </w:p>
    <w:p w:rsidR="00A1702D" w:rsidRDefault="00B90612">
      <w:pPr>
        <w:pStyle w:val="aa"/>
        <w:numPr>
          <w:ilvl w:val="0"/>
          <w:numId w:val="4"/>
        </w:numPr>
        <w:tabs>
          <w:tab w:val="left" w:pos="709"/>
        </w:tabs>
        <w:ind w:left="0" w:firstLine="567"/>
        <w:jc w:val="both"/>
      </w:pPr>
      <w:r>
        <w:t>показатель живучесть (вероятность живучести одного направления оповещения) муниципального уровня - Рж не менее 0,95;</w:t>
      </w:r>
    </w:p>
    <w:p w:rsidR="00A1702D" w:rsidRDefault="00B90612">
      <w:pPr>
        <w:pStyle w:val="aa"/>
        <w:numPr>
          <w:ilvl w:val="0"/>
          <w:numId w:val="4"/>
        </w:numPr>
        <w:tabs>
          <w:tab w:val="left" w:pos="709"/>
        </w:tabs>
        <w:ind w:left="0" w:firstLine="567"/>
        <w:jc w:val="both"/>
      </w:pPr>
      <w:r>
        <w:t>средний срок службы до списания – не менее 12 лет;</w:t>
      </w:r>
    </w:p>
    <w:p w:rsidR="00A1702D" w:rsidRDefault="00B90612">
      <w:pPr>
        <w:pStyle w:val="aa"/>
        <w:numPr>
          <w:ilvl w:val="0"/>
          <w:numId w:val="4"/>
        </w:numPr>
        <w:tabs>
          <w:tab w:val="left" w:pos="709"/>
        </w:tabs>
        <w:ind w:left="0" w:firstLine="567"/>
        <w:jc w:val="both"/>
      </w:pPr>
      <w:r>
        <w:t>средняя наработка на отказ - не менее 30000 ч.</w:t>
      </w:r>
    </w:p>
    <w:p w:rsidR="00A1702D" w:rsidRDefault="00B90612">
      <w:pPr>
        <w:pStyle w:val="a"/>
        <w:widowControl/>
        <w:numPr>
          <w:ilvl w:val="1"/>
          <w:numId w:val="23"/>
        </w:numPr>
        <w:tabs>
          <w:tab w:val="left" w:pos="710"/>
          <w:tab w:val="left" w:pos="1134"/>
        </w:tabs>
        <w:suppressAutoHyphens w:val="0"/>
        <w:ind w:left="710"/>
        <w:rPr>
          <w:b/>
          <w:sz w:val="24"/>
          <w:szCs w:val="24"/>
          <w:lang w:val="ru-RU"/>
        </w:rPr>
      </w:pPr>
      <w:r>
        <w:rPr>
          <w:b/>
          <w:sz w:val="24"/>
          <w:szCs w:val="24"/>
          <w:lang w:val="ru-RU"/>
        </w:rPr>
        <w:t>Требования по эксплуатации, техобслуживанию и ремонту</w:t>
      </w:r>
    </w:p>
    <w:p w:rsidR="00A1702D" w:rsidRDefault="00B90612">
      <w:pPr>
        <w:ind w:firstLine="567"/>
        <w:jc w:val="both"/>
      </w:pPr>
      <w:r>
        <w:t>Используемые Поставщиком материалы и оборудование должны быть новыми, ранее не использованными.</w:t>
      </w:r>
    </w:p>
    <w:p w:rsidR="00A1702D" w:rsidRDefault="00B90612">
      <w:pPr>
        <w:ind w:firstLine="567"/>
        <w:jc w:val="both"/>
      </w:pPr>
      <w:r>
        <w:t>Оборудование должно обеспечивать удобство эксплуатации, технического обслуживания и ремонта.</w:t>
      </w:r>
    </w:p>
    <w:p w:rsidR="00A1702D" w:rsidRDefault="00B90612">
      <w:pPr>
        <w:ind w:firstLine="567"/>
        <w:jc w:val="both"/>
      </w:pPr>
      <w:r>
        <w:t>В оборудовании должна быть предусмотрена возможность индикации основных режимов работы.</w:t>
      </w:r>
    </w:p>
    <w:p w:rsidR="00A1702D" w:rsidRDefault="00B90612">
      <w:pPr>
        <w:tabs>
          <w:tab w:val="left" w:pos="709"/>
        </w:tabs>
        <w:ind w:firstLine="567"/>
        <w:jc w:val="both"/>
        <w:rPr>
          <w:bCs/>
        </w:rPr>
      </w:pPr>
      <w:r>
        <w:rPr>
          <w:bCs/>
        </w:rPr>
        <w:t>Оборудование должно обеспечить круглосуточную работу и постоянную готовность к использованию.</w:t>
      </w:r>
    </w:p>
    <w:p w:rsidR="00A1702D" w:rsidRDefault="00B90612">
      <w:pPr>
        <w:pStyle w:val="a"/>
        <w:widowControl/>
        <w:numPr>
          <w:ilvl w:val="1"/>
          <w:numId w:val="24"/>
        </w:numPr>
        <w:tabs>
          <w:tab w:val="left" w:pos="710"/>
          <w:tab w:val="left" w:pos="1134"/>
        </w:tabs>
        <w:suppressAutoHyphens w:val="0"/>
        <w:ind w:left="710"/>
        <w:rPr>
          <w:b/>
          <w:bCs/>
          <w:sz w:val="24"/>
          <w:szCs w:val="24"/>
          <w:lang w:val="ru-RU"/>
        </w:rPr>
      </w:pPr>
      <w:r>
        <w:rPr>
          <w:b/>
          <w:bCs/>
          <w:sz w:val="24"/>
          <w:szCs w:val="24"/>
          <w:lang w:val="ru-RU"/>
        </w:rPr>
        <w:t>Требования к размещению технических средств оповещения</w:t>
      </w:r>
    </w:p>
    <w:p w:rsidR="00A1702D" w:rsidRDefault="00B90612">
      <w:pPr>
        <w:pStyle w:val="aa"/>
        <w:ind w:hanging="153"/>
        <w:jc w:val="both"/>
      </w:pPr>
      <w:r>
        <w:t>Требования к размещению технических средств оповещения:</w:t>
      </w:r>
    </w:p>
    <w:p w:rsidR="00A1702D" w:rsidRDefault="00B90612">
      <w:pPr>
        <w:pStyle w:val="aa"/>
        <w:ind w:left="0" w:firstLine="567"/>
        <w:jc w:val="both"/>
      </w:pPr>
      <w:r>
        <w:lastRenderedPageBreak/>
        <w:t>технические средства оповещения размещаются на объектах в специально выделенных помещениях (зданиях, сооружениях) с ограниченным доступом людей и оснащенных охранной и соответствующей противопожарной сигнализацией, либо в помещениях с постоянным нахождением дежурного (дежурно-диспетчерского) персонала организации;</w:t>
      </w:r>
    </w:p>
    <w:p w:rsidR="00A1702D" w:rsidRDefault="00B90612">
      <w:pPr>
        <w:pStyle w:val="aa"/>
        <w:ind w:hanging="153"/>
        <w:jc w:val="both"/>
      </w:pPr>
      <w:r>
        <w:t>размещение и функционирование должно быть безопасным для жизнедеятельности людей;</w:t>
      </w:r>
    </w:p>
    <w:p w:rsidR="00A1702D" w:rsidRDefault="00B90612">
      <w:pPr>
        <w:pStyle w:val="aa"/>
        <w:ind w:left="0" w:firstLine="567"/>
        <w:jc w:val="both"/>
      </w:pPr>
      <w:r>
        <w:t>установка всех технических средств оповещения должна осуществляться в местах, не подверженных воздействию последствий чрезвычайных ситуаций природного и техногенного характера, в том числе быстро развивающихся.</w:t>
      </w:r>
    </w:p>
    <w:p w:rsidR="00A1702D" w:rsidRDefault="00B90612">
      <w:pPr>
        <w:ind w:firstLine="567"/>
        <w:contextualSpacing/>
        <w:jc w:val="both"/>
      </w:pPr>
      <w:r>
        <w:rPr>
          <w:kern w:val="2"/>
          <w:lang w:eastAsia="zh-CN"/>
        </w:rPr>
        <w:t>места размещения оконечных средств оповещения уточнить при проведении обследования объектов и все изменения отразить в проектной документации.</w:t>
      </w:r>
    </w:p>
    <w:p w:rsidR="00A1702D" w:rsidRDefault="00B90612">
      <w:pPr>
        <w:pStyle w:val="a"/>
        <w:widowControl/>
        <w:numPr>
          <w:ilvl w:val="1"/>
          <w:numId w:val="25"/>
        </w:numPr>
        <w:tabs>
          <w:tab w:val="left" w:pos="710"/>
          <w:tab w:val="left" w:pos="1134"/>
        </w:tabs>
        <w:suppressAutoHyphens w:val="0"/>
        <w:ind w:left="710"/>
        <w:jc w:val="left"/>
        <w:rPr>
          <w:b/>
          <w:bCs/>
          <w:color w:val="00000A"/>
          <w:kern w:val="2"/>
          <w:sz w:val="24"/>
          <w:szCs w:val="24"/>
          <w:lang w:eastAsia="zh-CN"/>
        </w:rPr>
      </w:pPr>
      <w:r>
        <w:rPr>
          <w:b/>
          <w:bCs/>
          <w:color w:val="00000A"/>
          <w:kern w:val="2"/>
          <w:sz w:val="24"/>
          <w:szCs w:val="24"/>
          <w:lang w:eastAsia="zh-CN"/>
        </w:rPr>
        <w:t>Требования</w:t>
      </w:r>
      <w:r>
        <w:rPr>
          <w:b/>
          <w:color w:val="00000A"/>
          <w:kern w:val="2"/>
          <w:sz w:val="24"/>
          <w:szCs w:val="24"/>
          <w:lang w:eastAsia="zh-CN"/>
        </w:rPr>
        <w:t xml:space="preserve"> </w:t>
      </w:r>
      <w:r>
        <w:rPr>
          <w:b/>
          <w:bCs/>
          <w:color w:val="00000A"/>
          <w:kern w:val="2"/>
          <w:sz w:val="24"/>
          <w:szCs w:val="24"/>
          <w:lang w:eastAsia="zh-CN"/>
        </w:rPr>
        <w:t>по транспортабельности.</w:t>
      </w:r>
    </w:p>
    <w:p w:rsidR="00A1702D" w:rsidRDefault="00B90612">
      <w:pPr>
        <w:tabs>
          <w:tab w:val="left" w:pos="1800"/>
        </w:tabs>
        <w:ind w:firstLine="709"/>
        <w:jc w:val="both"/>
      </w:pPr>
      <w:r>
        <w:t>Оборудование должно быть устойчиво к транспортированию автомобильным, железнодорожным, водным и авиационным транспортом в средних условиях по ГОСТ В 9.001-72.2.11.2.11 2.11.</w:t>
      </w:r>
    </w:p>
    <w:p w:rsidR="00A1702D" w:rsidRDefault="00B90612">
      <w:pPr>
        <w:pStyle w:val="a"/>
        <w:widowControl/>
        <w:numPr>
          <w:ilvl w:val="1"/>
          <w:numId w:val="2"/>
        </w:numPr>
        <w:tabs>
          <w:tab w:val="left" w:pos="1134"/>
        </w:tabs>
        <w:suppressAutoHyphens w:val="0"/>
        <w:ind w:left="710"/>
        <w:rPr>
          <w:b/>
          <w:color w:val="00000A"/>
          <w:kern w:val="2"/>
          <w:sz w:val="24"/>
          <w:szCs w:val="24"/>
          <w:lang w:eastAsia="zh-CN"/>
        </w:rPr>
      </w:pPr>
      <w:r>
        <w:rPr>
          <w:b/>
          <w:color w:val="00000A"/>
          <w:kern w:val="2"/>
          <w:sz w:val="24"/>
          <w:szCs w:val="24"/>
          <w:lang w:eastAsia="zh-CN"/>
        </w:rPr>
        <w:t>Гарантийные обязательства.</w:t>
      </w:r>
    </w:p>
    <w:p w:rsidR="00A1702D" w:rsidRDefault="00B90612">
      <w:pPr>
        <w:tabs>
          <w:tab w:val="left" w:pos="720"/>
        </w:tabs>
        <w:ind w:firstLine="567"/>
        <w:jc w:val="both"/>
      </w:pPr>
      <w:r>
        <w:t>Гарантия на поставляемое основное оборудование и работы составляет не менее 12 месяцев. Гарантийный срок рассчитывается с момента документа о приемке. Расходы на гарантийный ремонт оборудования (в течение срока действия гарантии) осуществляются за счет средств Поставщика. Объем предоставления гарантии качества оборудования распространяется на весь объем поставляемого оборудования. В случае необходимости доставки оборудования в сервисный центр Поставщика, эту доставку обеспечивает Поставщик, а также оплачивает все транспортные расходы.</w:t>
      </w:r>
    </w:p>
    <w:p w:rsidR="00A1702D" w:rsidRDefault="00B90612">
      <w:pPr>
        <w:tabs>
          <w:tab w:val="left" w:pos="720"/>
        </w:tabs>
        <w:ind w:firstLine="709"/>
        <w:jc w:val="both"/>
      </w:pPr>
      <w:r>
        <w:t>Объем предоставления гарантии качества оборудования распространяется на весь объем поставляемого оборудования.</w:t>
      </w:r>
    </w:p>
    <w:p w:rsidR="00A1702D" w:rsidRDefault="00B90612">
      <w:pPr>
        <w:pStyle w:val="af3"/>
        <w:numPr>
          <w:ilvl w:val="0"/>
          <w:numId w:val="2"/>
        </w:numPr>
        <w:tabs>
          <w:tab w:val="left" w:pos="0"/>
          <w:tab w:val="left" w:pos="993"/>
        </w:tabs>
        <w:ind w:firstLine="709"/>
        <w:jc w:val="both"/>
        <w:rPr>
          <w:color w:val="00000A"/>
          <w:kern w:val="2"/>
          <w:sz w:val="24"/>
          <w:lang w:eastAsia="zh-CN"/>
        </w:rPr>
      </w:pPr>
      <w:r>
        <w:rPr>
          <w:color w:val="00000A"/>
          <w:kern w:val="2"/>
          <w:sz w:val="24"/>
          <w:lang w:eastAsia="zh-CN"/>
        </w:rPr>
        <w:t>Требования к Поставщику.</w:t>
      </w:r>
    </w:p>
    <w:p w:rsidR="00A1702D" w:rsidRDefault="00B90612">
      <w:pPr>
        <w:ind w:firstLine="709"/>
        <w:jc w:val="both"/>
        <w:rPr>
          <w:color w:val="000000"/>
        </w:rPr>
      </w:pPr>
      <w:r>
        <w:rPr>
          <w:color w:val="000000"/>
        </w:rPr>
        <w:t xml:space="preserve">Установка оборудования, пуско-наладочные работы и ввод оборудования в эксплуатацию должны осуществляться без снижения готовности действующих систем оповещения. </w:t>
      </w:r>
    </w:p>
    <w:p w:rsidR="00A1702D" w:rsidRDefault="00B90612">
      <w:pPr>
        <w:ind w:firstLine="709"/>
        <w:jc w:val="both"/>
        <w:rPr>
          <w:color w:val="000000"/>
        </w:rPr>
      </w:pPr>
      <w:r>
        <w:rPr>
          <w:color w:val="000000"/>
        </w:rPr>
        <w:t xml:space="preserve">Поставляемое оборудование должно соответствовать характеристикам. </w:t>
      </w:r>
    </w:p>
    <w:p w:rsidR="00A1702D" w:rsidRDefault="00B90612">
      <w:pPr>
        <w:ind w:firstLine="709"/>
        <w:jc w:val="both"/>
        <w:rPr>
          <w:color w:val="000000"/>
        </w:rPr>
      </w:pPr>
      <w:r>
        <w:rPr>
          <w:color w:val="000000"/>
        </w:rPr>
        <w:t>Проведение работ по пуско-наладке, настройке, запуску с ПУ РСОН и ЕДДС МО Чувашской Республики (КТСО П-166М, версия ПО 756.117.746. и выше) должен осуществлять авторизированный представитель, работники которого прошли соответствующий инструктаж и имеют свидетельство от организации-изготовителя КТСО П-166М (согласно эксплуатационной документации)</w:t>
      </w:r>
    </w:p>
    <w:p w:rsidR="00A1702D" w:rsidRDefault="00B90612">
      <w:pPr>
        <w:pStyle w:val="af3"/>
        <w:numPr>
          <w:ilvl w:val="0"/>
          <w:numId w:val="2"/>
        </w:numPr>
        <w:tabs>
          <w:tab w:val="left" w:pos="0"/>
          <w:tab w:val="left" w:pos="993"/>
        </w:tabs>
        <w:ind w:firstLine="709"/>
        <w:jc w:val="both"/>
        <w:rPr>
          <w:color w:val="00000A"/>
          <w:kern w:val="2"/>
          <w:sz w:val="24"/>
          <w:lang w:eastAsia="zh-CN"/>
        </w:rPr>
      </w:pPr>
      <w:r>
        <w:rPr>
          <w:color w:val="00000A"/>
          <w:kern w:val="2"/>
          <w:sz w:val="24"/>
          <w:lang w:eastAsia="zh-CN"/>
        </w:rPr>
        <w:t>Требования к Заказчику.</w:t>
      </w:r>
    </w:p>
    <w:p w:rsidR="00A1702D" w:rsidRDefault="00B90612">
      <w:pPr>
        <w:tabs>
          <w:tab w:val="left" w:pos="720"/>
        </w:tabs>
        <w:ind w:firstLine="709"/>
        <w:jc w:val="both"/>
      </w:pPr>
      <w:r>
        <w:t xml:space="preserve">Заказчик обязан обеспечить допуск сотрудников Поставщика на объекты для установки поставляемого оборудования и предоставить места для установки. </w:t>
      </w:r>
    </w:p>
    <w:p w:rsidR="00A1702D" w:rsidRDefault="00B90612">
      <w:pPr>
        <w:tabs>
          <w:tab w:val="left" w:pos="720"/>
        </w:tabs>
        <w:ind w:firstLine="709"/>
        <w:jc w:val="both"/>
      </w:pPr>
      <w:r>
        <w:t>Заказчик на любом этапе работ вправе запросить любые документы, подтверждающие соответствие предлагаемого оборудования и материалов требованиям, установленным в Российской Федерации.</w:t>
      </w:r>
    </w:p>
    <w:p w:rsidR="00A1702D" w:rsidRDefault="00B90612">
      <w:pPr>
        <w:tabs>
          <w:tab w:val="left" w:pos="720"/>
        </w:tabs>
        <w:ind w:firstLine="709"/>
        <w:jc w:val="both"/>
      </w:pPr>
      <w:r>
        <w:t>Заказчик вправе во всякое время проверять ход и качество работы, выполняемой Поставщиком, не вмешиваясь в его деятельность.</w:t>
      </w:r>
    </w:p>
    <w:p w:rsidR="00A1702D" w:rsidRDefault="00B90612">
      <w:pPr>
        <w:tabs>
          <w:tab w:val="left" w:pos="720"/>
        </w:tabs>
        <w:ind w:firstLine="709"/>
        <w:jc w:val="both"/>
      </w:pPr>
      <w:r>
        <w:t>Заказчик вправе остановить работы в случае угрозы срыва сроков выполнения Договора или, если во время выполнения работы станет очевидным, что она не будет выполнена надлежащим образом.</w:t>
      </w:r>
    </w:p>
    <w:p w:rsidR="00A1702D" w:rsidRDefault="00B90612">
      <w:pPr>
        <w:pStyle w:val="af3"/>
        <w:numPr>
          <w:ilvl w:val="0"/>
          <w:numId w:val="2"/>
        </w:numPr>
        <w:tabs>
          <w:tab w:val="left" w:pos="0"/>
          <w:tab w:val="left" w:pos="993"/>
        </w:tabs>
        <w:ind w:firstLine="709"/>
        <w:jc w:val="both"/>
        <w:rPr>
          <w:color w:val="00000A"/>
          <w:kern w:val="2"/>
          <w:sz w:val="24"/>
          <w:lang w:eastAsia="zh-CN"/>
        </w:rPr>
      </w:pPr>
      <w:r>
        <w:rPr>
          <w:color w:val="00000A"/>
          <w:kern w:val="2"/>
          <w:sz w:val="24"/>
          <w:lang w:eastAsia="zh-CN"/>
        </w:rPr>
        <w:t>Требования к Документации.</w:t>
      </w:r>
    </w:p>
    <w:p w:rsidR="00A1702D" w:rsidRDefault="00B90612">
      <w:pPr>
        <w:ind w:firstLine="709"/>
        <w:jc w:val="both"/>
      </w:pPr>
      <w:r>
        <w:lastRenderedPageBreak/>
        <w:t>В комплекте с поставляемым оборудованием должна поставляться эксплуатационная документация, состоящая из документов в текстовой форме.</w:t>
      </w:r>
    </w:p>
    <w:p w:rsidR="00A1702D" w:rsidRDefault="00B90612">
      <w:pPr>
        <w:ind w:firstLine="709"/>
        <w:jc w:val="both"/>
      </w:pPr>
      <w:r>
        <w:t>В комплект документации, поставляемой с оборудованием, должны входить:</w:t>
      </w:r>
    </w:p>
    <w:p w:rsidR="00A1702D" w:rsidRDefault="00B90612">
      <w:pPr>
        <w:ind w:firstLine="709"/>
        <w:jc w:val="both"/>
      </w:pPr>
      <w:r>
        <w:t>Руководства по эксплуатации;</w:t>
      </w:r>
    </w:p>
    <w:p w:rsidR="00A1702D" w:rsidRDefault="00B90612">
      <w:pPr>
        <w:ind w:firstLine="709"/>
        <w:jc w:val="both"/>
      </w:pPr>
      <w:r>
        <w:t>формуляры (паспорта).</w:t>
      </w:r>
    </w:p>
    <w:p w:rsidR="00A1702D" w:rsidRDefault="00B90612">
      <w:pPr>
        <w:ind w:firstLine="709"/>
        <w:jc w:val="both"/>
      </w:pPr>
      <w:r>
        <w:t xml:space="preserve">Эксплуатационная документация должна быть на русском языке. </w:t>
      </w:r>
    </w:p>
    <w:p w:rsidR="00A1702D" w:rsidRDefault="00B90612">
      <w:pPr>
        <w:ind w:firstLine="709"/>
        <w:jc w:val="both"/>
      </w:pPr>
      <w:r>
        <w:t>Во всех случаях недопустимо предоставление документации в виде копий Поставщика.</w:t>
      </w:r>
    </w:p>
    <w:p w:rsidR="00A1702D" w:rsidRDefault="00B90612">
      <w:pPr>
        <w:ind w:firstLine="709"/>
        <w:jc w:val="both"/>
      </w:pPr>
      <w:r>
        <w:t>Документация на поставляемое оборудование должна отвечать ГОСТ 2.601-2019 ЕСКД. Эксплуатационные документы.</w:t>
      </w:r>
    </w:p>
    <w:p w:rsidR="00A1702D" w:rsidRDefault="00B90612">
      <w:pPr>
        <w:pStyle w:val="af3"/>
        <w:numPr>
          <w:ilvl w:val="0"/>
          <w:numId w:val="2"/>
        </w:numPr>
        <w:tabs>
          <w:tab w:val="left" w:pos="0"/>
          <w:tab w:val="left" w:pos="993"/>
        </w:tabs>
        <w:ind w:firstLine="709"/>
        <w:jc w:val="both"/>
        <w:rPr>
          <w:sz w:val="24"/>
          <w:lang w:eastAsia="zh-CN"/>
        </w:rPr>
      </w:pPr>
      <w:r>
        <w:rPr>
          <w:sz w:val="24"/>
          <w:lang w:eastAsia="zh-CN"/>
        </w:rPr>
        <w:t>Требования к видам обеспечения.</w:t>
      </w:r>
    </w:p>
    <w:p w:rsidR="00A1702D" w:rsidRDefault="00B90612">
      <w:pPr>
        <w:pStyle w:val="a"/>
        <w:widowControl/>
        <w:numPr>
          <w:ilvl w:val="1"/>
          <w:numId w:val="2"/>
        </w:numPr>
        <w:tabs>
          <w:tab w:val="left" w:pos="1134"/>
        </w:tabs>
        <w:suppressAutoHyphens w:val="0"/>
        <w:ind w:left="0" w:firstLine="709"/>
        <w:rPr>
          <w:b/>
          <w:color w:val="00000A"/>
          <w:kern w:val="2"/>
          <w:sz w:val="24"/>
          <w:szCs w:val="24"/>
          <w:lang w:eastAsia="zh-CN"/>
        </w:rPr>
      </w:pPr>
      <w:r>
        <w:rPr>
          <w:b/>
          <w:color w:val="00000A"/>
          <w:kern w:val="2"/>
          <w:sz w:val="24"/>
          <w:szCs w:val="24"/>
          <w:lang w:eastAsia="zh-CN"/>
        </w:rPr>
        <w:t>Техническое обеспечение.</w:t>
      </w:r>
    </w:p>
    <w:p w:rsidR="00A1702D" w:rsidRDefault="00B90612">
      <w:pPr>
        <w:ind w:firstLine="567"/>
        <w:jc w:val="both"/>
      </w:pPr>
      <w:r>
        <w:t>В качестве оконечных средств для МСОН муниципальных округов Чувашской Республики должны использоваться комплексы технических средств оповещения населения, характеристики которых подтверждены приемочными испытаниями, проведенными МЧС России и иметь программное, техническое и организационное сопряжение с оборудованием пункта управления ЕДДС муниципальных округов Чувашской Республики в соответствии с требованиями п.п. 5.1.8 и 5.4.4 ГОСТ Р 42.3.01-2021 г..;.</w:t>
      </w:r>
    </w:p>
    <w:p w:rsidR="00A1702D" w:rsidRDefault="00B90612">
      <w:pPr>
        <w:ind w:firstLine="567"/>
        <w:jc w:val="both"/>
      </w:pPr>
      <w:r>
        <w:t xml:space="preserve">Оконечные средства оповещения населения должны быть серийно выпускаемые в соответствии с ГОСТ Р 15.301-2016. </w:t>
      </w:r>
    </w:p>
    <w:p w:rsidR="00A1702D" w:rsidRDefault="00B90612">
      <w:pPr>
        <w:ind w:firstLine="567"/>
        <w:jc w:val="both"/>
      </w:pPr>
      <w:r>
        <w:t>Оконечные средства оповещения должны соответствовать требованиям ГОСТ Р 42.3.01-2021 "Национальный стандарт Российской Федерации. Гражданская оборона. Технические средства оповещения населения. Классификация. Общие технические требования".</w:t>
      </w:r>
    </w:p>
    <w:p w:rsidR="00A1702D" w:rsidRDefault="00B90612">
      <w:pPr>
        <w:ind w:firstLine="567"/>
        <w:jc w:val="both"/>
        <w:rPr>
          <w:sz w:val="20"/>
          <w:szCs w:val="20"/>
        </w:rPr>
      </w:pPr>
      <w:r>
        <w:t>Технические средства оповещения населения должны быть разработаны под контролем Федерального органа исполнительной власти, осуществляющего государственную политику в области гражданской обороны и уполномоченного для решения задач в области гражданской обороны, прошедших в установленном порядке приемочные испытания и принятых к серийному производству на территории Российской Федерации.</w:t>
      </w:r>
      <w:r>
        <w:rPr>
          <w:sz w:val="20"/>
          <w:szCs w:val="20"/>
        </w:rPr>
        <w:t xml:space="preserve"> </w:t>
      </w:r>
    </w:p>
    <w:p w:rsidR="00A1702D" w:rsidRDefault="00B90612">
      <w:pPr>
        <w:pStyle w:val="a"/>
        <w:widowControl/>
        <w:numPr>
          <w:ilvl w:val="1"/>
          <w:numId w:val="2"/>
        </w:numPr>
        <w:tabs>
          <w:tab w:val="left" w:pos="1134"/>
        </w:tabs>
        <w:suppressAutoHyphens w:val="0"/>
        <w:ind w:left="0" w:firstLine="709"/>
        <w:rPr>
          <w:b/>
          <w:color w:val="00000A"/>
          <w:kern w:val="2"/>
          <w:sz w:val="24"/>
          <w:szCs w:val="24"/>
          <w:lang w:eastAsia="zh-CN"/>
        </w:rPr>
      </w:pPr>
      <w:r>
        <w:rPr>
          <w:b/>
          <w:color w:val="00000A"/>
          <w:kern w:val="2"/>
          <w:sz w:val="24"/>
          <w:szCs w:val="24"/>
          <w:lang w:eastAsia="zh-CN"/>
        </w:rPr>
        <w:t>Организационное обеспечение.</w:t>
      </w:r>
    </w:p>
    <w:p w:rsidR="00A1702D" w:rsidRDefault="00B90612">
      <w:pPr>
        <w:tabs>
          <w:tab w:val="left" w:pos="709"/>
        </w:tabs>
        <w:ind w:firstLine="709"/>
        <w:contextualSpacing/>
        <w:jc w:val="both"/>
        <w:rPr>
          <w:color w:val="00000A"/>
          <w:kern w:val="2"/>
          <w:lang w:eastAsia="zh-CN"/>
        </w:rPr>
      </w:pPr>
      <w:r>
        <w:rPr>
          <w:color w:val="00000A"/>
          <w:kern w:val="2"/>
          <w:lang w:eastAsia="zh-CN"/>
        </w:rPr>
        <w:t>Организационное обеспечение системы должно соответствовать требованиям нормативных документов по регламенту эксплуатации, техническому обслуживанию и сопровождению МСОН муниципальных округов Чувашской Республики.</w:t>
      </w:r>
    </w:p>
    <w:p w:rsidR="00A1702D" w:rsidRDefault="00B90612">
      <w:pPr>
        <w:tabs>
          <w:tab w:val="left" w:pos="709"/>
        </w:tabs>
        <w:ind w:firstLine="709"/>
        <w:contextualSpacing/>
        <w:jc w:val="both"/>
        <w:rPr>
          <w:color w:val="00000A"/>
          <w:kern w:val="2"/>
          <w:lang w:eastAsia="zh-CN"/>
        </w:rPr>
      </w:pPr>
      <w:r>
        <w:rPr>
          <w:color w:val="00000A"/>
          <w:kern w:val="2"/>
          <w:lang w:eastAsia="zh-CN"/>
        </w:rPr>
        <w:t>Эксплуатация и техническое обслуживание системы должны осуществляться службой эксплуатации.</w:t>
      </w:r>
    </w:p>
    <w:p w:rsidR="00A1702D" w:rsidRDefault="00B90612">
      <w:pPr>
        <w:tabs>
          <w:tab w:val="left" w:pos="709"/>
        </w:tabs>
        <w:ind w:firstLine="709"/>
        <w:contextualSpacing/>
        <w:jc w:val="both"/>
        <w:rPr>
          <w:color w:val="00000A"/>
          <w:kern w:val="2"/>
          <w:lang w:eastAsia="zh-CN"/>
        </w:rPr>
      </w:pPr>
      <w:r>
        <w:rPr>
          <w:color w:val="00000A"/>
          <w:kern w:val="2"/>
          <w:lang w:eastAsia="zh-CN"/>
        </w:rPr>
        <w:t>Для обеспечения эксплуатации системы в рамках службы эксплуатации МСОН муниципальных округов Чувашской Республики должны быть разработаны регламенты и должностные инструкции персонала этой службы, определяющие действия обслуживающего персонала в следующих ситуациях:</w:t>
      </w:r>
    </w:p>
    <w:p w:rsidR="00A1702D" w:rsidRDefault="00B90612">
      <w:pPr>
        <w:tabs>
          <w:tab w:val="left" w:pos="709"/>
        </w:tabs>
        <w:ind w:firstLine="709"/>
        <w:contextualSpacing/>
        <w:jc w:val="both"/>
        <w:rPr>
          <w:color w:val="00000A"/>
          <w:kern w:val="2"/>
          <w:lang w:eastAsia="zh-CN"/>
        </w:rPr>
      </w:pPr>
      <w:r>
        <w:rPr>
          <w:color w:val="00000A"/>
          <w:kern w:val="2"/>
          <w:lang w:eastAsia="zh-CN"/>
        </w:rPr>
        <w:t></w:t>
      </w:r>
      <w:r>
        <w:rPr>
          <w:color w:val="00000A"/>
          <w:kern w:val="2"/>
          <w:lang w:eastAsia="zh-CN"/>
        </w:rPr>
        <w:tab/>
        <w:t>при выполнении регламентных работ;</w:t>
      </w:r>
    </w:p>
    <w:p w:rsidR="00A1702D" w:rsidRDefault="00B90612">
      <w:pPr>
        <w:tabs>
          <w:tab w:val="left" w:pos="709"/>
        </w:tabs>
        <w:ind w:firstLine="709"/>
        <w:contextualSpacing/>
        <w:jc w:val="both"/>
        <w:rPr>
          <w:color w:val="00000A"/>
          <w:kern w:val="2"/>
          <w:lang w:eastAsia="zh-CN"/>
        </w:rPr>
      </w:pPr>
      <w:r>
        <w:rPr>
          <w:color w:val="00000A"/>
          <w:kern w:val="2"/>
          <w:lang w:eastAsia="zh-CN"/>
        </w:rPr>
        <w:t></w:t>
      </w:r>
      <w:r>
        <w:rPr>
          <w:color w:val="00000A"/>
          <w:kern w:val="2"/>
          <w:lang w:eastAsia="zh-CN"/>
        </w:rPr>
        <w:tab/>
        <w:t>при проведении ремонтных работ;</w:t>
      </w:r>
    </w:p>
    <w:p w:rsidR="00A1702D" w:rsidRDefault="00B90612">
      <w:pPr>
        <w:tabs>
          <w:tab w:val="left" w:pos="709"/>
        </w:tabs>
        <w:ind w:firstLine="709"/>
        <w:contextualSpacing/>
        <w:jc w:val="both"/>
        <w:rPr>
          <w:color w:val="00000A"/>
          <w:kern w:val="2"/>
          <w:lang w:eastAsia="zh-CN"/>
        </w:rPr>
      </w:pPr>
      <w:r>
        <w:rPr>
          <w:color w:val="00000A"/>
          <w:kern w:val="2"/>
          <w:lang w:eastAsia="zh-CN"/>
        </w:rPr>
        <w:t></w:t>
      </w:r>
      <w:r>
        <w:rPr>
          <w:color w:val="00000A"/>
          <w:kern w:val="2"/>
          <w:lang w:eastAsia="zh-CN"/>
        </w:rPr>
        <w:tab/>
        <w:t>при авариях и сбоях.</w:t>
      </w:r>
    </w:p>
    <w:p w:rsidR="00A1702D" w:rsidRDefault="00B90612">
      <w:pPr>
        <w:tabs>
          <w:tab w:val="left" w:pos="709"/>
        </w:tabs>
        <w:ind w:firstLine="709"/>
        <w:contextualSpacing/>
        <w:jc w:val="both"/>
        <w:rPr>
          <w:color w:val="00000A"/>
          <w:kern w:val="2"/>
          <w:lang w:eastAsia="zh-CN"/>
        </w:rPr>
      </w:pPr>
      <w:r>
        <w:rPr>
          <w:color w:val="00000A"/>
          <w:kern w:val="2"/>
          <w:lang w:eastAsia="zh-CN"/>
        </w:rPr>
        <w:t>Оборудование, входящее в МСОН муниципальных округов Чувашской Республики, должно сопровождаться полным комплектом эксплуатационной документации предусмотренного заводом – изготовителем.</w:t>
      </w:r>
    </w:p>
    <w:p w:rsidR="00A1702D" w:rsidRDefault="00B90612">
      <w:pPr>
        <w:tabs>
          <w:tab w:val="left" w:pos="709"/>
        </w:tabs>
        <w:ind w:firstLine="709"/>
        <w:contextualSpacing/>
        <w:jc w:val="both"/>
        <w:rPr>
          <w:color w:val="00000A"/>
          <w:kern w:val="2"/>
          <w:lang w:eastAsia="zh-CN"/>
        </w:rPr>
      </w:pPr>
      <w:r>
        <w:rPr>
          <w:color w:val="00000A"/>
          <w:kern w:val="2"/>
          <w:lang w:eastAsia="zh-CN"/>
        </w:rPr>
        <w:lastRenderedPageBreak/>
        <w:t>Для защиты от ошибочных действий персонала в МСОН муниципальных округах Чувашской Республики предъявляются следующие требования:</w:t>
      </w:r>
    </w:p>
    <w:p w:rsidR="00A1702D" w:rsidRDefault="00B90612">
      <w:pPr>
        <w:tabs>
          <w:tab w:val="left" w:pos="709"/>
        </w:tabs>
        <w:ind w:firstLine="709"/>
        <w:contextualSpacing/>
        <w:jc w:val="both"/>
        <w:rPr>
          <w:color w:val="00000A"/>
          <w:kern w:val="2"/>
          <w:lang w:eastAsia="zh-CN"/>
        </w:rPr>
      </w:pPr>
      <w:r>
        <w:rPr>
          <w:color w:val="00000A"/>
          <w:kern w:val="2"/>
          <w:lang w:eastAsia="zh-CN"/>
        </w:rPr>
        <w:t></w:t>
      </w:r>
      <w:r>
        <w:rPr>
          <w:color w:val="00000A"/>
          <w:kern w:val="2"/>
          <w:lang w:eastAsia="zh-CN"/>
        </w:rPr>
        <w:tab/>
        <w:t>должна быть предусмотрена система подтверждения легитимности пользователя при просмотре данных;</w:t>
      </w:r>
    </w:p>
    <w:p w:rsidR="00A1702D" w:rsidRDefault="00B90612">
      <w:pPr>
        <w:tabs>
          <w:tab w:val="left" w:pos="709"/>
        </w:tabs>
        <w:ind w:firstLine="709"/>
        <w:contextualSpacing/>
        <w:jc w:val="both"/>
        <w:rPr>
          <w:color w:val="00000A"/>
          <w:kern w:val="2"/>
          <w:lang w:eastAsia="zh-CN"/>
        </w:rPr>
      </w:pPr>
      <w:r>
        <w:rPr>
          <w:color w:val="00000A"/>
          <w:kern w:val="2"/>
          <w:lang w:eastAsia="zh-CN"/>
        </w:rPr>
        <w:t></w:t>
      </w:r>
      <w:r>
        <w:rPr>
          <w:color w:val="00000A"/>
          <w:kern w:val="2"/>
          <w:lang w:eastAsia="zh-CN"/>
        </w:rPr>
        <w:tab/>
        <w:t>для всех пользователей должна быть запрещена возможность удаления преднастроенных объектов и отчетности;</w:t>
      </w:r>
    </w:p>
    <w:p w:rsidR="00A1702D" w:rsidRDefault="00B90612">
      <w:pPr>
        <w:tabs>
          <w:tab w:val="left" w:pos="709"/>
        </w:tabs>
        <w:ind w:firstLine="709"/>
        <w:contextualSpacing/>
        <w:jc w:val="both"/>
        <w:rPr>
          <w:color w:val="00000A"/>
          <w:kern w:val="2"/>
          <w:lang w:eastAsia="zh-CN"/>
        </w:rPr>
      </w:pPr>
      <w:r>
        <w:rPr>
          <w:color w:val="00000A"/>
          <w:kern w:val="2"/>
          <w:lang w:eastAsia="zh-CN"/>
        </w:rPr>
        <w:t></w:t>
      </w:r>
      <w:r>
        <w:rPr>
          <w:color w:val="00000A"/>
          <w:kern w:val="2"/>
          <w:lang w:eastAsia="zh-CN"/>
        </w:rPr>
        <w:tab/>
        <w:t>пользователи должны следовать рекомендациям эксплуатационной документации, служебной информации на экране компьютера и постоянно повышать компьютерную грамотность.</w:t>
      </w:r>
    </w:p>
    <w:p w:rsidR="00A1702D" w:rsidRDefault="00B90612">
      <w:pPr>
        <w:pStyle w:val="af3"/>
        <w:numPr>
          <w:ilvl w:val="0"/>
          <w:numId w:val="2"/>
        </w:numPr>
        <w:tabs>
          <w:tab w:val="clear" w:pos="0"/>
          <w:tab w:val="left" w:pos="120"/>
          <w:tab w:val="left" w:pos="855"/>
        </w:tabs>
        <w:ind w:firstLine="624"/>
        <w:jc w:val="both"/>
      </w:pPr>
      <w:r>
        <w:t xml:space="preserve"> Порядок контроля и приемки оконечных средств оповещения технических средств речевого оповещения) МСО </w:t>
      </w:r>
      <w:r>
        <w:rPr>
          <w:sz w:val="24"/>
        </w:rPr>
        <w:t>муниципальных образований</w:t>
      </w:r>
      <w:r>
        <w:t xml:space="preserve"> Чувашской Республики.</w:t>
      </w:r>
    </w:p>
    <w:p w:rsidR="00A1702D" w:rsidRDefault="00B90612">
      <w:pPr>
        <w:ind w:firstLine="567"/>
        <w:jc w:val="both"/>
      </w:pPr>
      <w:r>
        <w:rPr>
          <w:rFonts w:eastAsia="Calibri"/>
          <w:color w:val="000000"/>
          <w:lang w:eastAsia="en-US"/>
        </w:rPr>
        <w:t xml:space="preserve"> </w:t>
      </w:r>
      <w:bookmarkStart w:id="2" w:name="Par9"/>
      <w:bookmarkStart w:id="3" w:name="Par39"/>
      <w:bookmarkStart w:id="4" w:name="Par55"/>
      <w:bookmarkEnd w:id="2"/>
      <w:bookmarkEnd w:id="3"/>
      <w:bookmarkEnd w:id="4"/>
      <w:r>
        <w:t>Основанием для начала приемки работ по монтажу оконечных средств оповещения (технических средств речевого оповещения) в эксплуатацию является распорядительный документ Заказчика о назначении приемочной комиссии и проведении мероприятий по вводу в эксплуатацию.</w:t>
      </w:r>
    </w:p>
    <w:p w:rsidR="00A1702D" w:rsidRDefault="00B90612">
      <w:pPr>
        <w:ind w:firstLine="567"/>
        <w:jc w:val="both"/>
        <w:rPr>
          <w:rFonts w:eastAsia="Gungsuh"/>
          <w:lang w:eastAsia="en-US"/>
        </w:rPr>
      </w:pPr>
      <w:r>
        <w:rPr>
          <w:rFonts w:eastAsia="Gungsuh"/>
        </w:rPr>
        <w:t>На время приемки работ каналы связи от существующего пункта управления ЕДДС муниципального округа Чувашской Республики до оконечных средств оповещения (технических средств речевого оповещения) организует Поставщик.</w:t>
      </w:r>
      <w:r>
        <w:rPr>
          <w:rFonts w:eastAsia="Gungsuh"/>
        </w:rPr>
        <w:tab/>
      </w:r>
    </w:p>
    <w:p w:rsidR="00A1702D" w:rsidRDefault="00B90612">
      <w:pPr>
        <w:tabs>
          <w:tab w:val="left" w:pos="567"/>
        </w:tabs>
        <w:ind w:firstLine="567"/>
        <w:contextualSpacing/>
        <w:jc w:val="both"/>
        <w:rPr>
          <w:rFonts w:eastAsia="Gungsuh"/>
          <w:lang w:eastAsia="en-US"/>
        </w:rPr>
      </w:pPr>
      <w:r>
        <w:rPr>
          <w:rFonts w:eastAsia="Calibri"/>
          <w:lang w:eastAsia="en-US"/>
        </w:rPr>
        <w:t xml:space="preserve">В ходе работы приемочная комиссия проверяет состав и функционирование оконечных средств оповещения (технических средств речевого оповещения), наличие и проверку программно-аппаратного сопряжения установленных комплексов технических средств с существующим оборудованием пункта управления </w:t>
      </w:r>
      <w:r>
        <w:rPr>
          <w:rFonts w:eastAsia="Gungsuh"/>
        </w:rPr>
        <w:t>ЕДДС муниципального округа Чувашской Республики.</w:t>
      </w:r>
    </w:p>
    <w:p w:rsidR="00A1702D" w:rsidRDefault="00B90612">
      <w:pPr>
        <w:widowControl w:val="0"/>
        <w:ind w:firstLine="567"/>
        <w:jc w:val="both"/>
      </w:pPr>
      <w:r>
        <w:t>По результатам работы приемочная комиссия оформляет акт с выводами и предложениями о возможности (невозможности) приема оконечных средств оповещения (технических средств речевого оповещения) в эксплуатацию (при невозможности приема в акте указываются обоснованные причины).</w:t>
      </w:r>
    </w:p>
    <w:p w:rsidR="00A1702D" w:rsidRDefault="00B90612">
      <w:pPr>
        <w:shd w:val="clear" w:color="auto" w:fill="FFFFFF"/>
        <w:ind w:firstLine="567"/>
        <w:contextualSpacing/>
        <w:jc w:val="both"/>
        <w:rPr>
          <w:rFonts w:eastAsia="Calibri"/>
          <w:lang w:eastAsia="en-US"/>
        </w:rPr>
      </w:pPr>
      <w:r>
        <w:rPr>
          <w:rFonts w:eastAsia="Calibri"/>
          <w:lang w:eastAsia="en-US"/>
        </w:rPr>
        <w:t>Работы принимаются Заказчиком в соответствии с условиями Договора в течение 20 рабочих дней с момента получения от Поставщика уведомления о завершении выполнения работ.</w:t>
      </w:r>
    </w:p>
    <w:p w:rsidR="00A1702D" w:rsidRDefault="00B90612">
      <w:pPr>
        <w:tabs>
          <w:tab w:val="left" w:pos="0"/>
          <w:tab w:val="left" w:pos="567"/>
        </w:tabs>
        <w:ind w:firstLine="567"/>
        <w:jc w:val="both"/>
        <w:rPr>
          <w:rFonts w:eastAsia="Gungsuh"/>
          <w:color w:val="000000"/>
        </w:rPr>
      </w:pPr>
      <w:r>
        <w:rPr>
          <w:rFonts w:eastAsia="Gungsuh"/>
        </w:rPr>
        <w:t xml:space="preserve">Моментом завершения выполнения работ в целом будет считаться дата </w:t>
      </w:r>
      <w:r>
        <w:t>подписания сторонами</w:t>
      </w:r>
      <w:r>
        <w:rPr>
          <w:color w:val="000000"/>
        </w:rPr>
        <w:t xml:space="preserve"> акта о приемке.</w:t>
      </w:r>
    </w:p>
    <w:p w:rsidR="00A1702D" w:rsidRDefault="00B90612">
      <w:pPr>
        <w:widowControl w:val="0"/>
        <w:ind w:firstLine="567"/>
        <w:jc w:val="both"/>
      </w:pPr>
      <w:r>
        <w:t xml:space="preserve">В случае расхождения оконечных средств оповещения (технических средств речевого оповещения) с Договором, поставщиком принимаются меры по доработке системы в соответствии с Техническим заданием. </w:t>
      </w:r>
    </w:p>
    <w:p w:rsidR="00A1702D" w:rsidRDefault="00B90612">
      <w:pPr>
        <w:shd w:val="clear" w:color="auto" w:fill="FFFFFF"/>
        <w:ind w:firstLine="567"/>
        <w:contextualSpacing/>
        <w:jc w:val="both"/>
        <w:rPr>
          <w:rFonts w:eastAsia="Calibri"/>
          <w:color w:val="000000"/>
          <w:lang w:eastAsia="en-US"/>
        </w:rPr>
      </w:pPr>
      <w:r>
        <w:rPr>
          <w:rFonts w:eastAsia="Calibri"/>
          <w:color w:val="000000"/>
          <w:lang w:eastAsia="en-US"/>
        </w:rPr>
        <w:t>В случае обнаружения несоответствия объема и качества выполненных Поставщиком работ Заказчик отказывает Поставщику в приемке работ, назначает сроки устранения выявленных нарушений, дату и время повторной приемки. В данном случае работы не принимаются до момента устранения выявленных нарушений.</w:t>
      </w:r>
    </w:p>
    <w:p w:rsidR="00A1702D" w:rsidRDefault="00A1702D"/>
    <w:sectPr w:rsidR="00A1702D">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134" w:bottom="851" w:left="1134"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8F" w:rsidRDefault="00B90612">
      <w:r>
        <w:separator/>
      </w:r>
    </w:p>
  </w:endnote>
  <w:endnote w:type="continuationSeparator" w:id="0">
    <w:p w:rsidR="00D34E8F" w:rsidRDefault="00B9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 w:name="PT Sans">
    <w:panose1 w:val="020B0503020203020204"/>
    <w:charset w:val="CC"/>
    <w:family w:val="swiss"/>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Gungsu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02D" w:rsidRDefault="00A170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02D" w:rsidRDefault="00B90612">
    <w:pPr>
      <w:pStyle w:val="a5"/>
      <w:ind w:right="360"/>
    </w:pPr>
    <w:r>
      <w:rPr>
        <w:noProof/>
      </w:rPr>
      <mc:AlternateContent>
        <mc:Choice Requires="wps">
          <w:drawing>
            <wp:anchor distT="0" distB="0" distL="0" distR="0" simplePos="0" relativeHeight="251654144" behindDoc="1" locked="0" layoutInCell="0" allowOverlap="1">
              <wp:simplePos x="0" y="0"/>
              <wp:positionH relativeFrom="margin">
                <wp:align>right</wp:align>
              </wp:positionH>
              <wp:positionV relativeFrom="paragraph">
                <wp:posOffset>635</wp:posOffset>
              </wp:positionV>
              <wp:extent cx="14605" cy="173990"/>
              <wp:effectExtent l="0" t="0" r="0" b="0"/>
              <wp:wrapSquare wrapText="largest"/>
              <wp:docPr id="2" name="Врезка3"/>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A1702D" w:rsidRDefault="00A1702D">
                          <w:pPr>
                            <w:pStyle w:val="a5"/>
                            <w:rPr>
                              <w:rStyle w:val="a6"/>
                            </w:rPr>
                          </w:pPr>
                        </w:p>
                      </w:txbxContent>
                    </wps:txbx>
                    <wps:bodyPr lIns="0" tIns="0" rIns="0" bIns="0" anchor="t">
                      <a:spAutoFit/>
                    </wps:bodyPr>
                  </wps:wsp>
                </a:graphicData>
              </a:graphic>
            </wp:anchor>
          </w:drawing>
        </mc:Choice>
        <mc:Fallback>
          <w:pict>
            <v:rect id="Врезка3" o:spid="_x0000_s1027" style="position:absolute;margin-left:-50.05pt;margin-top:.05pt;width:1.15pt;height:13.7pt;z-index:-25166233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" o:allowincell="f" filled="f" stroked="f" strokeweight="0">
              <v:textbox style="mso-fit-shape-to-text:t" inset="0,0,0,0">
                <w:txbxContent>
                  <w:p w:rsidR="00A1702D" w:rsidRDefault="00A1702D">
                    <w:pPr>
                      <w:pStyle w:val="a5"/>
                      <w:rPr>
                        <w:rStyle w:val="a6"/>
                      </w:rPr>
                    </w:pPr>
                  </w:p>
                </w:txbxContent>
              </v:textbox>
              <w10:wrap type="square" side="largest"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02D" w:rsidRDefault="00B90612">
    <w:pPr>
      <w:pStyle w:val="a5"/>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4605" cy="173990"/>
              <wp:effectExtent l="0" t="0" r="0" b="0"/>
              <wp:wrapSquare wrapText="largest"/>
              <wp:docPr id="3" name="Врезка3"/>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A1702D" w:rsidRDefault="00A1702D">
                          <w:pPr>
                            <w:pStyle w:val="a5"/>
                            <w:rPr>
                              <w:rStyle w:val="a6"/>
                            </w:rPr>
                          </w:pPr>
                        </w:p>
                      </w:txbxContent>
                    </wps:txbx>
                    <wps:bodyPr lIns="0" tIns="0" rIns="0" bIns="0" anchor="t">
                      <a:spAutoFit/>
                    </wps:bodyPr>
                  </wps:wsp>
                </a:graphicData>
              </a:graphic>
            </wp:anchor>
          </w:drawing>
        </mc:Choice>
        <mc:Fallback>
          <w:pict>
            <v:rect id="_x0000_s1028" style="position:absolute;margin-left:-50.05pt;margin-top:.05pt;width:1.15pt;height:13.7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" o:allowincell="f" filled="f" stroked="f" strokeweight="0">
              <v:textbox style="mso-fit-shape-to-text:t" inset="0,0,0,0">
                <w:txbxContent>
                  <w:p w:rsidR="00A1702D" w:rsidRDefault="00A1702D">
                    <w:pPr>
                      <w:pStyle w:val="a5"/>
                      <w:rPr>
                        <w:rStyle w:val="a6"/>
                      </w:rPr>
                    </w:pPr>
                  </w:p>
                </w:txbxContent>
              </v:textbox>
              <w10:wrap type="square" side="largest"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02D" w:rsidRDefault="00A1702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02D" w:rsidRDefault="00B90612">
    <w:pPr>
      <w:pStyle w:val="a5"/>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73990"/>
              <wp:effectExtent l="0" t="0" r="0" b="0"/>
              <wp:wrapSquare wrapText="largest"/>
              <wp:docPr id="7" name="Врезка3"/>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A1702D" w:rsidRDefault="00A1702D">
                          <w:pPr>
                            <w:pStyle w:val="a5"/>
                            <w:rPr>
                              <w:rStyle w:val="a6"/>
                            </w:rPr>
                          </w:pPr>
                        </w:p>
                      </w:txbxContent>
                    </wps:txbx>
                    <wps:bodyPr lIns="0" tIns="0" rIns="0" bIns="0" anchor="t">
                      <a:spAutoFit/>
                    </wps:bodyPr>
                  </wps:wsp>
                </a:graphicData>
              </a:graphic>
            </wp:anchor>
          </w:drawing>
        </mc:Choice>
        <mc:Fallback>
          <w:pict>
            <v:rect id="_x0000_s1030" style="position:absolute;margin-left:-50.05pt;margin-top:.05pt;width:1.15pt;height:13.7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" o:allowincell="f" filled="f" stroked="f" strokeweight="0">
              <v:textbox style="mso-fit-shape-to-text:t" inset="0,0,0,0">
                <w:txbxContent>
                  <w:p w:rsidR="00A1702D" w:rsidRDefault="00A1702D">
                    <w:pPr>
                      <w:pStyle w:val="a5"/>
                      <w:rPr>
                        <w:rStyle w:val="a6"/>
                      </w:rPr>
                    </w:pPr>
                  </w:p>
                </w:txbxContent>
              </v:textbox>
              <w10:wrap type="square" side="largest"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02D" w:rsidRDefault="00B90612">
    <w:pPr>
      <w:pStyle w:val="a5"/>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73990"/>
              <wp:effectExtent l="0" t="0" r="0" b="0"/>
              <wp:wrapSquare wrapText="largest"/>
              <wp:docPr id="8" name="Врезка3"/>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A1702D" w:rsidRDefault="00A1702D">
                          <w:pPr>
                            <w:pStyle w:val="a5"/>
                            <w:rPr>
                              <w:rStyle w:val="a6"/>
                            </w:rPr>
                          </w:pPr>
                        </w:p>
                      </w:txbxContent>
                    </wps:txbx>
                    <wps:bodyPr lIns="0" tIns="0" rIns="0" bIns="0" anchor="t">
                      <a:spAutoFit/>
                    </wps:bodyPr>
                  </wps:wsp>
                </a:graphicData>
              </a:graphic>
            </wp:anchor>
          </w:drawing>
        </mc:Choice>
        <mc:Fallback>
          <w:pict>
            <v:rect id="_x0000_s1031" style="position:absolute;margin-left:-50.05pt;margin-top:.05pt;width:1.15pt;height:13.7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" o:allowincell="f" filled="f" stroked="f" strokeweight="0">
              <v:textbox style="mso-fit-shape-to-text:t" inset="0,0,0,0">
                <w:txbxContent>
                  <w:p w:rsidR="00A1702D" w:rsidRDefault="00A1702D">
                    <w:pPr>
                      <w:pStyle w:val="a5"/>
                      <w:rPr>
                        <w:rStyle w:val="a6"/>
                      </w:rPr>
                    </w:pP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8F" w:rsidRDefault="00B90612">
      <w:r>
        <w:separator/>
      </w:r>
    </w:p>
  </w:footnote>
  <w:footnote w:type="continuationSeparator" w:id="0">
    <w:p w:rsidR="00D34E8F" w:rsidRDefault="00B9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02D" w:rsidRDefault="00B90612">
    <w:pPr>
      <w:pStyle w:val="a8"/>
    </w:pPr>
    <w:r>
      <w:rPr>
        <w:noProof/>
      </w:rPr>
      <mc:AlternateContent>
        <mc:Choice Requires="wps">
          <w:drawing>
            <wp:anchor distT="0" distB="0" distL="0" distR="0" simplePos="0" relativeHeight="25165619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1702D" w:rsidRDefault="00B90612">
                          <w:pPr>
                            <w:pStyle w:val="a8"/>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0</w:t>
                          </w:r>
                          <w:r>
                            <w:rPr>
                              <w:rStyle w:val="a6"/>
                              <w:color w:val="000000"/>
                            </w:rPr>
                            <w:fldChar w:fldCharType="end"/>
                          </w:r>
                        </w:p>
                      </w:txbxContent>
                    </wps:txbx>
                    <wps:bodyPr lIns="0" tIns="0" rIns="0" bIns="0" anchor="t">
                      <a:spAutoFit/>
                    </wps:bodyPr>
                  </wps:wsp>
                </a:graphicData>
              </a:graphic>
            </wp:anchor>
          </w:drawing>
        </mc:Choice>
        <mc:Fallback>
          <w:pict>
            <v:rect id="Врезка2" o:spid="_x0000_s1026" style="position:absolute;margin-left:0;margin-top:.05pt;width:1.15pt;height:1.1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QL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jeYQL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A1702D" w:rsidRDefault="00B90612">
                    <w:pPr>
                      <w:pStyle w:val="a8"/>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0</w:t>
                    </w:r>
                    <w:r>
                      <w:rPr>
                        <w:rStyle w:val="a6"/>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265782"/>
      <w:docPartObj>
        <w:docPartGallery w:val="Page Numbers (Top of Page)"/>
        <w:docPartUnique/>
      </w:docPartObj>
    </w:sdtPr>
    <w:sdtEndPr/>
    <w:sdtContent>
      <w:p w:rsidR="00A1702D" w:rsidRDefault="00A1702D">
        <w:pPr>
          <w:pStyle w:val="a8"/>
          <w:jc w:val="center"/>
        </w:pPr>
      </w:p>
      <w:p w:rsidR="00A1702D" w:rsidRDefault="00B90612">
        <w:pPr>
          <w:pStyle w:val="a8"/>
          <w:jc w:val="center"/>
        </w:pPr>
        <w:r>
          <w:fldChar w:fldCharType="begin"/>
        </w:r>
        <w:r>
          <w:instrText xml:space="preserve"> PAGE </w:instrText>
        </w:r>
        <w:r>
          <w:fldChar w:fldCharType="separate"/>
        </w:r>
        <w:r w:rsidR="00A309A9">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920393"/>
      <w:docPartObj>
        <w:docPartGallery w:val="Page Numbers (Top of Page)"/>
        <w:docPartUnique/>
      </w:docPartObj>
    </w:sdtPr>
    <w:sdtEndPr/>
    <w:sdtContent>
      <w:p w:rsidR="00A1702D" w:rsidRDefault="00A1702D">
        <w:pPr>
          <w:pStyle w:val="a8"/>
          <w:jc w:val="center"/>
        </w:pPr>
      </w:p>
      <w:p w:rsidR="00A1702D" w:rsidRDefault="00B90612">
        <w:pPr>
          <w:pStyle w:val="a8"/>
          <w:jc w:val="center"/>
        </w:pPr>
        <w:r>
          <w:fldChar w:fldCharType="begin"/>
        </w:r>
        <w:r>
          <w:instrText xml:space="preserve"> PAGE </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02D" w:rsidRDefault="00B90612">
    <w:pPr>
      <w:pStyle w:val="a8"/>
    </w:pPr>
    <w:r>
      <w:rPr>
        <w:noProof/>
      </w:rPr>
      <mc:AlternateContent>
        <mc:Choice Requires="wps">
          <w:drawing>
            <wp:anchor distT="0" distB="0" distL="0" distR="0" simplePos="0" relativeHeight="25166131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6" name="Врезка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1702D" w:rsidRDefault="00B90612">
                          <w:pPr>
                            <w:pStyle w:val="a8"/>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0</w:t>
                          </w:r>
                          <w:r>
                            <w:rPr>
                              <w:rStyle w:val="a6"/>
                              <w:color w:val="000000"/>
                            </w:rPr>
                            <w:fldChar w:fldCharType="end"/>
                          </w:r>
                        </w:p>
                      </w:txbxContent>
                    </wps:txbx>
                    <wps:bodyPr lIns="0" tIns="0" rIns="0" bIns="0" anchor="t">
                      <a:spAutoFit/>
                    </wps:bodyPr>
                  </wps:wsp>
                </a:graphicData>
              </a:graphic>
            </wp:anchor>
          </w:drawing>
        </mc:Choice>
        <mc:Fallback>
          <w:pict>
            <v:rect id="_x0000_s1029" style="position:absolute;margin-left:0;margin-top:.05pt;width:1.15pt;height:1.15pt;z-index:-25165516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" o:allowincell="f" filled="f" stroked="f" strokeweight="0">
              <v:textbox style="mso-fit-shape-to-text:t" inset="0,0,0,0">
                <w:txbxContent>
                  <w:p w:rsidR="00A1702D" w:rsidRDefault="00B90612">
                    <w:pPr>
                      <w:pStyle w:val="a8"/>
                      <w:rPr>
                        <w:rStyle w:val="a6"/>
                      </w:rPr>
                    </w:pPr>
                    <w:r>
                      <w:rPr>
                        <w:rStyle w:val="a6"/>
                        <w:color w:val="000000"/>
                      </w:rPr>
                      <w:fldChar w:fldCharType="begin"/>
                    </w:r>
                    <w:r>
                      <w:rPr>
                        <w:rStyle w:val="a6"/>
                        <w:color w:val="000000"/>
                      </w:rPr>
                      <w:instrText xml:space="preserve"> PAGE </w:instrText>
                    </w:r>
                    <w:r>
                      <w:rPr>
                        <w:rStyle w:val="a6"/>
                        <w:color w:val="000000"/>
                      </w:rPr>
                      <w:fldChar w:fldCharType="separate"/>
                    </w:r>
                    <w:r>
                      <w:rPr>
                        <w:rStyle w:val="a6"/>
                        <w:color w:val="000000"/>
                      </w:rPr>
                      <w:t>0</w:t>
                    </w:r>
                    <w:r>
                      <w:rPr>
                        <w:rStyle w:val="a6"/>
                        <w:color w:val="000000"/>
                      </w:rPr>
                      <w:fldChar w:fldCharType="end"/>
                    </w:r>
                  </w:p>
                </w:txbxContent>
              </v:textbox>
              <w10:wrap type="square"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256550"/>
      <w:docPartObj>
        <w:docPartGallery w:val="Page Numbers (Top of Page)"/>
        <w:docPartUnique/>
      </w:docPartObj>
    </w:sdtPr>
    <w:sdtEndPr/>
    <w:sdtContent>
      <w:p w:rsidR="00A1702D" w:rsidRDefault="00A1702D">
        <w:pPr>
          <w:pStyle w:val="a8"/>
          <w:jc w:val="center"/>
        </w:pPr>
      </w:p>
      <w:p w:rsidR="00A1702D" w:rsidRDefault="00B90612">
        <w:pPr>
          <w:pStyle w:val="a8"/>
          <w:jc w:val="center"/>
        </w:pPr>
        <w:r>
          <w:fldChar w:fldCharType="begin"/>
        </w:r>
        <w:r>
          <w:instrText xml:space="preserve"> PAGE </w:instrText>
        </w:r>
        <w:r>
          <w:fldChar w:fldCharType="separate"/>
        </w:r>
        <w:r w:rsidR="00A309A9">
          <w:rPr>
            <w:noProof/>
          </w:rPr>
          <w:t>18</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718752"/>
      <w:docPartObj>
        <w:docPartGallery w:val="Page Numbers (Top of Page)"/>
        <w:docPartUnique/>
      </w:docPartObj>
    </w:sdtPr>
    <w:sdtEndPr/>
    <w:sdtContent>
      <w:p w:rsidR="00A1702D" w:rsidRDefault="00A1702D">
        <w:pPr>
          <w:pStyle w:val="a8"/>
          <w:jc w:val="center"/>
        </w:pPr>
      </w:p>
      <w:p w:rsidR="00A1702D" w:rsidRDefault="00B90612">
        <w:pPr>
          <w:pStyle w:val="a8"/>
          <w:jc w:val="center"/>
        </w:pPr>
        <w:r>
          <w:fldChar w:fldCharType="begin"/>
        </w:r>
        <w:r>
          <w:instrText xml:space="preserve"> PAGE </w:instrText>
        </w:r>
        <w:r>
          <w:fldChar w:fldCharType="separate"/>
        </w:r>
        <w:r>
          <w:t>18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275"/>
    <w:multiLevelType w:val="multilevel"/>
    <w:tmpl w:val="171E3A9A"/>
    <w:lvl w:ilvl="0">
      <w:start w:val="1"/>
      <w:numFmt w:val="decimal"/>
      <w:lvlText w:val="2.%1."/>
      <w:lvlJc w:val="left"/>
      <w:pPr>
        <w:tabs>
          <w:tab w:val="num" w:pos="0"/>
        </w:tabs>
        <w:ind w:left="1353" w:hanging="360"/>
      </w:pPr>
      <w:rPr>
        <w:b/>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6D0B36"/>
    <w:multiLevelType w:val="multilevel"/>
    <w:tmpl w:val="8A6E173E"/>
    <w:lvl w:ilvl="0">
      <w:start w:val="1"/>
      <w:numFmt w:val="decimal"/>
      <w:lvlText w:val="%1."/>
      <w:lvlJc w:val="left"/>
      <w:pPr>
        <w:tabs>
          <w:tab w:val="num" w:pos="0"/>
        </w:tabs>
        <w:ind w:left="360" w:hanging="360"/>
      </w:pPr>
      <w:rPr>
        <w:rFonts w:ascii="Times New Roman" w:hAnsi="Times New Roman"/>
        <w:i w:val="0"/>
        <w:iCs w:val="0"/>
        <w:caps w:val="0"/>
        <w:smallCaps w:val="0"/>
        <w:strike w:val="0"/>
        <w:dstrike w:val="0"/>
        <w:vanish w:val="0"/>
        <w:color w:val="000000"/>
        <w:spacing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pStyle w:val="a"/>
      <w:lvlText w:val="%1.%2."/>
      <w:lvlJc w:val="left"/>
      <w:pPr>
        <w:tabs>
          <w:tab w:val="num" w:pos="0"/>
        </w:tabs>
        <w:ind w:left="680" w:hanging="320"/>
      </w:pPr>
      <w:rPr>
        <w:b w:val="0"/>
        <w:i w:val="0"/>
        <w:color w:val="auto"/>
      </w:rPr>
    </w:lvl>
    <w:lvl w:ilvl="2">
      <w:start w:val="1"/>
      <w:numFmt w:val="decimal"/>
      <w:lvlText w:val="%1.%2.%3."/>
      <w:lvlJc w:val="left"/>
      <w:pPr>
        <w:tabs>
          <w:tab w:val="num" w:pos="0"/>
        </w:tabs>
        <w:ind w:left="527" w:firstLine="40"/>
      </w:pPr>
      <w:rPr>
        <w:b w:val="0"/>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41E131E"/>
    <w:multiLevelType w:val="multilevel"/>
    <w:tmpl w:val="1F9C2C72"/>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C30322E"/>
    <w:multiLevelType w:val="multilevel"/>
    <w:tmpl w:val="BC0E0038"/>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14913B28"/>
    <w:multiLevelType w:val="multilevel"/>
    <w:tmpl w:val="52E24332"/>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1FF35C5C"/>
    <w:multiLevelType w:val="multilevel"/>
    <w:tmpl w:val="E5907B28"/>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23174F6D"/>
    <w:multiLevelType w:val="multilevel"/>
    <w:tmpl w:val="7A06A320"/>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955548E"/>
    <w:multiLevelType w:val="multilevel"/>
    <w:tmpl w:val="3CDADFC8"/>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317D3E3E"/>
    <w:multiLevelType w:val="multilevel"/>
    <w:tmpl w:val="399C8350"/>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322C77F7"/>
    <w:multiLevelType w:val="multilevel"/>
    <w:tmpl w:val="163082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8955CFC"/>
    <w:multiLevelType w:val="multilevel"/>
    <w:tmpl w:val="D674DD8E"/>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4B344ED3"/>
    <w:multiLevelType w:val="multilevel"/>
    <w:tmpl w:val="6AACA89E"/>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52804ECE"/>
    <w:multiLevelType w:val="multilevel"/>
    <w:tmpl w:val="ECB438EC"/>
    <w:lvl w:ilvl="0">
      <w:start w:val="1"/>
      <w:numFmt w:val="bullet"/>
      <w:lvlText w:val=""/>
      <w:lvlJc w:val="left"/>
      <w:pPr>
        <w:tabs>
          <w:tab w:val="num" w:pos="0"/>
        </w:tabs>
        <w:ind w:left="644" w:hanging="360"/>
      </w:pPr>
      <w:rPr>
        <w:rFonts w:ascii="Symbol" w:hAnsi="Symbol" w:cs="Symbol" w:hint="default"/>
        <w:color w:val="auto"/>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576B6AF4"/>
    <w:multiLevelType w:val="multilevel"/>
    <w:tmpl w:val="B268D4B2"/>
    <w:lvl w:ilvl="0">
      <w:start w:val="1"/>
      <w:numFmt w:val="bullet"/>
      <w:lvlText w:val=""/>
      <w:lvlJc w:val="left"/>
      <w:pPr>
        <w:tabs>
          <w:tab w:val="num" w:pos="0"/>
        </w:tabs>
        <w:ind w:left="1200" w:hanging="360"/>
      </w:pPr>
      <w:rPr>
        <w:rFonts w:ascii="Symbol" w:hAnsi="Symbol" w:cs="Symbol" w:hint="default"/>
      </w:rPr>
    </w:lvl>
    <w:lvl w:ilvl="1">
      <w:start w:val="1"/>
      <w:numFmt w:val="bullet"/>
      <w:lvlText w:val="o"/>
      <w:lvlJc w:val="left"/>
      <w:pPr>
        <w:tabs>
          <w:tab w:val="num" w:pos="0"/>
        </w:tabs>
        <w:ind w:left="1920" w:hanging="360"/>
      </w:pPr>
      <w:rPr>
        <w:rFonts w:ascii="Courier New" w:hAnsi="Courier New" w:cs="Courier New" w:hint="default"/>
      </w:rPr>
    </w:lvl>
    <w:lvl w:ilvl="2">
      <w:start w:val="1"/>
      <w:numFmt w:val="bullet"/>
      <w:lvlText w:val=""/>
      <w:lvlJc w:val="left"/>
      <w:pPr>
        <w:tabs>
          <w:tab w:val="num" w:pos="0"/>
        </w:tabs>
        <w:ind w:left="2640" w:hanging="360"/>
      </w:pPr>
      <w:rPr>
        <w:rFonts w:ascii="Wingdings" w:hAnsi="Wingdings" w:cs="Wingdings" w:hint="default"/>
      </w:rPr>
    </w:lvl>
    <w:lvl w:ilvl="3">
      <w:start w:val="1"/>
      <w:numFmt w:val="bullet"/>
      <w:lvlText w:val=""/>
      <w:lvlJc w:val="left"/>
      <w:pPr>
        <w:tabs>
          <w:tab w:val="num" w:pos="0"/>
        </w:tabs>
        <w:ind w:left="3360" w:hanging="360"/>
      </w:pPr>
      <w:rPr>
        <w:rFonts w:ascii="Symbol" w:hAnsi="Symbol" w:cs="Symbol" w:hint="default"/>
      </w:rPr>
    </w:lvl>
    <w:lvl w:ilvl="4">
      <w:start w:val="1"/>
      <w:numFmt w:val="bullet"/>
      <w:lvlText w:val="o"/>
      <w:lvlJc w:val="left"/>
      <w:pPr>
        <w:tabs>
          <w:tab w:val="num" w:pos="0"/>
        </w:tabs>
        <w:ind w:left="4080" w:hanging="360"/>
      </w:pPr>
      <w:rPr>
        <w:rFonts w:ascii="Courier New" w:hAnsi="Courier New" w:cs="Courier New" w:hint="default"/>
      </w:rPr>
    </w:lvl>
    <w:lvl w:ilvl="5">
      <w:start w:val="1"/>
      <w:numFmt w:val="bullet"/>
      <w:lvlText w:val=""/>
      <w:lvlJc w:val="left"/>
      <w:pPr>
        <w:tabs>
          <w:tab w:val="num" w:pos="0"/>
        </w:tabs>
        <w:ind w:left="4800" w:hanging="360"/>
      </w:pPr>
      <w:rPr>
        <w:rFonts w:ascii="Wingdings" w:hAnsi="Wingdings" w:cs="Wingdings" w:hint="default"/>
      </w:rPr>
    </w:lvl>
    <w:lvl w:ilvl="6">
      <w:start w:val="1"/>
      <w:numFmt w:val="bullet"/>
      <w:lvlText w:val=""/>
      <w:lvlJc w:val="left"/>
      <w:pPr>
        <w:tabs>
          <w:tab w:val="num" w:pos="0"/>
        </w:tabs>
        <w:ind w:left="5520" w:hanging="360"/>
      </w:pPr>
      <w:rPr>
        <w:rFonts w:ascii="Symbol" w:hAnsi="Symbol" w:cs="Symbol" w:hint="default"/>
      </w:rPr>
    </w:lvl>
    <w:lvl w:ilvl="7">
      <w:start w:val="1"/>
      <w:numFmt w:val="bullet"/>
      <w:lvlText w:val="o"/>
      <w:lvlJc w:val="left"/>
      <w:pPr>
        <w:tabs>
          <w:tab w:val="num" w:pos="0"/>
        </w:tabs>
        <w:ind w:left="6240" w:hanging="360"/>
      </w:pPr>
      <w:rPr>
        <w:rFonts w:ascii="Courier New" w:hAnsi="Courier New" w:cs="Courier New" w:hint="default"/>
      </w:rPr>
    </w:lvl>
    <w:lvl w:ilvl="8">
      <w:start w:val="1"/>
      <w:numFmt w:val="bullet"/>
      <w:lvlText w:val=""/>
      <w:lvlJc w:val="left"/>
      <w:pPr>
        <w:tabs>
          <w:tab w:val="num" w:pos="0"/>
        </w:tabs>
        <w:ind w:left="6960" w:hanging="360"/>
      </w:pPr>
      <w:rPr>
        <w:rFonts w:ascii="Wingdings" w:hAnsi="Wingdings" w:cs="Wingdings" w:hint="default"/>
      </w:rPr>
    </w:lvl>
  </w:abstractNum>
  <w:abstractNum w:abstractNumId="14" w15:restartNumberingAfterBreak="0">
    <w:nsid w:val="5C7A0359"/>
    <w:multiLevelType w:val="multilevel"/>
    <w:tmpl w:val="54DCEEE4"/>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717E47B7"/>
    <w:multiLevelType w:val="multilevel"/>
    <w:tmpl w:val="D074ABFA"/>
    <w:lvl w:ilvl="0">
      <w:start w:val="1"/>
      <w:numFmt w:val="decimal"/>
      <w:lvlText w:val="%1."/>
      <w:lvlJc w:val="left"/>
      <w:pPr>
        <w:tabs>
          <w:tab w:val="num" w:pos="0"/>
        </w:tabs>
        <w:ind w:left="0" w:firstLine="0"/>
      </w:pPr>
    </w:lvl>
    <w:lvl w:ilvl="1">
      <w:start w:val="1"/>
      <w:numFmt w:val="decimal"/>
      <w:lvlText w:val="%1.%2."/>
      <w:lvlJc w:val="left"/>
      <w:pPr>
        <w:tabs>
          <w:tab w:val="num" w:pos="255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2">
      <w:start w:val="1"/>
      <w:numFmt w:val="decimal"/>
      <w:lvlText w:val="%1.%2.%3."/>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dark1"/>
        <w:spacing w:val="0"/>
        <w:kern w:val="0"/>
        <w:position w:val="0"/>
        <w:sz w:val="22"/>
        <w:u w:val="none"/>
        <w:effect w:val="none"/>
        <w:vertAlign w:val="baseline"/>
        <w:em w:val="none"/>
        <w14:ligatures w14:val="none"/>
        <w14:numForm w14:val="default"/>
        <w14:numSpacing w14:val="default"/>
        <w14:stylisticSets/>
        <w14:cntxtAlts/>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1"/>
  </w:num>
  <w:num w:numId="2">
    <w:abstractNumId w:val="15"/>
  </w:num>
  <w:num w:numId="3">
    <w:abstractNumId w:val="0"/>
  </w:num>
  <w:num w:numId="4">
    <w:abstractNumId w:val="13"/>
  </w:num>
  <w:num w:numId="5">
    <w:abstractNumId w:val="6"/>
  </w:num>
  <w:num w:numId="6">
    <w:abstractNumId w:val="12"/>
  </w:num>
  <w:num w:numId="7">
    <w:abstractNumId w:val="2"/>
  </w:num>
  <w:num w:numId="8">
    <w:abstractNumId w:val="10"/>
  </w:num>
  <w:num w:numId="9">
    <w:abstractNumId w:val="5"/>
  </w:num>
  <w:num w:numId="10">
    <w:abstractNumId w:val="7"/>
  </w:num>
  <w:num w:numId="11">
    <w:abstractNumId w:val="11"/>
  </w:num>
  <w:num w:numId="12">
    <w:abstractNumId w:val="4"/>
  </w:num>
  <w:num w:numId="13">
    <w:abstractNumId w:val="8"/>
  </w:num>
  <w:num w:numId="14">
    <w:abstractNumId w:val="3"/>
  </w:num>
  <w:num w:numId="15">
    <w:abstractNumId w:val="14"/>
  </w:num>
  <w:num w:numId="16">
    <w:abstractNumId w:val="9"/>
  </w:num>
  <w:num w:numId="17">
    <w:abstractNumId w:val="15"/>
    <w:lvlOverride w:ilvl="0">
      <w:startOverride w:val="2"/>
    </w:lvlOverride>
  </w:num>
  <w:num w:numId="18">
    <w:abstractNumId w:val="15"/>
    <w:lvlOverride w:ilvl="0">
      <w:startOverride w:val="1"/>
    </w:lvlOverride>
    <w:lvlOverride w:ilvl="1">
      <w:startOverride w:val="2"/>
    </w:lvlOverride>
  </w:num>
  <w:num w:numId="19">
    <w:abstractNumId w:val="15"/>
  </w:num>
  <w:num w:numId="20">
    <w:abstractNumId w:val="15"/>
  </w:num>
  <w:num w:numId="21">
    <w:abstractNumId w:val="15"/>
    <w:lvlOverride w:ilvl="0">
      <w:startOverride w:val="1"/>
    </w:lvlOverride>
    <w:lvlOverride w:ilvl="1">
      <w:startOverride w:val="4"/>
    </w:lvlOverride>
  </w:num>
  <w:num w:numId="22">
    <w:abstractNumId w:val="15"/>
  </w:num>
  <w:num w:numId="23">
    <w:abstractNumId w:val="15"/>
  </w:num>
  <w:num w:numId="24">
    <w:abstractNumId w:val="1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2D"/>
    <w:rsid w:val="00A1702D"/>
    <w:rsid w:val="00A309A9"/>
    <w:rsid w:val="00B90612"/>
    <w:rsid w:val="00D34E8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882D2"/>
  <w15:docId w15:val="{CE088408-9C0C-4C4F-86A8-F58A06C9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40A0"/>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ижний колонтитул Знак"/>
    <w:basedOn w:val="a1"/>
    <w:link w:val="a5"/>
    <w:qFormat/>
    <w:rsid w:val="004340A0"/>
    <w:rPr>
      <w:rFonts w:ascii="Times New Roman" w:eastAsia="Times New Roman" w:hAnsi="Times New Roman" w:cs="Times New Roman"/>
      <w:sz w:val="24"/>
      <w:szCs w:val="24"/>
      <w:lang w:eastAsia="ru-RU"/>
    </w:rPr>
  </w:style>
  <w:style w:type="character" w:styleId="a6">
    <w:name w:val="page number"/>
    <w:qFormat/>
    <w:rsid w:val="004340A0"/>
    <w:rPr>
      <w:rFonts w:cs="Times New Roman"/>
    </w:rPr>
  </w:style>
  <w:style w:type="character" w:customStyle="1" w:styleId="a7">
    <w:name w:val="Верхний колонтитул Знак"/>
    <w:basedOn w:val="a1"/>
    <w:link w:val="a8"/>
    <w:qFormat/>
    <w:rsid w:val="004340A0"/>
    <w:rPr>
      <w:rFonts w:ascii="Times New Roman" w:eastAsia="Times New Roman" w:hAnsi="Times New Roman" w:cs="Times New Roman"/>
      <w:sz w:val="24"/>
      <w:szCs w:val="24"/>
      <w:lang w:eastAsia="ru-RU"/>
    </w:rPr>
  </w:style>
  <w:style w:type="character" w:customStyle="1" w:styleId="a9">
    <w:name w:val="Абзац списка Знак"/>
    <w:link w:val="aa"/>
    <w:uiPriority w:val="34"/>
    <w:qFormat/>
    <w:locked/>
    <w:rsid w:val="004340A0"/>
    <w:rPr>
      <w:rFonts w:ascii="Times New Roman" w:eastAsia="Times New Roman" w:hAnsi="Times New Roman" w:cs="Times New Roman"/>
      <w:sz w:val="24"/>
      <w:szCs w:val="24"/>
      <w:lang w:eastAsia="ru-RU"/>
    </w:rPr>
  </w:style>
  <w:style w:type="paragraph" w:styleId="ab">
    <w:name w:val="Title"/>
    <w:basedOn w:val="a0"/>
    <w:next w:val="ac"/>
    <w:qFormat/>
    <w:pPr>
      <w:keepNext/>
      <w:spacing w:before="240" w:after="120"/>
    </w:pPr>
    <w:rPr>
      <w:rFonts w:ascii="Liberation Sans" w:eastAsia="Tahoma" w:hAnsi="Liberation Sans" w:cs="Noto Sans"/>
      <w:sz w:val="28"/>
      <w:szCs w:val="28"/>
    </w:rPr>
  </w:style>
  <w:style w:type="paragraph" w:styleId="ac">
    <w:name w:val="Body Text"/>
    <w:basedOn w:val="a0"/>
    <w:pPr>
      <w:spacing w:after="140" w:line="276" w:lineRule="auto"/>
    </w:pPr>
  </w:style>
  <w:style w:type="paragraph" w:styleId="ad">
    <w:name w:val="List"/>
    <w:basedOn w:val="ac"/>
    <w:rPr>
      <w:rFonts w:cs="Noto Sans"/>
    </w:rPr>
  </w:style>
  <w:style w:type="paragraph" w:styleId="ae">
    <w:name w:val="caption"/>
    <w:basedOn w:val="a0"/>
    <w:qFormat/>
    <w:pPr>
      <w:suppressLineNumbers/>
      <w:spacing w:before="120" w:after="120"/>
    </w:pPr>
    <w:rPr>
      <w:rFonts w:cs="Noto Sans"/>
      <w:i/>
      <w:iCs/>
    </w:rPr>
  </w:style>
  <w:style w:type="paragraph" w:styleId="af">
    <w:name w:val="index heading"/>
    <w:basedOn w:val="a0"/>
    <w:qFormat/>
    <w:pPr>
      <w:suppressLineNumbers/>
    </w:pPr>
    <w:rPr>
      <w:rFonts w:cs="Noto Sans"/>
    </w:rPr>
  </w:style>
  <w:style w:type="paragraph" w:customStyle="1" w:styleId="user">
    <w:name w:val="Заголовок (user)"/>
    <w:basedOn w:val="a0"/>
    <w:next w:val="ac"/>
    <w:qFormat/>
    <w:pPr>
      <w:keepNext/>
      <w:spacing w:before="240" w:after="120"/>
    </w:pPr>
    <w:rPr>
      <w:rFonts w:ascii="Liberation Sans" w:eastAsia="Tahoma" w:hAnsi="Liberation Sans" w:cs="Noto Sans"/>
      <w:sz w:val="28"/>
      <w:szCs w:val="28"/>
    </w:rPr>
  </w:style>
  <w:style w:type="paragraph" w:customStyle="1" w:styleId="user0">
    <w:name w:val="Указатель (user)"/>
    <w:basedOn w:val="a0"/>
    <w:qFormat/>
    <w:pPr>
      <w:suppressLineNumbers/>
    </w:pPr>
    <w:rPr>
      <w:rFonts w:cs="Noto Sans"/>
    </w:rPr>
  </w:style>
  <w:style w:type="paragraph" w:customStyle="1" w:styleId="af0">
    <w:name w:val="Колонтитулы"/>
    <w:basedOn w:val="a0"/>
    <w:qFormat/>
  </w:style>
  <w:style w:type="paragraph" w:styleId="a5">
    <w:name w:val="footer"/>
    <w:basedOn w:val="a0"/>
    <w:link w:val="a4"/>
    <w:rsid w:val="004340A0"/>
    <w:pPr>
      <w:tabs>
        <w:tab w:val="center" w:pos="4677"/>
        <w:tab w:val="right" w:pos="9355"/>
      </w:tabs>
    </w:pPr>
  </w:style>
  <w:style w:type="paragraph" w:styleId="a8">
    <w:name w:val="header"/>
    <w:basedOn w:val="a0"/>
    <w:link w:val="a7"/>
    <w:rsid w:val="004340A0"/>
    <w:pPr>
      <w:tabs>
        <w:tab w:val="center" w:pos="4677"/>
        <w:tab w:val="right" w:pos="9355"/>
      </w:tabs>
    </w:pPr>
  </w:style>
  <w:style w:type="paragraph" w:styleId="aa">
    <w:name w:val="List Paragraph"/>
    <w:basedOn w:val="a0"/>
    <w:link w:val="a9"/>
    <w:uiPriority w:val="34"/>
    <w:qFormat/>
    <w:rsid w:val="004340A0"/>
    <w:pPr>
      <w:ind w:left="720"/>
      <w:contextualSpacing/>
    </w:pPr>
  </w:style>
  <w:style w:type="paragraph" w:customStyle="1" w:styleId="a">
    <w:name w:val="Пункт договора"/>
    <w:basedOn w:val="a0"/>
    <w:qFormat/>
    <w:rsid w:val="004340A0"/>
    <w:pPr>
      <w:widowControl w:val="0"/>
      <w:numPr>
        <w:ilvl w:val="1"/>
        <w:numId w:val="1"/>
      </w:numPr>
      <w:jc w:val="both"/>
    </w:pPr>
    <w:rPr>
      <w:sz w:val="26"/>
      <w:szCs w:val="26"/>
      <w:lang w:val="en-GB" w:eastAsia="en-US"/>
    </w:rPr>
  </w:style>
  <w:style w:type="paragraph" w:customStyle="1" w:styleId="af1">
    <w:name w:val="Подпункт договора"/>
    <w:basedOn w:val="a"/>
    <w:qFormat/>
    <w:rsid w:val="004340A0"/>
    <w:rPr>
      <w:rFonts w:eastAsiaTheme="majorEastAsia" w:cstheme="majorBidi"/>
      <w:bCs/>
      <w:kern w:val="2"/>
      <w:lang w:val="ru-RU"/>
    </w:rPr>
  </w:style>
  <w:style w:type="paragraph" w:customStyle="1" w:styleId="af2">
    <w:name w:val="Раздел договора"/>
    <w:basedOn w:val="af1"/>
    <w:next w:val="a"/>
    <w:qFormat/>
    <w:rsid w:val="004340A0"/>
    <w:pPr>
      <w:spacing w:line="360" w:lineRule="auto"/>
      <w:jc w:val="center"/>
    </w:pPr>
    <w:rPr>
      <w:b/>
    </w:rPr>
  </w:style>
  <w:style w:type="paragraph" w:customStyle="1" w:styleId="af3">
    <w:name w:val="Раздел"/>
    <w:basedOn w:val="a0"/>
    <w:qFormat/>
    <w:rsid w:val="004340A0"/>
    <w:pPr>
      <w:tabs>
        <w:tab w:val="left" w:pos="0"/>
      </w:tabs>
      <w:jc w:val="center"/>
    </w:pPr>
    <w:rPr>
      <w:b/>
      <w:sz w:val="26"/>
    </w:rPr>
  </w:style>
  <w:style w:type="paragraph" w:customStyle="1" w:styleId="user1">
    <w:name w:val="Содержимое врезки (user)"/>
    <w:basedOn w:val="a0"/>
    <w:qFormat/>
  </w:style>
  <w:style w:type="paragraph" w:customStyle="1" w:styleId="af4">
    <w:name w:val="Содержимое врезки"/>
    <w:basedOn w:val="a0"/>
    <w:qFormat/>
  </w:style>
  <w:style w:type="numbering" w:customStyle="1" w:styleId="user2">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18</Pages>
  <Words>5417</Words>
  <Characters>30879</Characters>
  <Application>Microsoft Office Word</Application>
  <DocSecurity>0</DocSecurity>
  <Lines>257</Lines>
  <Paragraphs>72</Paragraphs>
  <ScaleCrop>false</ScaleCrop>
  <Company>ПАО "Ростелеком"</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Тонкова Марина Анатольевна</dc:creator>
  <dc:description/>
  <cp:lastModifiedBy>Ануфриева Елена Александровна</cp:lastModifiedBy>
  <cp:revision>8</cp:revision>
  <dcterms:created xsi:type="dcterms:W3CDTF">2025-04-17T06:48:00Z</dcterms:created>
  <dcterms:modified xsi:type="dcterms:W3CDTF">2026-04-08T14:45:00Z</dcterms:modified>
  <dc:language>ru-RU</dc:language>
</cp:coreProperties>
</file>