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header7.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5.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оказание услуг</w:t>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widowControl w:val="false"/>
        <w:tabs>
          <w:tab w:val="clear" w:pos="708"/>
          <w:tab w:val="left" w:pos="426" w:leader="none"/>
        </w:tabs>
        <w:spacing w:before="120" w:after="120"/>
        <w:jc w:val="center"/>
        <w:rPr>
          <w:rFonts w:eastAsia="Calibri"/>
          <w:sz w:val="24"/>
          <w:szCs w:val="24"/>
        </w:rPr>
      </w:pPr>
      <w:r>
        <w:rPr>
          <w:rFonts w:eastAsia="Calibri"/>
          <w:sz w:val="24"/>
          <w:szCs w:val="24"/>
        </w:rPr>
        <w:t>«ОКПД2 63.11.12. Реализация коммуникационных проектов и проведение PR-мероприятий, размещение информационных материалов в СМИ</w:t>
      </w:r>
      <w:r>
        <w:rPr>
          <w:rFonts w:eastAsia="Calibri" w:eastAsiaTheme="minorHAnsi"/>
          <w:color w:val="000000"/>
          <w:sz w:val="24"/>
          <w:szCs w:val="24"/>
          <w:lang w:eastAsia="en-US"/>
        </w:rPr>
        <w:t>»</w:t>
      </w:r>
    </w:p>
    <w:p>
      <w:pPr>
        <w:pStyle w:val="Normal"/>
        <w:widowControl w:val="false"/>
        <w:tabs>
          <w:tab w:val="clear" w:pos="708"/>
          <w:tab w:val="left" w:pos="426" w:leader="none"/>
        </w:tabs>
        <w:spacing w:before="120" w:after="120"/>
        <w:jc w:val="center"/>
        <w:rPr>
          <w:rFonts w:eastAsia="Calibri"/>
          <w:b/>
          <w:i/>
          <w:i/>
          <w:sz w:val="26"/>
          <w:szCs w:val="26"/>
        </w:rPr>
      </w:pPr>
      <w:r>
        <w:rPr>
          <w:rFonts w:eastAsia="Calibri"/>
          <w:sz w:val="26"/>
          <w:szCs w:val="26"/>
        </w:rPr>
        <w:t>Лот № 1-ДКК-202</w:t>
      </w:r>
      <w:r>
        <w:rPr>
          <w:rFonts w:eastAsia="Calibri"/>
          <w:sz w:val="26"/>
          <w:szCs w:val="26"/>
          <w:lang w:val="en-US"/>
        </w:rPr>
        <w:t>6</w:t>
      </w:r>
      <w:r>
        <w:rPr>
          <w:rFonts w:eastAsia="Calibri"/>
          <w:sz w:val="26"/>
          <w:szCs w:val="26"/>
        </w:rPr>
        <w:t>-ИА</w:t>
      </w:r>
    </w:p>
    <w:p>
      <w:pPr>
        <w:pStyle w:val="Normal"/>
        <w:keepNext w:val="true"/>
        <w:keepLines/>
        <w:jc w:val="center"/>
        <w:rPr>
          <w:rFonts w:eastAsia="Calibri"/>
          <w:b/>
          <w:i/>
          <w:i/>
          <w:sz w:val="26"/>
          <w:szCs w:val="26"/>
        </w:rPr>
      </w:pPr>
      <w:r>
        <w:rPr>
          <w:rFonts w:eastAsia="Calibri"/>
          <w:b/>
          <w:i/>
          <w:sz w:val="26"/>
          <w:szCs w:val="26"/>
        </w:rPr>
      </w:r>
    </w:p>
    <w:p>
      <w:pPr>
        <w:pStyle w:val="Normal"/>
        <w:keepNext w:val="true"/>
        <w:keepLines/>
        <w:jc w:val="both"/>
        <w:rPr>
          <w:sz w:val="26"/>
          <w:szCs w:val="26"/>
        </w:rPr>
      </w:pPr>
      <w:r>
        <w:rPr>
          <w:sz w:val="26"/>
          <w:szCs w:val="26"/>
        </w:rPr>
      </w:r>
    </w:p>
    <w:p>
      <w:pPr>
        <w:pStyle w:val="Normal"/>
        <w:rPr>
          <w:sz w:val="26"/>
          <w:szCs w:val="26"/>
        </w:rPr>
      </w:pPr>
      <w:r>
        <w:rPr>
          <w:sz w:val="26"/>
          <w:szCs w:val="26"/>
        </w:rPr>
      </w:r>
      <w:r>
        <w:br w:type="page"/>
      </w:r>
    </w:p>
    <w:p>
      <w:pPr>
        <w:pStyle w:val="Normal"/>
        <w:jc w:val="center"/>
        <w:rPr>
          <w:b/>
        </w:rPr>
      </w:pPr>
      <w:r>
        <w:rPr>
          <w:b/>
        </w:rPr>
        <w:t>СОДЕРЖАНИЕ</w:t>
      </w:r>
    </w:p>
    <w:sdt>
      <w:sdtPr>
        <w:docPartObj>
          <w:docPartGallery w:val="Table of Contents"/>
          <w:docPartUnique w:val="true"/>
        </w:docPartObj>
      </w:sdtPr>
      <w:sdtContent>
        <w:p>
          <w:pPr>
            <w:pStyle w:val="TOC1"/>
            <w:tabs>
              <w:tab w:val="clear" w:pos="708"/>
              <w:tab w:val="left" w:pos="560" w:leader="none"/>
              <w:tab w:val="right" w:pos="9911" w:leader="dot"/>
            </w:tabs>
            <w:jc w:val="both"/>
            <w:rPr>
              <w:rFonts w:ascii="Calibri" w:hAnsi="Calibri" w:eastAsia="" w:cs="" w:asciiTheme="minorHAnsi" w:cstheme="minorBidi" w:eastAsiaTheme="minorEastAsia" w:hAnsiTheme="minorHAnsi"/>
              <w:b w:val="false"/>
              <w:bCs w:val="false"/>
              <w:sz w:val="22"/>
              <w:szCs w:val="22"/>
            </w:rPr>
          </w:pPr>
          <w:r>
            <w:fldChar w:fldCharType="begin"/>
          </w:r>
          <w:r>
            <w:rPr>
              <w:webHidden/>
              <w:rStyle w:val="Style11"/>
              <w:vanish w:val="false"/>
            </w:rPr>
            <w:instrText xml:space="preserve"> TOC \z \o "1-4" \u \h</w:instrText>
          </w:r>
          <w:r>
            <w:rPr>
              <w:webHidden/>
              <w:rStyle w:val="Style11"/>
              <w:vanish w:val="false"/>
            </w:rPr>
            <w:fldChar w:fldCharType="separate"/>
          </w:r>
          <w:hyperlink w:anchor="_Toc124254170">
            <w:r>
              <w:rPr>
                <w:webHidden/>
                <w:rStyle w:val="Style11"/>
                <w:vanish w:val="false"/>
              </w:rPr>
              <w:t>1.</w:t>
            </w:r>
            <w:r>
              <w:rPr>
                <w:rStyle w:val="Style11"/>
                <w:rFonts w:eastAsia="" w:cs="" w:ascii="Calibri" w:hAnsi="Calibri" w:asciiTheme="minorHAnsi" w:cstheme="minorBidi" w:eastAsiaTheme="minorEastAsia" w:hAnsiTheme="minorHAnsi"/>
                <w:b w:val="false"/>
                <w:bCs w:val="false"/>
                <w:sz w:val="22"/>
                <w:szCs w:val="22"/>
              </w:rPr>
              <w:tab/>
            </w:r>
            <w:r>
              <w:rPr>
                <w:rStyle w:val="Style11"/>
              </w:rPr>
              <w:t>Общие сведения</w:t>
            </w:r>
            <w:r>
              <w:rPr>
                <w:rStyle w:val="Style11"/>
                <w:lang w:val="en-US"/>
              </w:rPr>
              <w:t>………………………………………………………………………………....</w:t>
            </w:r>
            <w:r>
              <w:rPr>
                <w:webHidden/>
              </w:rPr>
              <w:fldChar w:fldCharType="begin"/>
            </w:r>
            <w:r>
              <w:rPr>
                <w:webHidden/>
              </w:rPr>
              <w:instrText xml:space="preserve">PAGEREF _Toc124254170 \h</w:instrText>
            </w:r>
            <w:r>
              <w:rPr>
                <w:webHidden/>
              </w:rPr>
              <w:fldChar w:fldCharType="separate"/>
            </w:r>
            <w:r>
              <w:rPr>
                <w:rStyle w:val="Style11"/>
              </w:rPr>
              <w:t>3</w:t>
            </w:r>
            <w:r>
              <w:rPr>
                <w:webHidden/>
              </w:rPr>
              <w:fldChar w:fldCharType="end"/>
            </w:r>
          </w:hyperlink>
        </w:p>
        <w:p>
          <w:pPr>
            <w:pStyle w:val="TOC4"/>
            <w:jc w:val="both"/>
            <w:rPr>
              <w:rFonts w:ascii="Calibri" w:hAnsi="Calibri" w:eastAsia="" w:cs="" w:asciiTheme="minorHAnsi" w:cstheme="minorBidi" w:eastAsiaTheme="minorEastAsia" w:hAnsiTheme="minorHAnsi"/>
              <w:sz w:val="22"/>
              <w:szCs w:val="22"/>
            </w:rPr>
          </w:pPr>
          <w:hyperlink w:anchor="_Toc124254171">
            <w:r>
              <w:rPr>
                <w:webHidden/>
                <w:rStyle w:val="Style11"/>
                <w:iCs/>
                <w:vanish w:val="false"/>
              </w:rPr>
              <w:t>1.1.</w:t>
            </w:r>
            <w:r>
              <w:rPr>
                <w:rStyle w:val="Style11"/>
                <w:rFonts w:eastAsia="" w:cs="" w:ascii="Calibri" w:hAnsi="Calibri" w:asciiTheme="minorHAnsi" w:cstheme="minorBidi" w:eastAsiaTheme="minorEastAsia" w:hAnsiTheme="minorHAnsi"/>
                <w:sz w:val="22"/>
                <w:szCs w:val="22"/>
              </w:rPr>
              <w:tab/>
            </w:r>
            <w:r>
              <w:rPr>
                <w:rStyle w:val="Style11"/>
              </w:rPr>
              <w:t>Наименование закупаемой продукции</w:t>
            </w:r>
            <w:r>
              <w:rPr>
                <w:rStyle w:val="Style11"/>
                <w:lang w:val="en-US"/>
              </w:rPr>
              <w:t>………………………………………………………………………</w:t>
            </w:r>
            <w:r>
              <w:rPr>
                <w:webHidden/>
              </w:rPr>
              <w:fldChar w:fldCharType="begin"/>
            </w:r>
            <w:r>
              <w:rPr>
                <w:webHidden/>
              </w:rPr>
              <w:instrText xml:space="preserve">PAGEREF _Toc124254171 \h</w:instrText>
            </w:r>
            <w:r>
              <w:rPr>
                <w:webHidden/>
              </w:rPr>
              <w:fldChar w:fldCharType="separate"/>
            </w:r>
            <w:r>
              <w:rPr>
                <w:rStyle w:val="Style11"/>
              </w:rPr>
              <w:t>3</w:t>
            </w:r>
            <w:r>
              <w:rPr>
                <w:webHidden/>
              </w:rPr>
              <w:fldChar w:fldCharType="end"/>
            </w:r>
          </w:hyperlink>
        </w:p>
        <w:p>
          <w:pPr>
            <w:pStyle w:val="TOC4"/>
            <w:jc w:val="both"/>
            <w:rPr>
              <w:rFonts w:ascii="Calibri" w:hAnsi="Calibri" w:eastAsia="" w:cs="" w:asciiTheme="minorHAnsi" w:cstheme="minorBidi" w:eastAsiaTheme="minorEastAsia" w:hAnsiTheme="minorHAnsi"/>
              <w:sz w:val="22"/>
              <w:szCs w:val="22"/>
            </w:rPr>
          </w:pPr>
          <w:hyperlink w:anchor="_Toc124254172">
            <w:r>
              <w:rPr>
                <w:webHidden/>
                <w:rStyle w:val="Style11"/>
                <w:iCs/>
                <w:vanish w:val="false"/>
              </w:rPr>
              <w:t>1.2.</w:t>
            </w:r>
            <w:r>
              <w:rPr>
                <w:rStyle w:val="Style11"/>
                <w:rFonts w:eastAsia="" w:cs="" w:ascii="Calibri" w:hAnsi="Calibri" w:asciiTheme="minorHAnsi" w:cstheme="minorBidi" w:eastAsiaTheme="minorEastAsia" w:hAnsiTheme="minorHAnsi"/>
                <w:sz w:val="22"/>
                <w:szCs w:val="22"/>
              </w:rPr>
              <w:tab/>
            </w:r>
            <w:r>
              <w:rPr>
                <w:rStyle w:val="Style11"/>
              </w:rPr>
              <w:t>Цель оказания услуг</w:t>
            </w:r>
            <w:r>
              <w:rPr>
                <w:rStyle w:val="Style11"/>
                <w:lang w:val="en-US"/>
              </w:rPr>
              <w:t>…………………………………………………………………………………………..</w:t>
            </w:r>
            <w:r>
              <w:rPr>
                <w:webHidden/>
              </w:rPr>
              <w:fldChar w:fldCharType="begin"/>
            </w:r>
            <w:r>
              <w:rPr>
                <w:webHidden/>
              </w:rPr>
              <w:instrText xml:space="preserve">PAGEREF _Toc124254172 \h</w:instrText>
            </w:r>
            <w:r>
              <w:rPr>
                <w:webHidden/>
              </w:rPr>
              <w:fldChar w:fldCharType="separate"/>
            </w:r>
            <w:r>
              <w:rPr>
                <w:rStyle w:val="Style11"/>
              </w:rPr>
              <w:t>3</w:t>
            </w:r>
            <w:r>
              <w:rPr>
                <w:webHidden/>
              </w:rPr>
              <w:fldChar w:fldCharType="end"/>
            </w:r>
          </w:hyperlink>
        </w:p>
        <w:p>
          <w:pPr>
            <w:pStyle w:val="TOC1"/>
            <w:tabs>
              <w:tab w:val="clear" w:pos="708"/>
              <w:tab w:val="left" w:pos="560" w:leader="none"/>
              <w:tab w:val="right" w:pos="9911" w:leader="dot"/>
            </w:tabs>
            <w:jc w:val="both"/>
            <w:rPr>
              <w:rFonts w:ascii="Calibri" w:hAnsi="Calibri" w:eastAsia="" w:cs="" w:asciiTheme="minorHAnsi" w:cstheme="minorBidi" w:eastAsiaTheme="minorEastAsia" w:hAnsiTheme="minorHAnsi"/>
              <w:b w:val="false"/>
              <w:bCs w:val="false"/>
              <w:sz w:val="22"/>
              <w:szCs w:val="22"/>
            </w:rPr>
          </w:pPr>
          <w:hyperlink w:anchor="_Toc124254173">
            <w:r>
              <w:rPr>
                <w:webHidden/>
                <w:rStyle w:val="Style11"/>
                <w:vanish w:val="false"/>
              </w:rPr>
              <w:t>2.</w:t>
            </w:r>
            <w:r>
              <w:rPr>
                <w:rStyle w:val="Style11"/>
                <w:rFonts w:eastAsia="" w:cs="" w:ascii="Calibri" w:hAnsi="Calibri" w:asciiTheme="minorHAnsi" w:cstheme="minorBidi" w:eastAsiaTheme="minorEastAsia" w:hAnsiTheme="minorHAnsi"/>
                <w:b w:val="false"/>
                <w:bCs w:val="false"/>
                <w:sz w:val="22"/>
                <w:szCs w:val="22"/>
              </w:rPr>
              <w:tab/>
            </w:r>
            <w:r>
              <w:rPr>
                <w:rStyle w:val="Style11"/>
                <w:iCs/>
              </w:rPr>
              <w:t>Требования к продукции</w:t>
            </w:r>
            <w:r>
              <w:rPr>
                <w:webHidden/>
              </w:rPr>
              <w:fldChar w:fldCharType="begin"/>
            </w:r>
            <w:r>
              <w:rPr>
                <w:webHidden/>
              </w:rPr>
              <w:instrText xml:space="preserve">PAGEREF _Toc124254173 \h</w:instrText>
            </w:r>
            <w:r>
              <w:rPr>
                <w:webHidden/>
              </w:rPr>
              <w:fldChar w:fldCharType="separate"/>
            </w:r>
            <w:r>
              <w:rPr>
                <w:rStyle w:val="Style11"/>
              </w:rPr>
              <w:tab/>
              <w:t>3</w:t>
            </w:r>
            <w:r>
              <w:rPr>
                <w:webHidden/>
              </w:rPr>
              <w:fldChar w:fldCharType="end"/>
            </w:r>
          </w:hyperlink>
        </w:p>
        <w:p>
          <w:pPr>
            <w:pStyle w:val="TOC4"/>
            <w:jc w:val="both"/>
            <w:rPr>
              <w:rFonts w:ascii="Calibri" w:hAnsi="Calibri" w:eastAsia="" w:cs="" w:asciiTheme="minorHAnsi" w:cstheme="minorBidi" w:eastAsiaTheme="minorEastAsia" w:hAnsiTheme="minorHAnsi"/>
              <w:sz w:val="22"/>
              <w:szCs w:val="22"/>
            </w:rPr>
          </w:pPr>
          <w:hyperlink w:anchor="_Toc124254174">
            <w:r>
              <w:rPr>
                <w:webHidden/>
                <w:rStyle w:val="Style11"/>
                <w:iCs/>
                <w:vanish w:val="false"/>
              </w:rPr>
              <w:t>2.1.</w:t>
            </w:r>
            <w:r>
              <w:rPr>
                <w:rStyle w:val="Style11"/>
                <w:rFonts w:eastAsia="" w:cs="" w:ascii="Calibri" w:hAnsi="Calibri" w:asciiTheme="minorHAnsi" w:cstheme="minorBidi" w:eastAsiaTheme="minorEastAsia" w:hAnsiTheme="minorHAnsi"/>
                <w:sz w:val="22"/>
                <w:szCs w:val="22"/>
              </w:rPr>
              <w:tab/>
            </w:r>
            <w:r>
              <w:rPr>
                <w:rStyle w:val="Style11"/>
              </w:rPr>
              <w:t>Требования к объемам и срокам оказания услуг</w:t>
            </w:r>
            <w:r>
              <w:rPr>
                <w:rStyle w:val="Style11"/>
                <w:lang w:val="en-US"/>
              </w:rPr>
              <w:t>……………………………………………………………</w:t>
            </w:r>
            <w:r>
              <w:rPr>
                <w:webHidden/>
              </w:rPr>
              <w:fldChar w:fldCharType="begin"/>
            </w:r>
            <w:r>
              <w:rPr>
                <w:webHidden/>
              </w:rPr>
              <w:instrText xml:space="preserve">PAGEREF _Toc124254174 \h</w:instrText>
            </w:r>
            <w:r>
              <w:rPr>
                <w:webHidden/>
              </w:rPr>
              <w:fldChar w:fldCharType="separate"/>
            </w:r>
            <w:r>
              <w:rPr>
                <w:rStyle w:val="Style11"/>
              </w:rPr>
              <w:t>3</w:t>
            </w:r>
            <w:r>
              <w:rPr>
                <w:webHidden/>
              </w:rPr>
              <w:fldChar w:fldCharType="end"/>
            </w:r>
          </w:hyperlink>
        </w:p>
        <w:p>
          <w:pPr>
            <w:pStyle w:val="TOC3"/>
            <w:jc w:val="both"/>
            <w:rPr>
              <w:rFonts w:ascii="Calibri" w:hAnsi="Calibri" w:eastAsia="" w:cs="" w:asciiTheme="minorHAnsi" w:cstheme="minorBidi" w:eastAsiaTheme="minorEastAsia" w:hAnsiTheme="minorHAnsi"/>
              <w:sz w:val="22"/>
              <w:szCs w:val="22"/>
            </w:rPr>
          </w:pPr>
          <w:hyperlink w:anchor="_Toc124254175">
            <w:r>
              <w:rPr>
                <w:webHidden/>
                <w:rStyle w:val="Style11"/>
                <w:vanish w:val="false"/>
              </w:rPr>
              <w:t>2.1.1.</w:t>
            </w:r>
            <w:r>
              <w:rPr>
                <w:rStyle w:val="Style11"/>
                <w:rFonts w:eastAsia="" w:cs="" w:ascii="Calibri" w:hAnsi="Calibri" w:asciiTheme="minorHAnsi" w:cstheme="minorBidi" w:eastAsiaTheme="minorEastAsia" w:hAnsiTheme="minorHAnsi"/>
                <w:sz w:val="22"/>
                <w:szCs w:val="22"/>
              </w:rPr>
              <w:tab/>
            </w:r>
            <w:r>
              <w:rPr>
                <w:webHidden/>
              </w:rPr>
              <w:fldChar w:fldCharType="begin"/>
            </w:r>
            <w:r>
              <w:rPr>
                <w:webHidden/>
              </w:rPr>
              <w:instrText xml:space="preserve">PAGEREF _Toc124254175 \h</w:instrText>
            </w:r>
            <w:r>
              <w:rPr>
                <w:webHidden/>
              </w:rPr>
              <w:fldChar w:fldCharType="separate"/>
            </w:r>
            <w:r>
              <w:rPr>
                <w:rStyle w:val="Style11"/>
              </w:rPr>
              <w:t>Требования к перечню и объему услуг</w:t>
              <w:tab/>
              <w:t>3</w:t>
            </w:r>
            <w:r>
              <w:rPr>
                <w:webHidden/>
              </w:rPr>
              <w:fldChar w:fldCharType="end"/>
            </w:r>
          </w:hyperlink>
        </w:p>
        <w:p>
          <w:pPr>
            <w:pStyle w:val="TOC1"/>
            <w:tabs>
              <w:tab w:val="clear" w:pos="708"/>
              <w:tab w:val="right" w:pos="9911" w:leader="dot"/>
            </w:tabs>
            <w:jc w:val="both"/>
            <w:rPr>
              <w:rFonts w:ascii="Calibri" w:hAnsi="Calibri" w:eastAsia="" w:cs="" w:asciiTheme="minorHAnsi" w:cstheme="minorBidi" w:eastAsiaTheme="minorEastAsia" w:hAnsiTheme="minorHAnsi"/>
              <w:b w:val="false"/>
              <w:bCs w:val="false"/>
              <w:sz w:val="22"/>
              <w:szCs w:val="22"/>
            </w:rPr>
          </w:pPr>
          <w:hyperlink w:anchor="_Toc124254176">
            <w:r>
              <w:rPr>
                <w:webHidden/>
                <w:rStyle w:val="Style11"/>
                <w:vanish w:val="false"/>
              </w:rPr>
              <w:t>Таблица 2. Перечень и объем оказываемых услуг</w:t>
            </w:r>
            <w:r>
              <w:rPr>
                <w:webHidden/>
              </w:rPr>
              <w:fldChar w:fldCharType="begin"/>
            </w:r>
            <w:r>
              <w:rPr>
                <w:webHidden/>
              </w:rPr>
              <w:instrText xml:space="preserve">PAGEREF _Toc124254176 \h</w:instrText>
            </w:r>
            <w:r>
              <w:rPr>
                <w:webHidden/>
              </w:rPr>
              <w:fldChar w:fldCharType="separate"/>
            </w:r>
            <w:r>
              <w:rPr>
                <w:rStyle w:val="Style11"/>
              </w:rPr>
              <w:tab/>
              <w:t>3</w:t>
            </w:r>
            <w:r>
              <w:rPr>
                <w:webHidden/>
              </w:rPr>
              <w:fldChar w:fldCharType="end"/>
            </w:r>
          </w:hyperlink>
        </w:p>
        <w:p>
          <w:pPr>
            <w:pStyle w:val="TOC3"/>
            <w:jc w:val="both"/>
            <w:rPr>
              <w:rFonts w:ascii="Calibri" w:hAnsi="Calibri" w:eastAsia="" w:cs="" w:asciiTheme="minorHAnsi" w:cstheme="minorBidi" w:eastAsiaTheme="minorEastAsia" w:hAnsiTheme="minorHAnsi"/>
              <w:sz w:val="22"/>
              <w:szCs w:val="22"/>
            </w:rPr>
          </w:pPr>
          <w:hyperlink w:anchor="_Toc124254177">
            <w:r>
              <w:rPr>
                <w:webHidden/>
                <w:rStyle w:val="Style11"/>
                <w:vanish w:val="false"/>
              </w:rPr>
              <w:t>2.1.2.</w:t>
            </w:r>
            <w:r>
              <w:rPr>
                <w:rStyle w:val="Style11"/>
                <w:rFonts w:eastAsia="" w:cs="" w:ascii="Calibri" w:hAnsi="Calibri" w:asciiTheme="minorHAnsi" w:cstheme="minorBidi" w:eastAsiaTheme="minorEastAsia" w:hAnsiTheme="minorHAnsi"/>
                <w:sz w:val="22"/>
                <w:szCs w:val="22"/>
              </w:rPr>
              <w:tab/>
            </w:r>
            <w:r>
              <w:rPr>
                <w:webHidden/>
              </w:rPr>
              <w:fldChar w:fldCharType="begin"/>
            </w:r>
            <w:r>
              <w:rPr>
                <w:webHidden/>
              </w:rPr>
              <w:instrText xml:space="preserve">PAGEREF _Toc124254177 \h</w:instrText>
            </w:r>
            <w:r>
              <w:rPr>
                <w:webHidden/>
              </w:rPr>
              <w:fldChar w:fldCharType="separate"/>
            </w:r>
            <w:r>
              <w:rPr>
                <w:rStyle w:val="Style11"/>
              </w:rPr>
              <w:t>Требования к срокам оказания услуг</w:t>
              <w:tab/>
              <w:t>4</w:t>
            </w:r>
            <w:r>
              <w:rPr>
                <w:webHidden/>
              </w:rPr>
              <w:fldChar w:fldCharType="end"/>
            </w:r>
          </w:hyperlink>
        </w:p>
        <w:p>
          <w:pPr>
            <w:pStyle w:val="TOC1"/>
            <w:tabs>
              <w:tab w:val="clear" w:pos="708"/>
              <w:tab w:val="right" w:pos="9911" w:leader="dot"/>
            </w:tabs>
            <w:jc w:val="both"/>
            <w:rPr>
              <w:rFonts w:ascii="Calibri" w:hAnsi="Calibri" w:eastAsia="" w:cs="" w:asciiTheme="minorHAnsi" w:cstheme="minorBidi" w:eastAsiaTheme="minorEastAsia" w:hAnsiTheme="minorHAnsi"/>
              <w:b w:val="false"/>
              <w:bCs w:val="false"/>
              <w:sz w:val="22"/>
              <w:szCs w:val="22"/>
            </w:rPr>
          </w:pPr>
          <w:hyperlink w:anchor="_Toc124254178">
            <w:r>
              <w:rPr>
                <w:webHidden/>
                <w:rStyle w:val="Style11"/>
                <w:vanish w:val="false"/>
              </w:rPr>
              <w:t>Таблица 3. Требования к срокам оказания услуг</w:t>
            </w:r>
            <w:r>
              <w:rPr>
                <w:webHidden/>
              </w:rPr>
              <w:fldChar w:fldCharType="begin"/>
            </w:r>
            <w:r>
              <w:rPr>
                <w:webHidden/>
              </w:rPr>
              <w:instrText xml:space="preserve">PAGEREF _Toc124254178 \h</w:instrText>
            </w:r>
            <w:r>
              <w:rPr>
                <w:webHidden/>
              </w:rPr>
              <w:fldChar w:fldCharType="separate"/>
            </w:r>
            <w:r>
              <w:rPr>
                <w:rStyle w:val="Style11"/>
              </w:rPr>
              <w:tab/>
              <w:t>4</w:t>
            </w:r>
            <w:r>
              <w:rPr>
                <w:webHidden/>
              </w:rPr>
              <w:fldChar w:fldCharType="end"/>
            </w:r>
          </w:hyperlink>
        </w:p>
        <w:p>
          <w:pPr>
            <w:pStyle w:val="TOC4"/>
            <w:jc w:val="both"/>
            <w:rPr>
              <w:rFonts w:ascii="Calibri" w:hAnsi="Calibri" w:eastAsia="" w:cs="" w:asciiTheme="minorHAnsi" w:cstheme="minorBidi" w:eastAsiaTheme="minorEastAsia" w:hAnsiTheme="minorHAnsi"/>
              <w:sz w:val="22"/>
              <w:szCs w:val="22"/>
            </w:rPr>
          </w:pPr>
          <w:hyperlink w:anchor="_Toc124254179">
            <w:r>
              <w:rPr>
                <w:webHidden/>
                <w:rStyle w:val="Style11"/>
                <w:iCs/>
                <w:vanish w:val="false"/>
              </w:rPr>
              <w:t>2.2.</w:t>
            </w:r>
            <w:r>
              <w:rPr>
                <w:rStyle w:val="Style11"/>
                <w:rFonts w:eastAsia="" w:cs="" w:ascii="Calibri" w:hAnsi="Calibri" w:asciiTheme="minorHAnsi" w:cstheme="minorBidi" w:eastAsiaTheme="minorEastAsia" w:hAnsiTheme="minorHAnsi"/>
                <w:sz w:val="22"/>
                <w:szCs w:val="22"/>
              </w:rPr>
              <w:tab/>
            </w:r>
            <w:r>
              <w:rPr>
                <w:rStyle w:val="Style11"/>
              </w:rPr>
              <w:t>Требования к качеству услуг</w:t>
            </w:r>
            <w:r>
              <w:rPr>
                <w:rStyle w:val="Style11"/>
                <w:lang w:val="en-US"/>
              </w:rPr>
              <w:t>…………………………………………………………………………………</w:t>
            </w:r>
            <w:r>
              <w:rPr>
                <w:webHidden/>
              </w:rPr>
              <w:fldChar w:fldCharType="begin"/>
            </w:r>
            <w:r>
              <w:rPr>
                <w:webHidden/>
              </w:rPr>
              <w:instrText xml:space="preserve">PAGEREF _Toc124254179 \h</w:instrText>
            </w:r>
            <w:r>
              <w:rPr>
                <w:webHidden/>
              </w:rPr>
              <w:fldChar w:fldCharType="separate"/>
            </w:r>
            <w:r>
              <w:rPr>
                <w:rStyle w:val="Style11"/>
              </w:rPr>
              <w:t>7</w:t>
            </w:r>
            <w:r>
              <w:rPr>
                <w:webHidden/>
              </w:rPr>
              <w:fldChar w:fldCharType="end"/>
            </w:r>
          </w:hyperlink>
        </w:p>
        <w:p>
          <w:pPr>
            <w:pStyle w:val="TOC1"/>
            <w:tabs>
              <w:tab w:val="clear" w:pos="708"/>
              <w:tab w:val="right" w:pos="9911" w:leader="dot"/>
            </w:tabs>
            <w:jc w:val="both"/>
            <w:rPr>
              <w:rFonts w:ascii="Calibri" w:hAnsi="Calibri" w:eastAsia="" w:cs="" w:asciiTheme="minorHAnsi" w:cstheme="minorBidi" w:eastAsiaTheme="minorEastAsia" w:hAnsiTheme="minorHAnsi"/>
              <w:b w:val="false"/>
              <w:bCs w:val="false"/>
              <w:sz w:val="22"/>
              <w:szCs w:val="22"/>
            </w:rPr>
          </w:pPr>
          <w:hyperlink w:anchor="_Toc124254180">
            <w:r>
              <w:rPr>
                <w:webHidden/>
                <w:rStyle w:val="Style11"/>
                <w:vanish w:val="false"/>
              </w:rPr>
              <w:t>Таблица 4. Требования к качеству услуг</w:t>
            </w:r>
            <w:r>
              <w:rPr>
                <w:webHidden/>
              </w:rPr>
              <w:fldChar w:fldCharType="begin"/>
            </w:r>
            <w:r>
              <w:rPr>
                <w:webHidden/>
              </w:rPr>
              <w:instrText xml:space="preserve">PAGEREF _Toc124254180 \h</w:instrText>
            </w:r>
            <w:r>
              <w:rPr>
                <w:webHidden/>
              </w:rPr>
              <w:fldChar w:fldCharType="separate"/>
            </w:r>
            <w:r>
              <w:rPr>
                <w:rStyle w:val="Style11"/>
              </w:rPr>
              <w:tab/>
              <w:t>7</w:t>
            </w:r>
            <w:r>
              <w:rPr>
                <w:webHidden/>
              </w:rPr>
              <w:fldChar w:fldCharType="end"/>
            </w:r>
          </w:hyperlink>
        </w:p>
        <w:p>
          <w:pPr>
            <w:pStyle w:val="TOC1"/>
            <w:tabs>
              <w:tab w:val="clear" w:pos="708"/>
              <w:tab w:val="left" w:pos="560" w:leader="none"/>
              <w:tab w:val="right" w:pos="9911" w:leader="dot"/>
            </w:tabs>
            <w:jc w:val="both"/>
            <w:rPr>
              <w:rFonts w:ascii="Calibri" w:hAnsi="Calibri" w:eastAsia="" w:cs="" w:asciiTheme="minorHAnsi" w:cstheme="minorBidi" w:eastAsiaTheme="minorEastAsia" w:hAnsiTheme="minorHAnsi"/>
              <w:b w:val="false"/>
              <w:bCs w:val="false"/>
              <w:sz w:val="22"/>
              <w:szCs w:val="22"/>
            </w:rPr>
          </w:pPr>
          <w:hyperlink w:anchor="_Toc124254181">
            <w:r>
              <w:rPr>
                <w:webHidden/>
                <w:rStyle w:val="Style11"/>
                <w:vanish w:val="false"/>
              </w:rPr>
              <w:t>3.</w:t>
            </w:r>
            <w:r>
              <w:rPr>
                <w:rStyle w:val="Style11"/>
                <w:rFonts w:eastAsia="" w:cs="" w:ascii="Calibri" w:hAnsi="Calibri" w:asciiTheme="minorHAnsi" w:cstheme="minorBidi" w:eastAsiaTheme="minorEastAsia" w:hAnsiTheme="minorHAnsi"/>
                <w:b w:val="false"/>
                <w:bCs w:val="false"/>
                <w:sz w:val="22"/>
                <w:szCs w:val="22"/>
              </w:rPr>
              <w:tab/>
            </w:r>
            <w:r>
              <w:rPr>
                <w:webHidden/>
              </w:rPr>
              <w:fldChar w:fldCharType="begin"/>
            </w:r>
            <w:r>
              <w:rPr>
                <w:webHidden/>
              </w:rPr>
              <w:instrText xml:space="preserve">PAGEREF _Toc124254181 \h</w:instrText>
            </w:r>
            <w:r>
              <w:rPr>
                <w:webHidden/>
              </w:rPr>
              <w:fldChar w:fldCharType="separate"/>
            </w:r>
            <w:r>
              <w:rPr>
                <w:rStyle w:val="Style11"/>
              </w:rPr>
              <w:t>Требования к документации по ценообразованию на этапе закупки</w:t>
              <w:tab/>
              <w:t>14</w:t>
            </w:r>
            <w:r>
              <w:rPr>
                <w:webHidden/>
              </w:rPr>
              <w:fldChar w:fldCharType="end"/>
            </w:r>
          </w:hyperlink>
        </w:p>
        <w:p>
          <w:pPr>
            <w:pStyle w:val="TOC1"/>
            <w:tabs>
              <w:tab w:val="clear" w:pos="708"/>
              <w:tab w:val="left" w:pos="560" w:leader="none"/>
              <w:tab w:val="right" w:pos="9911" w:leader="dot"/>
            </w:tabs>
            <w:jc w:val="both"/>
            <w:rPr>
              <w:rFonts w:ascii="Calibri" w:hAnsi="Calibri" w:eastAsia="" w:cs="" w:asciiTheme="minorHAnsi" w:cstheme="minorBidi" w:eastAsiaTheme="minorEastAsia" w:hAnsiTheme="minorHAnsi"/>
              <w:b w:val="false"/>
              <w:bCs w:val="false"/>
              <w:sz w:val="22"/>
              <w:szCs w:val="22"/>
            </w:rPr>
          </w:pPr>
          <w:hyperlink w:anchor="_Toc124254182">
            <w:r>
              <w:rPr>
                <w:webHidden/>
                <w:rStyle w:val="Style11"/>
                <w:vanish w:val="false"/>
              </w:rPr>
              <w:t>4.</w:t>
            </w:r>
            <w:r>
              <w:rPr>
                <w:rStyle w:val="Style11"/>
                <w:rFonts w:eastAsia="" w:cs="" w:ascii="Calibri" w:hAnsi="Calibri" w:asciiTheme="minorHAnsi" w:cstheme="minorBidi" w:eastAsiaTheme="minorEastAsia" w:hAnsiTheme="minorHAnsi"/>
                <w:b w:val="false"/>
                <w:bCs w:val="false"/>
                <w:sz w:val="22"/>
                <w:szCs w:val="22"/>
              </w:rPr>
              <w:tab/>
            </w:r>
            <w:r>
              <w:rPr>
                <w:webHidden/>
              </w:rPr>
              <w:fldChar w:fldCharType="begin"/>
            </w:r>
            <w:r>
              <w:rPr>
                <w:webHidden/>
              </w:rPr>
              <w:instrText xml:space="preserve">PAGEREF _Toc124254182 \h</w:instrText>
            </w:r>
            <w:r>
              <w:rPr>
                <w:webHidden/>
              </w:rPr>
              <w:fldChar w:fldCharType="separate"/>
            </w:r>
            <w:r>
              <w:rPr>
                <w:rStyle w:val="Style11"/>
              </w:rPr>
              <w:t>Требования к документации по ценообразованию на этапе заключения (исполнения) договора</w:t>
              <w:tab/>
              <w:t>15</w:t>
            </w:r>
            <w:r>
              <w:rPr>
                <w:webHidden/>
              </w:rPr>
              <w:fldChar w:fldCharType="end"/>
            </w:r>
          </w:hyperlink>
        </w:p>
        <w:p>
          <w:pPr>
            <w:pStyle w:val="TOC1"/>
            <w:tabs>
              <w:tab w:val="clear" w:pos="708"/>
              <w:tab w:val="left" w:pos="560" w:leader="none"/>
              <w:tab w:val="right" w:pos="9911" w:leader="dot"/>
            </w:tabs>
            <w:jc w:val="both"/>
            <w:rPr>
              <w:rFonts w:ascii="Calibri" w:hAnsi="Calibri" w:eastAsia="" w:cs="" w:asciiTheme="minorHAnsi" w:cstheme="minorBidi" w:eastAsiaTheme="minorEastAsia" w:hAnsiTheme="minorHAnsi"/>
              <w:b w:val="false"/>
              <w:bCs w:val="false"/>
              <w:sz w:val="22"/>
              <w:szCs w:val="22"/>
            </w:rPr>
          </w:pPr>
          <w:hyperlink w:anchor="_Toc124254183">
            <w:r>
              <w:rPr>
                <w:webHidden/>
                <w:rStyle w:val="Style11"/>
                <w:vanish w:val="false"/>
              </w:rPr>
              <w:t>5.</w:t>
            </w:r>
            <w:r>
              <w:rPr>
                <w:rStyle w:val="Style11"/>
                <w:rFonts w:eastAsia="" w:cs="" w:ascii="Calibri" w:hAnsi="Calibri" w:asciiTheme="minorHAnsi" w:cstheme="minorBidi" w:eastAsiaTheme="minorEastAsia" w:hAnsiTheme="minorHAnsi"/>
                <w:b w:val="false"/>
                <w:bCs w:val="false"/>
                <w:sz w:val="22"/>
                <w:szCs w:val="22"/>
              </w:rPr>
              <w:tab/>
            </w:r>
            <w:r>
              <w:rPr>
                <w:rStyle w:val="Style11"/>
                <w:iCs/>
              </w:rPr>
              <w:t>Приложения</w:t>
            </w:r>
            <w:r>
              <w:rPr>
                <w:webHidden/>
              </w:rPr>
              <w:fldChar w:fldCharType="begin"/>
            </w:r>
            <w:r>
              <w:rPr>
                <w:webHidden/>
              </w:rPr>
              <w:instrText xml:space="preserve">PAGEREF _Toc124254183 \h</w:instrText>
            </w:r>
            <w:r>
              <w:rPr>
                <w:webHidden/>
              </w:rPr>
              <w:fldChar w:fldCharType="separate"/>
            </w:r>
            <w:r>
              <w:rPr>
                <w:rStyle w:val="Style11"/>
              </w:rPr>
              <w:tab/>
              <w:t>16</w:t>
            </w:r>
            <w:r>
              <w:rPr>
                <w:webHidden/>
              </w:rPr>
              <w:fldChar w:fldCharType="end"/>
            </w:r>
          </w:hyperlink>
          <w:r>
            <w:rPr>
              <w:rStyle w:val="Style11"/>
            </w:rPr>
            <w:fldChar w:fldCharType="end"/>
          </w:r>
        </w:p>
      </w:sdtContent>
    </w:sdt>
    <w:p>
      <w:pPr>
        <w:pStyle w:val="Heading2"/>
        <w:numPr>
          <w:ilvl w:val="0"/>
        </w:numPr>
        <w:tabs>
          <w:tab w:val="clear" w:pos="0"/>
        </w:tabs>
        <w:ind w:left="0" w:hanging="0"/>
        <w:rPr/>
      </w:pPr>
      <w:r>
        <w:rPr/>
      </w:r>
    </w:p>
    <w:p>
      <w:pPr>
        <w:pStyle w:val="Normal"/>
        <w:keepNext w:val="true"/>
        <w:keepLines/>
        <w:jc w:val="center"/>
        <w:rPr>
          <w:rFonts w:eastAsia="Calibri"/>
          <w:b/>
          <w:i/>
          <w:i/>
          <w:sz w:val="24"/>
          <w:szCs w:val="24"/>
        </w:rPr>
      </w:pPr>
      <w:r>
        <w:rPr>
          <w:rFonts w:eastAsia="Calibri"/>
          <w:b/>
          <w:i/>
          <w:sz w:val="24"/>
          <w:szCs w:val="24"/>
        </w:rPr>
      </w:r>
      <w:r>
        <w:br w:type="page"/>
      </w:r>
    </w:p>
    <w:p>
      <w:pPr>
        <w:pStyle w:val="Heading1"/>
        <w:ind w:left="0" w:hanging="0"/>
        <w:jc w:val="center"/>
        <w:rPr/>
      </w:pPr>
      <w:bookmarkStart w:id="0" w:name="_Toc124254170"/>
      <w:r>
        <w:rPr/>
        <w:t>Общие сведения</w:t>
      </w:r>
      <w:bookmarkEnd w:id="0"/>
    </w:p>
    <w:p>
      <w:pPr>
        <w:pStyle w:val="Normal"/>
        <w:rPr>
          <w:sz w:val="24"/>
          <w:szCs w:val="24"/>
          <w:lang w:eastAsia="x-none"/>
        </w:rPr>
      </w:pPr>
      <w:r>
        <w:rPr>
          <w:sz w:val="24"/>
          <w:szCs w:val="24"/>
          <w:lang w:eastAsia="x-none"/>
        </w:rPr>
      </w:r>
    </w:p>
    <w:p>
      <w:pPr>
        <w:pStyle w:val="Heading4"/>
        <w:numPr>
          <w:ilvl w:val="1"/>
          <w:numId w:val="1"/>
        </w:numPr>
        <w:ind w:left="0" w:hanging="0"/>
        <w:rPr/>
      </w:pPr>
      <w:bookmarkStart w:id="1" w:name="_Toc124254171"/>
      <w:bookmarkStart w:id="2" w:name="_Toc46743506"/>
      <w:r>
        <w:rPr/>
        <w:t>Наименование закупаемой продукции</w:t>
      </w:r>
      <w:bookmarkEnd w:id="1"/>
      <w:bookmarkEnd w:id="2"/>
    </w:p>
    <w:p>
      <w:pPr>
        <w:pStyle w:val="Normal"/>
        <w:widowControl w:val="false"/>
        <w:tabs>
          <w:tab w:val="clear" w:pos="708"/>
          <w:tab w:val="left" w:pos="426" w:leader="none"/>
        </w:tabs>
        <w:jc w:val="both"/>
        <w:rPr>
          <w:rStyle w:val="Style7"/>
          <w:b w:val="false"/>
          <w:bCs/>
          <w:sz w:val="24"/>
          <w:szCs w:val="24"/>
        </w:rPr>
      </w:pPr>
      <w:r>
        <w:rPr>
          <w:rFonts w:eastAsia="Calibri"/>
          <w:sz w:val="24"/>
          <w:szCs w:val="24"/>
          <w:lang w:eastAsia="x-none"/>
        </w:rPr>
        <w:t>«ОКПД2 63.11.12. Реализация коммуникационных проектов и проведение PR-мероприятий, размещение информационных материалов в СМИ»</w:t>
      </w:r>
    </w:p>
    <w:p>
      <w:pPr>
        <w:pStyle w:val="Heading4"/>
        <w:numPr>
          <w:ilvl w:val="1"/>
          <w:numId w:val="1"/>
        </w:numPr>
        <w:ind w:left="0" w:hanging="0"/>
        <w:rPr>
          <w:rStyle w:val="Style7"/>
          <w:b/>
          <w:lang w:val="ru-RU"/>
        </w:rPr>
      </w:pPr>
      <w:bookmarkStart w:id="3" w:name="_Toc124254172"/>
      <w:bookmarkStart w:id="4" w:name="_Toc46743507"/>
      <w:r>
        <w:rPr/>
        <w:t xml:space="preserve">Цель </w:t>
      </w:r>
      <w:bookmarkEnd w:id="4"/>
      <w:r>
        <w:rPr/>
        <w:t>оказания услуг</w:t>
      </w:r>
      <w:bookmarkEnd w:id="3"/>
      <w:r>
        <w:rPr/>
        <w:t xml:space="preserve"> </w:t>
      </w:r>
    </w:p>
    <w:p>
      <w:pPr>
        <w:pStyle w:val="Normal"/>
        <w:jc w:val="both"/>
        <w:rPr>
          <w:sz w:val="24"/>
          <w:szCs w:val="24"/>
          <w:lang w:eastAsia="x-none"/>
        </w:rPr>
      </w:pPr>
      <w:r>
        <w:rPr>
          <w:sz w:val="24"/>
          <w:szCs w:val="24"/>
          <w:lang w:eastAsia="x-none"/>
        </w:rPr>
        <w:t>Основной целью является оказание PR-услуг, включая проведение исследований, связанных с PR-деятельностью Группы РусГидро; организация, оформление и проведение мероприятий для СМИ и иных стейкхолдеров Заказчика, подготовка и размещение информационных и рекламных материалов в СМИ, социальных медиа и иных каналах коммуникации.</w:t>
      </w:r>
    </w:p>
    <w:p>
      <w:pPr>
        <w:pStyle w:val="Normal"/>
        <w:rPr>
          <w:sz w:val="24"/>
          <w:szCs w:val="24"/>
          <w:lang w:eastAsia="x-none"/>
        </w:rPr>
      </w:pPr>
      <w:r>
        <w:rPr>
          <w:sz w:val="24"/>
          <w:szCs w:val="24"/>
          <w:lang w:eastAsia="x-none"/>
        </w:rPr>
      </w:r>
    </w:p>
    <w:p>
      <w:pPr>
        <w:pStyle w:val="Heading1"/>
        <w:ind w:left="0" w:hanging="0"/>
        <w:jc w:val="center"/>
        <w:rPr/>
      </w:pPr>
      <w:bookmarkStart w:id="5" w:name="_Toc51339693"/>
      <w:bookmarkStart w:id="6" w:name="_Toc124254173"/>
      <w:r>
        <w:rPr>
          <w:lang w:val="ru-RU"/>
        </w:rPr>
        <w:t>Требования</w:t>
      </w:r>
      <w:r>
        <w:rPr/>
        <w:t xml:space="preserve"> к продукции</w:t>
      </w:r>
      <w:bookmarkEnd w:id="5"/>
      <w:bookmarkEnd w:id="6"/>
    </w:p>
    <w:p>
      <w:pPr>
        <w:pStyle w:val="Normal"/>
        <w:rPr>
          <w:sz w:val="24"/>
          <w:szCs w:val="24"/>
          <w:lang w:eastAsia="x-none"/>
        </w:rPr>
      </w:pPr>
      <w:r>
        <w:rPr>
          <w:sz w:val="24"/>
          <w:szCs w:val="24"/>
          <w:lang w:eastAsia="x-none"/>
        </w:rPr>
      </w:r>
    </w:p>
    <w:p>
      <w:pPr>
        <w:pStyle w:val="Heading4"/>
        <w:numPr>
          <w:ilvl w:val="1"/>
          <w:numId w:val="1"/>
        </w:numPr>
        <w:ind w:left="0" w:hanging="0"/>
        <w:rPr/>
      </w:pPr>
      <w:bookmarkStart w:id="7" w:name="_Toc124254174"/>
      <w:r>
        <w:rPr/>
        <w:t xml:space="preserve">Требования к объемам и срокам </w:t>
      </w:r>
      <w:r>
        <w:rPr>
          <w:lang w:val="ru-RU"/>
        </w:rPr>
        <w:t>оказания услуг</w:t>
      </w:r>
      <w:bookmarkEnd w:id="7"/>
    </w:p>
    <w:p>
      <w:pPr>
        <w:pStyle w:val="Heading3"/>
        <w:ind w:left="0" w:hanging="0"/>
        <w:rPr/>
      </w:pPr>
      <w:bookmarkStart w:id="8" w:name="_Toc124254175"/>
      <w:r>
        <w:rPr/>
        <w:t>Требования к перечню и объему услуг</w:t>
      </w:r>
      <w:bookmarkEnd w:id="8"/>
    </w:p>
    <w:p>
      <w:pPr>
        <w:pStyle w:val="Normal"/>
        <w:jc w:val="right"/>
        <w:rPr>
          <w:b/>
          <w:sz w:val="24"/>
          <w:szCs w:val="24"/>
          <w:lang w:eastAsia="x-none"/>
        </w:rPr>
      </w:pPr>
      <w:bookmarkStart w:id="9" w:name="_Toc124254176"/>
      <w:bookmarkStart w:id="10" w:name="_Toc51339695"/>
      <w:r>
        <w:rPr>
          <w:b/>
          <w:sz w:val="24"/>
          <w:szCs w:val="24"/>
          <w:lang w:eastAsia="x-none"/>
        </w:rPr>
        <w:t xml:space="preserve">Таблица 2. Перечень </w:t>
      </w:r>
      <w:bookmarkEnd w:id="10"/>
      <w:r>
        <w:rPr>
          <w:b/>
          <w:sz w:val="24"/>
          <w:szCs w:val="24"/>
          <w:lang w:eastAsia="x-none"/>
        </w:rPr>
        <w:t>и объем оказываемых услуг</w:t>
      </w:r>
      <w:bookmarkEnd w:id="9"/>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754"/>
        <w:gridCol w:w="5976"/>
        <w:gridCol w:w="1740"/>
        <w:gridCol w:w="1450"/>
      </w:tblGrid>
      <w:tr>
        <w:trPr>
          <w:tblHeader w:val="true"/>
        </w:trPr>
        <w:tc>
          <w:tcPr>
            <w:tcW w:w="75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597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2"/>
                <w:szCs w:val="22"/>
              </w:rPr>
            </w:pPr>
            <w:r>
              <w:rPr>
                <w:sz w:val="22"/>
                <w:szCs w:val="22"/>
              </w:rPr>
              <w:t>Наименование услуг</w:t>
            </w:r>
          </w:p>
        </w:tc>
        <w:tc>
          <w:tcPr>
            <w:tcW w:w="174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2"/>
                <w:szCs w:val="22"/>
              </w:rPr>
            </w:pPr>
            <w:r>
              <w:rPr>
                <w:sz w:val="22"/>
                <w:szCs w:val="22"/>
              </w:rPr>
              <w:t>Единица измерения</w:t>
            </w:r>
          </w:p>
        </w:tc>
        <w:tc>
          <w:tcPr>
            <w:tcW w:w="145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2"/>
                <w:szCs w:val="22"/>
              </w:rPr>
            </w:pPr>
            <w:r>
              <w:rPr>
                <w:sz w:val="22"/>
                <w:szCs w:val="22"/>
              </w:rPr>
              <w:t>Количество</w:t>
            </w:r>
          </w:p>
        </w:tc>
      </w:tr>
      <w:tr>
        <w:trPr>
          <w:tblHeader w:val="true"/>
        </w:trPr>
        <w:tc>
          <w:tcPr>
            <w:tcW w:w="75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59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17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14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iCs/>
                <w:sz w:val="24"/>
                <w:szCs w:val="24"/>
              </w:rPr>
            </w:pPr>
            <w:r>
              <w:rPr>
                <w:iCs/>
                <w:sz w:val="24"/>
                <w:szCs w:val="24"/>
              </w:rPr>
              <w:t>Проведение исследований, разработка рекомендаций</w:t>
            </w:r>
          </w:p>
        </w:tc>
        <w:tc>
          <w:tcPr>
            <w:tcW w:w="3190" w:type="dxa"/>
            <w:gridSpan w:val="2"/>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iCs/>
                <w:sz w:val="24"/>
                <w:szCs w:val="24"/>
              </w:rPr>
            </w:pPr>
            <w:r>
              <w:rPr>
                <w:iCs/>
                <w:sz w:val="24"/>
                <w:szCs w:val="24"/>
              </w:rPr>
              <w:t>В соответствии с Приложением №1 к Техническим требованиям «Перечень возможных услуг, которые будут заказываться по заявкам, включая параметры (характеристики), объем и результат услуг»</w:t>
            </w:r>
          </w:p>
          <w:p>
            <w:pPr>
              <w:pStyle w:val="Normal"/>
              <w:widowControl w:val="false"/>
              <w:rPr>
                <w:iCs/>
                <w:sz w:val="24"/>
                <w:szCs w:val="24"/>
              </w:rPr>
            </w:pPr>
            <w:r>
              <w:rPr>
                <w:iCs/>
                <w:sz w:val="24"/>
                <w:szCs w:val="24"/>
              </w:rPr>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iCs/>
                <w:sz w:val="24"/>
                <w:szCs w:val="24"/>
              </w:rPr>
            </w:pPr>
            <w:r>
              <w:rPr>
                <w:iCs/>
                <w:sz w:val="24"/>
                <w:szCs w:val="24"/>
              </w:rPr>
              <w:t>Оформление мест проведения PR, коммуникационных, публичных мероприятий: пресс-конференций, брифингов, круглых столов, семинаров, выездных совещаний, торжественных церемоний и иных мероприятий, включая изготовление раздаточной продукции и элементов оформления</w:t>
            </w:r>
          </w:p>
        </w:tc>
        <w:tc>
          <w:tcPr>
            <w:tcW w:w="3190"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iCs/>
                <w:sz w:val="24"/>
                <w:szCs w:val="24"/>
              </w:rPr>
            </w:pPr>
            <w:r>
              <w:rPr>
                <w:iCs/>
                <w:sz w:val="24"/>
                <w:szCs w:val="24"/>
              </w:rPr>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iCs/>
                <w:sz w:val="24"/>
                <w:szCs w:val="24"/>
              </w:rPr>
            </w:pPr>
            <w:r>
              <w:rPr>
                <w:iCs/>
                <w:sz w:val="24"/>
                <w:szCs w:val="24"/>
              </w:rPr>
              <w:t>Организация и проведение пресс-конференций, брифингов с обеспечением участия представителей СМИ, круглых столов, сессий, семинаров, мероприятий для журналистов, работников и представителей иных стейкхолдеров РусГидро</w:t>
            </w:r>
          </w:p>
        </w:tc>
        <w:tc>
          <w:tcPr>
            <w:tcW w:w="3190"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iCs/>
                <w:sz w:val="24"/>
                <w:szCs w:val="24"/>
              </w:rPr>
            </w:pPr>
            <w:r>
              <w:rPr>
                <w:iCs/>
                <w:sz w:val="24"/>
                <w:szCs w:val="24"/>
              </w:rPr>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iCs/>
                <w:sz w:val="24"/>
                <w:szCs w:val="24"/>
              </w:rPr>
            </w:pPr>
            <w:r>
              <w:rPr>
                <w:rFonts w:eastAsia="Calibri"/>
                <w:sz w:val="24"/>
                <w:szCs w:val="24"/>
                <w:lang w:eastAsia="x-none"/>
              </w:rPr>
              <w:t>Организация и проведение торжественных церемоний</w:t>
            </w:r>
          </w:p>
        </w:tc>
        <w:tc>
          <w:tcPr>
            <w:tcW w:w="3190"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iCs/>
                <w:sz w:val="24"/>
                <w:szCs w:val="24"/>
              </w:rPr>
            </w:pPr>
            <w:r>
              <w:rPr>
                <w:iCs/>
                <w:sz w:val="24"/>
                <w:szCs w:val="24"/>
              </w:rPr>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both"/>
              <w:rPr>
                <w:iCs/>
                <w:sz w:val="24"/>
                <w:szCs w:val="24"/>
              </w:rPr>
            </w:pPr>
            <w:r>
              <w:rPr>
                <w:iCs/>
                <w:sz w:val="24"/>
                <w:szCs w:val="24"/>
              </w:rPr>
              <w:t>Организация и проведение корпоративных конкурсов среди работников и иных стейкхолдеров компании (СМИ, блогеры, работники компании и члены семей работников компании и др.)</w:t>
            </w:r>
          </w:p>
        </w:tc>
        <w:tc>
          <w:tcPr>
            <w:tcW w:w="3190"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center"/>
              <w:rPr>
                <w:iCs/>
                <w:sz w:val="22"/>
                <w:szCs w:val="22"/>
              </w:rPr>
            </w:pPr>
            <w:r>
              <w:rPr>
                <w:iCs/>
                <w:sz w:val="22"/>
                <w:szCs w:val="22"/>
              </w:rPr>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both"/>
              <w:rPr>
                <w:iCs/>
                <w:sz w:val="24"/>
                <w:szCs w:val="24"/>
              </w:rPr>
            </w:pPr>
            <w:r>
              <w:rPr>
                <w:iCs/>
                <w:sz w:val="24"/>
                <w:szCs w:val="24"/>
              </w:rPr>
              <w:t>Организация и проведение PR-туров, в том числе, но не ограничиваясь: пресс- и блоготуров</w:t>
            </w:r>
          </w:p>
        </w:tc>
        <w:tc>
          <w:tcPr>
            <w:tcW w:w="3190"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center"/>
              <w:rPr>
                <w:iCs/>
                <w:sz w:val="22"/>
                <w:szCs w:val="22"/>
              </w:rPr>
            </w:pPr>
            <w:r>
              <w:rPr>
                <w:iCs/>
                <w:sz w:val="22"/>
                <w:szCs w:val="22"/>
              </w:rPr>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both"/>
              <w:rPr>
                <w:iCs/>
                <w:sz w:val="24"/>
                <w:szCs w:val="24"/>
              </w:rPr>
            </w:pPr>
            <w:r>
              <w:rPr>
                <w:iCs/>
                <w:sz w:val="24"/>
                <w:szCs w:val="24"/>
              </w:rPr>
              <w:t>Организация подготовки и инициирования размещения рекламных и информационных материалов: видео, аудио, печатных, партнерских и специальных проектов (серии материалов)</w:t>
            </w:r>
          </w:p>
        </w:tc>
        <w:tc>
          <w:tcPr>
            <w:tcW w:w="3190"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center"/>
              <w:rPr>
                <w:iCs/>
                <w:sz w:val="22"/>
                <w:szCs w:val="22"/>
              </w:rPr>
            </w:pPr>
            <w:r>
              <w:rPr>
                <w:iCs/>
                <w:sz w:val="22"/>
                <w:szCs w:val="22"/>
              </w:rPr>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both"/>
              <w:rPr>
                <w:iCs/>
                <w:sz w:val="24"/>
                <w:szCs w:val="24"/>
              </w:rPr>
            </w:pPr>
            <w:r>
              <w:rPr>
                <w:iCs/>
                <w:sz w:val="24"/>
                <w:szCs w:val="24"/>
              </w:rPr>
              <w:t>Размещение тематических материалов и проведение информационных кампаний в соцмедиа (каналы в мессенджерах, сообщества в соцсетях). Размещение информации в  соцмедиа (каналы в мессенджерах, сообщества в соцсетях) (включая подготовку и размещение информационных материалов)</w:t>
            </w:r>
          </w:p>
        </w:tc>
        <w:tc>
          <w:tcPr>
            <w:tcW w:w="3190"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center"/>
              <w:rPr>
                <w:iCs/>
                <w:sz w:val="22"/>
                <w:szCs w:val="22"/>
              </w:rPr>
            </w:pPr>
            <w:r>
              <w:rPr>
                <w:iCs/>
                <w:sz w:val="22"/>
                <w:szCs w:val="22"/>
              </w:rPr>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both"/>
              <w:rPr>
                <w:iCs/>
                <w:sz w:val="24"/>
                <w:szCs w:val="24"/>
              </w:rPr>
            </w:pPr>
            <w:r>
              <w:rPr>
                <w:iCs/>
                <w:sz w:val="24"/>
                <w:szCs w:val="24"/>
              </w:rPr>
              <w:t>Организация и проведение выставок и экспозиций Заказчика или участие в выставках и экспозициях третьих лиц</w:t>
            </w:r>
          </w:p>
        </w:tc>
        <w:tc>
          <w:tcPr>
            <w:tcW w:w="3190"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center"/>
              <w:rPr>
                <w:iCs/>
                <w:sz w:val="22"/>
                <w:szCs w:val="22"/>
              </w:rPr>
            </w:pPr>
            <w:r>
              <w:rPr>
                <w:iCs/>
                <w:sz w:val="22"/>
                <w:szCs w:val="22"/>
              </w:rPr>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both"/>
              <w:rPr>
                <w:iCs/>
                <w:sz w:val="24"/>
                <w:szCs w:val="24"/>
              </w:rPr>
            </w:pPr>
            <w:r>
              <w:rPr>
                <w:iCs/>
                <w:sz w:val="24"/>
                <w:szCs w:val="24"/>
              </w:rPr>
              <w:t>Проведение тематических мероприятий для работников компании и членов их семей, в том числе, но не исключая «День детей РусГидро»</w:t>
            </w:r>
          </w:p>
        </w:tc>
        <w:tc>
          <w:tcPr>
            <w:tcW w:w="3190"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center"/>
              <w:rPr>
                <w:iCs/>
                <w:sz w:val="22"/>
                <w:szCs w:val="22"/>
              </w:rPr>
            </w:pPr>
            <w:r>
              <w:rPr>
                <w:iCs/>
                <w:sz w:val="22"/>
                <w:szCs w:val="22"/>
              </w:rPr>
            </w:r>
          </w:p>
        </w:tc>
      </w:tr>
      <w:tr>
        <w:trPr/>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5"/>
              </w:numPr>
              <w:jc w:val="center"/>
              <w:rPr>
                <w:iCs/>
              </w:rPr>
            </w:pPr>
            <w:r>
              <w:rPr>
                <w:iCs/>
              </w:rPr>
            </w:r>
          </w:p>
        </w:tc>
        <w:tc>
          <w:tcPr>
            <w:tcW w:w="59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both"/>
              <w:rPr>
                <w:iCs/>
                <w:sz w:val="24"/>
                <w:szCs w:val="24"/>
              </w:rPr>
            </w:pPr>
            <w:r>
              <w:rPr>
                <w:iCs/>
                <w:sz w:val="24"/>
                <w:szCs w:val="24"/>
              </w:rPr>
              <w:t>Обеспечение оказания разовых услуг в рамках PR –мероприятий</w:t>
            </w:r>
          </w:p>
        </w:tc>
        <w:tc>
          <w:tcPr>
            <w:tcW w:w="3190"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jc w:val="center"/>
              <w:rPr>
                <w:iCs/>
                <w:sz w:val="22"/>
                <w:szCs w:val="22"/>
              </w:rPr>
            </w:pPr>
            <w:r>
              <w:rPr>
                <w:iCs/>
                <w:sz w:val="22"/>
                <w:szCs w:val="22"/>
              </w:rPr>
            </w:r>
          </w:p>
        </w:tc>
      </w:tr>
    </w:tbl>
    <w:p>
      <w:pPr>
        <w:pStyle w:val="Normal"/>
        <w:widowControl w:val="false"/>
        <w:tabs>
          <w:tab w:val="clear" w:pos="708"/>
          <w:tab w:val="left" w:pos="426" w:leader="none"/>
        </w:tabs>
        <w:rPr>
          <w:bCs/>
          <w:i/>
          <w:i/>
          <w:sz w:val="24"/>
          <w:szCs w:val="24"/>
          <w:shd w:fill="FFFF99" w:val="clear"/>
        </w:rPr>
      </w:pPr>
      <w:r>
        <w:rPr>
          <w:bCs/>
          <w:i/>
          <w:sz w:val="24"/>
          <w:szCs w:val="24"/>
          <w:shd w:fill="FFFF99" w:val="clear"/>
        </w:rPr>
      </w:r>
    </w:p>
    <w:p>
      <w:pPr>
        <w:pStyle w:val="Heading3"/>
        <w:ind w:left="0" w:hanging="0"/>
        <w:rPr/>
      </w:pPr>
      <w:bookmarkStart w:id="11" w:name="_Toc124254177"/>
      <w:bookmarkStart w:id="12" w:name="_Toc51339696"/>
      <w:r>
        <w:rPr/>
        <w:t xml:space="preserve">Требования </w:t>
      </w:r>
      <w:bookmarkEnd w:id="12"/>
      <w:r>
        <w:rPr/>
        <w:t>к срокам оказания услуг</w:t>
      </w:r>
      <w:bookmarkEnd w:id="11"/>
    </w:p>
    <w:p>
      <w:pPr>
        <w:pStyle w:val="Heading1"/>
        <w:numPr>
          <w:ilvl w:val="0"/>
          <w:numId w:val="0"/>
        </w:numPr>
        <w:ind w:left="0" w:hanging="0"/>
        <w:jc w:val="right"/>
        <w:rPr>
          <w:sz w:val="24"/>
          <w:szCs w:val="24"/>
          <w:lang w:val="ru-RU"/>
        </w:rPr>
      </w:pPr>
      <w:bookmarkStart w:id="13" w:name="_Toc124254178"/>
      <w:bookmarkStart w:id="14" w:name="_Toc50125127"/>
      <w:bookmarkStart w:id="15" w:name="_Toc51339697"/>
      <w:bookmarkStart w:id="16" w:name="_Toc50125126"/>
      <w:bookmarkEnd w:id="16"/>
      <w:r>
        <w:rPr>
          <w:sz w:val="24"/>
          <w:szCs w:val="24"/>
        </w:rPr>
        <w:t xml:space="preserve">Таблица </w:t>
      </w:r>
      <w:r>
        <w:rPr>
          <w:sz w:val="24"/>
          <w:szCs w:val="24"/>
          <w:lang w:val="ru-RU"/>
        </w:rPr>
        <w:t>3</w:t>
      </w:r>
      <w:r>
        <w:rPr>
          <w:sz w:val="24"/>
          <w:szCs w:val="24"/>
        </w:rPr>
        <w:t xml:space="preserve">. </w:t>
      </w:r>
      <w:bookmarkStart w:id="17" w:name="_Hlk50465284"/>
      <w:r>
        <w:rPr>
          <w:sz w:val="24"/>
          <w:szCs w:val="24"/>
        </w:rPr>
        <w:t xml:space="preserve">Требования </w:t>
      </w:r>
      <w:r>
        <w:rPr>
          <w:sz w:val="24"/>
          <w:szCs w:val="24"/>
          <w:lang w:val="ru-RU"/>
        </w:rPr>
        <w:t>к</w:t>
      </w:r>
      <w:r>
        <w:rPr>
          <w:sz w:val="24"/>
          <w:szCs w:val="24"/>
        </w:rPr>
        <w:t xml:space="preserve"> срокам </w:t>
      </w:r>
      <w:bookmarkEnd w:id="14"/>
      <w:bookmarkEnd w:id="15"/>
      <w:bookmarkEnd w:id="17"/>
      <w:r>
        <w:rPr>
          <w:sz w:val="24"/>
          <w:szCs w:val="24"/>
          <w:lang w:val="ru-RU"/>
        </w:rPr>
        <w:t>оказания услуг</w:t>
      </w:r>
      <w:bookmarkEnd w:id="13"/>
    </w:p>
    <w:tbl>
      <w:tblPr>
        <w:tblW w:w="9923"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09"/>
        <w:gridCol w:w="5102"/>
        <w:gridCol w:w="1987"/>
        <w:gridCol w:w="2124"/>
      </w:tblGrid>
      <w:tr>
        <w:trPr>
          <w:tblHeader w:val="true"/>
        </w:trPr>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51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услуг/ этапа услуг</w:t>
            </w:r>
          </w:p>
        </w:tc>
        <w:tc>
          <w:tcPr>
            <w:tcW w:w="19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оказания услуг/ этапа услуг</w:t>
            </w:r>
          </w:p>
        </w:tc>
        <w:tc>
          <w:tcPr>
            <w:tcW w:w="21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оказания услуг / этапа услуг</w:t>
            </w:r>
          </w:p>
        </w:tc>
      </w:tr>
      <w:tr>
        <w:trPr>
          <w:tblHeader w:val="true"/>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1</w:t>
            </w:r>
          </w:p>
        </w:tc>
        <w:tc>
          <w:tcPr>
            <w:tcW w:w="51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2</w:t>
            </w:r>
          </w:p>
        </w:tc>
        <w:tc>
          <w:tcPr>
            <w:tcW w:w="1987" w:type="dxa"/>
            <w:tcBorders>
              <w:top w:val="single" w:sz="4" w:space="0" w:color="000000"/>
              <w:left w:val="single" w:sz="4" w:space="0" w:color="000000"/>
              <w:bottom w:val="single" w:sz="4" w:space="0" w:color="000000"/>
              <w:right w:val="single" w:sz="4" w:space="0" w:color="000000"/>
            </w:tcBorders>
          </w:tcPr>
          <w:p>
            <w:pPr>
              <w:pStyle w:val="Style15"/>
              <w:keepNext w:val="false"/>
              <w:widowControl w:val="false"/>
              <w:spacing w:before="40" w:after="40"/>
              <w:jc w:val="center"/>
              <w:rPr>
                <w:sz w:val="24"/>
                <w:szCs w:val="24"/>
              </w:rPr>
            </w:pPr>
            <w:r>
              <w:rPr>
                <w:b/>
                <w:sz w:val="24"/>
                <w:szCs w:val="24"/>
              </w:rPr>
              <w:t>3</w:t>
            </w:r>
          </w:p>
        </w:tc>
        <w:tc>
          <w:tcPr>
            <w:tcW w:w="2124" w:type="dxa"/>
            <w:tcBorders>
              <w:top w:val="single" w:sz="4" w:space="0" w:color="000000"/>
              <w:left w:val="single" w:sz="4" w:space="0" w:color="000000"/>
              <w:bottom w:val="single" w:sz="4" w:space="0" w:color="000000"/>
              <w:right w:val="single" w:sz="4" w:space="0" w:color="000000"/>
            </w:tcBorders>
          </w:tcPr>
          <w:p>
            <w:pPr>
              <w:pStyle w:val="Style15"/>
              <w:keepNext w:val="false"/>
              <w:widowControl w:val="false"/>
              <w:spacing w:before="40" w:after="40"/>
              <w:jc w:val="center"/>
              <w:rPr>
                <w:sz w:val="24"/>
                <w:szCs w:val="24"/>
              </w:rPr>
            </w:pPr>
            <w:r>
              <w:rPr>
                <w:b/>
                <w:sz w:val="24"/>
                <w:szCs w:val="24"/>
              </w:rPr>
              <w:t>4</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p>
        </w:tc>
        <w:tc>
          <w:tcPr>
            <w:tcW w:w="51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4"/>
                <w:szCs w:val="24"/>
              </w:rPr>
            </w:pPr>
            <w:r>
              <w:rPr>
                <w:iCs/>
                <w:sz w:val="24"/>
                <w:szCs w:val="24"/>
              </w:rPr>
              <w:t>Проведение исследований, разработка рекомендаций</w:t>
            </w:r>
          </w:p>
        </w:tc>
        <w:tc>
          <w:tcPr>
            <w:tcW w:w="411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Сроки оказания услуг согласуются сторонами в заявке на оказание данных услуг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p>
        </w:tc>
        <w:tc>
          <w:tcPr>
            <w:tcW w:w="51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4"/>
                <w:szCs w:val="24"/>
              </w:rPr>
            </w:pPr>
            <w:r>
              <w:rPr>
                <w:iCs/>
                <w:sz w:val="24"/>
                <w:szCs w:val="24"/>
              </w:rPr>
              <w:t>Оформление мест проведения PR, коммуникационных, публичных мероприятий: пресс-конференций, брифингов, круглых столов, семинаров, выездных совещаний, торжественных церемоний и иных мероприятий, включая изготовление раздаточной продукции и элементов оформления</w:t>
            </w:r>
          </w:p>
        </w:tc>
        <w:tc>
          <w:tcPr>
            <w:tcW w:w="411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Сроки оказания услуг согласуются сторонами в заявке на оказание данных услуг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p>
        </w:tc>
        <w:tc>
          <w:tcPr>
            <w:tcW w:w="51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4"/>
                <w:szCs w:val="24"/>
              </w:rPr>
            </w:pPr>
            <w:r>
              <w:rPr>
                <w:iCs/>
                <w:sz w:val="24"/>
                <w:szCs w:val="24"/>
              </w:rPr>
              <w:t>Организация и проведение пресс-конференций, брифингов с обеспечением участия представителей СМИ, круглых столов, сессий, семинаров, мероприятий для журналистов, работников и представителей иных стейкхолдеров РусГидро</w:t>
            </w:r>
          </w:p>
        </w:tc>
        <w:tc>
          <w:tcPr>
            <w:tcW w:w="411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Сроки оказания услуг согласуются сторонами в заявке на оказание данных услуг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p>
        </w:tc>
        <w:tc>
          <w:tcPr>
            <w:tcW w:w="51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4"/>
                <w:szCs w:val="24"/>
              </w:rPr>
            </w:pPr>
            <w:r>
              <w:rPr>
                <w:rFonts w:eastAsia="Calibri"/>
                <w:sz w:val="24"/>
                <w:szCs w:val="24"/>
                <w:lang w:eastAsia="x-none"/>
              </w:rPr>
              <w:t>Организация и проведение торжественных церемоний</w:t>
            </w:r>
          </w:p>
        </w:tc>
        <w:tc>
          <w:tcPr>
            <w:tcW w:w="411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Сроки оказания услуг согласуются сторонами в заявке на оказание данных услуг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p>
        </w:tc>
        <w:tc>
          <w:tcPr>
            <w:tcW w:w="510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iCs/>
                <w:sz w:val="24"/>
                <w:szCs w:val="24"/>
              </w:rPr>
              <w:t>Организация и проведение корпоративных конкурсов среди работников и иных стейкхолдеров компании (СМИ, блогеры, работники компании и члены семей работников компании и др.)</w:t>
            </w:r>
          </w:p>
        </w:tc>
        <w:tc>
          <w:tcPr>
            <w:tcW w:w="411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Сроки оказания услуг согласуются сторонами в заявке на оказание данных услуг</w:t>
            </w:r>
          </w:p>
        </w:tc>
      </w:tr>
      <w:tr>
        <w:trPr>
          <w:trHeight w:val="1669" w:hRule="atLeast"/>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p>
        </w:tc>
        <w:tc>
          <w:tcPr>
            <w:tcW w:w="510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iCs/>
                <w:sz w:val="24"/>
                <w:szCs w:val="24"/>
              </w:rPr>
              <w:t>Организация и проведение PR-туров, в том числе, но не ограничиваясь: пресс- и блоготуров</w:t>
            </w:r>
          </w:p>
        </w:tc>
        <w:tc>
          <w:tcPr>
            <w:tcW w:w="19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 даты подписания Заявки на оказание такого рода услуг</w:t>
            </w:r>
          </w:p>
        </w:tc>
        <w:tc>
          <w:tcPr>
            <w:tcW w:w="21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В течение пяти рабочих дней</w:t>
            </w:r>
            <w:r>
              <w:rPr/>
              <w:t xml:space="preserve"> </w:t>
            </w:r>
            <w:r>
              <w:rPr>
                <w:sz w:val="24"/>
                <w:szCs w:val="24"/>
              </w:rPr>
              <w:t>с даты подписания заявки на оказание такого рода услуг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p>
        </w:tc>
        <w:tc>
          <w:tcPr>
            <w:tcW w:w="510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iCs/>
                <w:sz w:val="24"/>
                <w:szCs w:val="24"/>
              </w:rPr>
              <w:t>Организация подготовки и инициирования размещения рекламных и информационных материалов: видео, аудио, печатных, партнерских и специальных проектов (серии материалов)</w:t>
            </w:r>
          </w:p>
        </w:tc>
        <w:tc>
          <w:tcPr>
            <w:tcW w:w="19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 даты подписания Заявки на оказание такого рода услуг</w:t>
            </w:r>
          </w:p>
        </w:tc>
        <w:tc>
          <w:tcPr>
            <w:tcW w:w="21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В течение трех рабочих дней с даты подписания заявки на оказание такого рода услуг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p>
        </w:tc>
        <w:tc>
          <w:tcPr>
            <w:tcW w:w="510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iCs/>
                <w:sz w:val="24"/>
                <w:szCs w:val="24"/>
              </w:rPr>
              <w:t>Размещение тематических материалов и проведение информационных кампаний в соцмедиа (каналы в мессенджерах, сообщества в соцсетях). Размещение информации в  соцмедиа (каналы в мессенджерах, сообщества в соцсетях) (включая подготовку и размещение информационных материалов)</w:t>
            </w:r>
          </w:p>
        </w:tc>
        <w:tc>
          <w:tcPr>
            <w:tcW w:w="19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 даты подписания Заявки на оказание такого рода услуг</w:t>
            </w:r>
          </w:p>
        </w:tc>
        <w:tc>
          <w:tcPr>
            <w:tcW w:w="21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В течение трех рабочих дней с даты подписания заявки на оказание такого рода услуг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jc w:val="center"/>
              <w:rPr/>
            </w:pPr>
            <w:r>
              <w:rPr/>
            </w:r>
          </w:p>
        </w:tc>
        <w:tc>
          <w:tcPr>
            <w:tcW w:w="510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iCs/>
                <w:sz w:val="24"/>
                <w:szCs w:val="24"/>
              </w:rPr>
              <w:t>Организация и проведение выставок и экспозиций Заказчика или участие в выставках и экспозициях третьих лиц</w:t>
            </w:r>
          </w:p>
        </w:tc>
        <w:tc>
          <w:tcPr>
            <w:tcW w:w="411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Сроки оказания услуг согласуются сторонами в заявке на оказание данных услуг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p>
        </w:tc>
        <w:tc>
          <w:tcPr>
            <w:tcW w:w="510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iCs/>
                <w:sz w:val="24"/>
                <w:szCs w:val="24"/>
              </w:rPr>
              <w:t>Проведение тематических мероприятий для работников компании и членов их семей, в том числе, но не исключая «День детей РусГидро»</w:t>
            </w:r>
          </w:p>
        </w:tc>
        <w:tc>
          <w:tcPr>
            <w:tcW w:w="411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Сроки оказания услуг согласуются сторонами в заявке на оказание данных услуг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p>
        </w:tc>
        <w:tc>
          <w:tcPr>
            <w:tcW w:w="510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iCs/>
                <w:sz w:val="24"/>
                <w:szCs w:val="24"/>
              </w:rPr>
              <w:t>Обеспечение оказания разовых услуг в рамках PR –мероприятий</w:t>
            </w:r>
          </w:p>
        </w:tc>
        <w:tc>
          <w:tcPr>
            <w:tcW w:w="411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Сроки оказания услуг согласуются сторонами в заявке на оказание данных услуг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rPr/>
            </w:pPr>
            <w:r>
              <w:rPr/>
            </w:r>
            <w:bookmarkStart w:id="18" w:name="_Toc46743510"/>
            <w:bookmarkStart w:id="19" w:name="_Toc46743510"/>
            <w:bookmarkEnd w:id="19"/>
          </w:p>
        </w:tc>
        <w:tc>
          <w:tcPr>
            <w:tcW w:w="510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iCs/>
                <w:sz w:val="24"/>
                <w:szCs w:val="24"/>
              </w:rPr>
            </w:pPr>
            <w:r>
              <w:rPr>
                <w:b/>
                <w:iCs/>
                <w:sz w:val="24"/>
                <w:szCs w:val="24"/>
              </w:rPr>
              <w:t>Общий срок оказания Услуг</w:t>
            </w:r>
          </w:p>
          <w:p>
            <w:pPr>
              <w:pStyle w:val="Normal"/>
              <w:widowControl w:val="false"/>
              <w:jc w:val="both"/>
              <w:rPr>
                <w:iCs/>
                <w:sz w:val="24"/>
                <w:szCs w:val="24"/>
              </w:rPr>
            </w:pPr>
            <w:r>
              <w:rPr>
                <w:iCs/>
                <w:sz w:val="24"/>
                <w:szCs w:val="24"/>
              </w:rPr>
            </w:r>
          </w:p>
        </w:tc>
        <w:tc>
          <w:tcPr>
            <w:tcW w:w="19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iCs/>
                <w:sz w:val="24"/>
                <w:szCs w:val="24"/>
              </w:rPr>
            </w:pPr>
            <w:r>
              <w:rPr>
                <w:b/>
                <w:iCs/>
                <w:sz w:val="24"/>
                <w:szCs w:val="24"/>
              </w:rPr>
              <w:t>С даты заключения Договора</w:t>
            </w:r>
          </w:p>
        </w:tc>
        <w:tc>
          <w:tcPr>
            <w:tcW w:w="21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
                <w:sz w:val="24"/>
                <w:szCs w:val="24"/>
              </w:rPr>
              <w:t>12 (двенадцать) месяцев с даты заключения Договора</w:t>
            </w:r>
          </w:p>
        </w:tc>
      </w:tr>
    </w:tbl>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numPr>
          <w:ilvl w:val="1"/>
          <w:numId w:val="1"/>
        </w:numPr>
        <w:ind w:left="0" w:hanging="0"/>
        <w:rPr/>
      </w:pPr>
      <w:bookmarkStart w:id="20" w:name="_Toc51339698"/>
      <w:bookmarkStart w:id="21" w:name="_Toc124254179"/>
      <w:bookmarkStart w:id="22" w:name="_Toc46743511"/>
      <w:r>
        <w:rPr/>
        <w:t xml:space="preserve">Требования к </w:t>
      </w:r>
      <w:bookmarkEnd w:id="22"/>
      <w:r>
        <w:rPr>
          <w:lang w:val="ru-RU"/>
        </w:rPr>
        <w:t>качеству услуг</w:t>
      </w:r>
      <w:bookmarkEnd w:id="21"/>
    </w:p>
    <w:p>
      <w:pPr>
        <w:pStyle w:val="Heading1"/>
        <w:numPr>
          <w:ilvl w:val="0"/>
          <w:numId w:val="0"/>
        </w:numPr>
        <w:ind w:left="0" w:hanging="0"/>
        <w:jc w:val="right"/>
        <w:rPr>
          <w:sz w:val="24"/>
          <w:szCs w:val="24"/>
        </w:rPr>
      </w:pPr>
      <w:bookmarkStart w:id="23" w:name="_Toc124254180"/>
      <w:r>
        <w:rPr>
          <w:sz w:val="24"/>
          <w:szCs w:val="24"/>
        </w:rPr>
        <w:t>Таблица </w:t>
      </w:r>
      <w:r>
        <w:rPr>
          <w:sz w:val="24"/>
          <w:szCs w:val="24"/>
          <w:lang w:val="ru-RU"/>
        </w:rPr>
        <w:t>4</w:t>
      </w:r>
      <w:r>
        <w:rPr>
          <w:sz w:val="24"/>
          <w:szCs w:val="24"/>
        </w:rPr>
        <w:t xml:space="preserve">. Требования к </w:t>
      </w:r>
      <w:bookmarkEnd w:id="20"/>
      <w:r>
        <w:rPr>
          <w:sz w:val="24"/>
          <w:szCs w:val="24"/>
          <w:lang w:val="ru-RU"/>
        </w:rPr>
        <w:t>качеству услуг</w:t>
      </w:r>
      <w:bookmarkEnd w:id="23"/>
      <w:r>
        <w:rPr>
          <w:sz w:val="24"/>
          <w:szCs w:val="24"/>
        </w:rPr>
        <w:t xml:space="preserve"> </w:t>
      </w:r>
    </w:p>
    <w:tbl>
      <w:tblPr>
        <w:tblStyle w:val="afa"/>
        <w:tblW w:w="15065"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815"/>
        <w:gridCol w:w="2213"/>
        <w:gridCol w:w="6610"/>
        <w:gridCol w:w="2576"/>
        <w:gridCol w:w="11"/>
        <w:gridCol w:w="2840"/>
      </w:tblGrid>
      <w:tr>
        <w:trPr/>
        <w:tc>
          <w:tcPr>
            <w:tcW w:w="815" w:type="dxa"/>
            <w:vMerge w:val="restart"/>
            <w:tcBorders/>
            <w:vAlign w:val="center"/>
          </w:tcPr>
          <w:p>
            <w:pPr>
              <w:pStyle w:val="Normal"/>
              <w:widowControl/>
              <w:suppressAutoHyphens w:val="true"/>
              <w:spacing w:before="0" w:after="0"/>
              <w:jc w:val="center"/>
              <w:rPr>
                <w:b/>
                <w:bCs/>
                <w:sz w:val="24"/>
                <w:szCs w:val="24"/>
              </w:rPr>
            </w:pPr>
            <w:r>
              <w:rPr>
                <w:b/>
                <w:bCs/>
                <w:kern w:val="0"/>
                <w:sz w:val="24"/>
                <w:szCs w:val="24"/>
                <w:lang w:val="ru-RU" w:bidi="ar-SA"/>
              </w:rPr>
              <w:t xml:space="preserve">№ </w:t>
            </w:r>
            <w:r>
              <w:rPr>
                <w:b/>
                <w:bCs/>
                <w:kern w:val="0"/>
                <w:sz w:val="24"/>
                <w:szCs w:val="24"/>
                <w:lang w:val="ru-RU" w:bidi="ar-SA"/>
              </w:rPr>
              <w:t>п/п</w:t>
            </w:r>
          </w:p>
        </w:tc>
        <w:tc>
          <w:tcPr>
            <w:tcW w:w="2213" w:type="dxa"/>
            <w:vMerge w:val="restart"/>
            <w:tcBorders/>
            <w:vAlign w:val="center"/>
          </w:tcPr>
          <w:p>
            <w:pPr>
              <w:pStyle w:val="Normal"/>
              <w:widowControl/>
              <w:suppressAutoHyphens w:val="true"/>
              <w:spacing w:before="0" w:after="0"/>
              <w:jc w:val="center"/>
              <w:rPr>
                <w:b/>
                <w:bCs/>
                <w:sz w:val="24"/>
                <w:szCs w:val="24"/>
              </w:rPr>
            </w:pPr>
            <w:r>
              <w:rPr>
                <w:b/>
                <w:bCs/>
                <w:kern w:val="0"/>
                <w:sz w:val="24"/>
                <w:szCs w:val="24"/>
                <w:lang w:val="ru-RU" w:bidi="ar-SA"/>
              </w:rPr>
              <w:t>Наименование параметра</w:t>
            </w:r>
          </w:p>
        </w:tc>
        <w:tc>
          <w:tcPr>
            <w:tcW w:w="6610" w:type="dxa"/>
            <w:vMerge w:val="restart"/>
            <w:tcBorders/>
            <w:vAlign w:val="center"/>
          </w:tcPr>
          <w:p>
            <w:pPr>
              <w:pStyle w:val="Normal"/>
              <w:widowControl/>
              <w:suppressAutoHyphens w:val="true"/>
              <w:spacing w:before="0" w:after="0"/>
              <w:jc w:val="center"/>
              <w:rPr>
                <w:b/>
                <w:bCs/>
                <w:sz w:val="24"/>
                <w:szCs w:val="24"/>
              </w:rPr>
            </w:pPr>
            <w:r>
              <w:rPr>
                <w:b/>
                <w:bCs/>
                <w:kern w:val="0"/>
                <w:sz w:val="24"/>
                <w:szCs w:val="24"/>
                <w:lang w:val="ru-RU" w:bidi="ar-SA"/>
              </w:rPr>
              <w:t xml:space="preserve">Требование </w:t>
            </w:r>
            <w:r>
              <w:rPr>
                <w:b/>
                <w:bCs/>
                <w:kern w:val="0"/>
                <w:sz w:val="24"/>
                <w:szCs w:val="24"/>
                <w:lang w:val="en-US" w:bidi="ar-SA"/>
              </w:rPr>
              <w:t>З</w:t>
            </w:r>
            <w:r>
              <w:rPr>
                <w:b/>
                <w:bCs/>
                <w:kern w:val="0"/>
                <w:sz w:val="24"/>
                <w:szCs w:val="24"/>
                <w:lang w:val="ru-RU" w:bidi="ar-SA"/>
              </w:rPr>
              <w:t>аказчика</w:t>
            </w:r>
          </w:p>
        </w:tc>
        <w:tc>
          <w:tcPr>
            <w:tcW w:w="5427" w:type="dxa"/>
            <w:gridSpan w:val="3"/>
            <w:tcBorders/>
            <w:vAlign w:val="center"/>
          </w:tcPr>
          <w:p>
            <w:pPr>
              <w:pStyle w:val="Normal"/>
              <w:widowControl/>
              <w:suppressAutoHyphens w:val="true"/>
              <w:spacing w:before="0" w:after="0"/>
              <w:jc w:val="center"/>
              <w:rPr>
                <w:b/>
                <w:bCs/>
                <w:sz w:val="24"/>
                <w:szCs w:val="24"/>
              </w:rPr>
            </w:pPr>
            <w:r>
              <w:rPr>
                <w:b/>
                <w:bCs/>
                <w:kern w:val="0"/>
                <w:sz w:val="24"/>
                <w:szCs w:val="24"/>
                <w:lang w:val="ru-RU" w:bidi="ar-SA"/>
              </w:rPr>
              <w:t>Способ подтверждения участником соответствия требованиям</w:t>
            </w:r>
          </w:p>
        </w:tc>
      </w:tr>
      <w:tr>
        <w:trPr/>
        <w:tc>
          <w:tcPr>
            <w:tcW w:w="815" w:type="dxa"/>
            <w:vMerge w:val="continue"/>
            <w:tcBorders/>
            <w:vAlign w:val="center"/>
          </w:tcPr>
          <w:p>
            <w:pPr>
              <w:pStyle w:val="Normal"/>
              <w:widowControl/>
              <w:suppressAutoHyphens w:val="true"/>
              <w:spacing w:before="0" w:after="0"/>
              <w:jc w:val="left"/>
              <w:rPr>
                <w:b/>
                <w:bCs/>
                <w:sz w:val="24"/>
                <w:szCs w:val="24"/>
              </w:rPr>
            </w:pPr>
            <w:r>
              <w:rPr>
                <w:b/>
                <w:bCs/>
                <w:kern w:val="0"/>
                <w:sz w:val="24"/>
                <w:szCs w:val="24"/>
                <w:lang w:val="ru-RU" w:bidi="ar-SA"/>
              </w:rPr>
            </w:r>
          </w:p>
        </w:tc>
        <w:tc>
          <w:tcPr>
            <w:tcW w:w="2213" w:type="dxa"/>
            <w:vMerge w:val="continue"/>
            <w:tcBorders/>
            <w:vAlign w:val="center"/>
          </w:tcPr>
          <w:p>
            <w:pPr>
              <w:pStyle w:val="Normal"/>
              <w:widowControl/>
              <w:suppressAutoHyphens w:val="true"/>
              <w:spacing w:before="0" w:after="0"/>
              <w:jc w:val="left"/>
              <w:rPr>
                <w:b/>
                <w:bCs/>
                <w:sz w:val="24"/>
                <w:szCs w:val="24"/>
              </w:rPr>
            </w:pPr>
            <w:r>
              <w:rPr>
                <w:b/>
                <w:bCs/>
                <w:kern w:val="0"/>
                <w:sz w:val="24"/>
                <w:szCs w:val="24"/>
                <w:lang w:val="ru-RU" w:bidi="ar-SA"/>
              </w:rPr>
            </w:r>
          </w:p>
        </w:tc>
        <w:tc>
          <w:tcPr>
            <w:tcW w:w="6610" w:type="dxa"/>
            <w:vMerge w:val="continue"/>
            <w:tcBorders/>
            <w:vAlign w:val="center"/>
          </w:tcPr>
          <w:p>
            <w:pPr>
              <w:pStyle w:val="Normal"/>
              <w:widowControl/>
              <w:suppressAutoHyphens w:val="true"/>
              <w:spacing w:before="0" w:after="0"/>
              <w:jc w:val="left"/>
              <w:rPr>
                <w:b/>
                <w:bCs/>
                <w:sz w:val="24"/>
                <w:szCs w:val="24"/>
              </w:rPr>
            </w:pPr>
            <w:r>
              <w:rPr>
                <w:b/>
                <w:bCs/>
                <w:kern w:val="0"/>
                <w:sz w:val="24"/>
                <w:szCs w:val="24"/>
                <w:lang w:val="ru-RU" w:bidi="ar-SA"/>
              </w:rPr>
            </w:r>
          </w:p>
        </w:tc>
        <w:tc>
          <w:tcPr>
            <w:tcW w:w="2587" w:type="dxa"/>
            <w:gridSpan w:val="2"/>
            <w:tcBorders/>
            <w:vAlign w:val="center"/>
          </w:tcPr>
          <w:p>
            <w:pPr>
              <w:pStyle w:val="Normal"/>
              <w:widowControl/>
              <w:suppressAutoHyphens w:val="true"/>
              <w:spacing w:before="0" w:after="0"/>
              <w:jc w:val="center"/>
              <w:rPr>
                <w:b/>
                <w:bCs/>
                <w:sz w:val="24"/>
                <w:szCs w:val="24"/>
              </w:rPr>
            </w:pPr>
            <w:r>
              <w:rPr>
                <w:b/>
                <w:bCs/>
                <w:kern w:val="0"/>
                <w:sz w:val="24"/>
                <w:szCs w:val="24"/>
                <w:lang w:val="ru-RU" w:bidi="ar-SA"/>
              </w:rPr>
              <w:t>Согласие с требованием/ указание характеристик</w:t>
            </w:r>
          </w:p>
        </w:tc>
        <w:tc>
          <w:tcPr>
            <w:tcW w:w="2840" w:type="dxa"/>
            <w:tcBorders/>
            <w:vAlign w:val="center"/>
          </w:tcPr>
          <w:p>
            <w:pPr>
              <w:pStyle w:val="Normal"/>
              <w:widowControl/>
              <w:suppressAutoHyphens w:val="true"/>
              <w:spacing w:before="0" w:after="0"/>
              <w:jc w:val="center"/>
              <w:rPr>
                <w:b/>
                <w:bCs/>
                <w:sz w:val="24"/>
                <w:szCs w:val="24"/>
              </w:rPr>
            </w:pPr>
            <w:r>
              <w:rPr>
                <w:b/>
                <w:bCs/>
                <w:kern w:val="0"/>
                <w:sz w:val="24"/>
                <w:szCs w:val="24"/>
                <w:lang w:val="ru-RU" w:bidi="ar-SA"/>
              </w:rPr>
              <w:t>Предоставление подтверждающего документа или иной способ подтверждения</w:t>
            </w:r>
          </w:p>
        </w:tc>
      </w:tr>
      <w:tr>
        <w:trPr/>
        <w:tc>
          <w:tcPr>
            <w:tcW w:w="815" w:type="dxa"/>
            <w:tcBorders/>
            <w:vAlign w:val="center"/>
          </w:tcPr>
          <w:p>
            <w:pPr>
              <w:pStyle w:val="Normal"/>
              <w:widowControl/>
              <w:suppressAutoHyphens w:val="true"/>
              <w:spacing w:before="0" w:after="0"/>
              <w:jc w:val="center"/>
              <w:rPr>
                <w:b/>
                <w:bCs/>
                <w:sz w:val="24"/>
                <w:szCs w:val="24"/>
              </w:rPr>
            </w:pPr>
            <w:bookmarkStart w:id="24" w:name="_Toc53499667"/>
            <w:r>
              <w:rPr>
                <w:b/>
                <w:bCs/>
                <w:kern w:val="0"/>
                <w:sz w:val="24"/>
                <w:szCs w:val="24"/>
                <w:lang w:val="ru-RU" w:bidi="ar-SA"/>
              </w:rPr>
              <w:t>1</w:t>
            </w:r>
            <w:bookmarkEnd w:id="24"/>
          </w:p>
        </w:tc>
        <w:tc>
          <w:tcPr>
            <w:tcW w:w="2213" w:type="dxa"/>
            <w:tcBorders/>
            <w:vAlign w:val="center"/>
          </w:tcPr>
          <w:p>
            <w:pPr>
              <w:pStyle w:val="Normal"/>
              <w:widowControl/>
              <w:suppressAutoHyphens w:val="true"/>
              <w:spacing w:before="0" w:after="0"/>
              <w:jc w:val="center"/>
              <w:rPr>
                <w:b/>
                <w:bCs/>
                <w:sz w:val="24"/>
                <w:szCs w:val="24"/>
              </w:rPr>
            </w:pPr>
            <w:r>
              <w:rPr>
                <w:b/>
                <w:bCs/>
                <w:kern w:val="0"/>
                <w:sz w:val="24"/>
                <w:szCs w:val="24"/>
                <w:lang w:val="ru-RU" w:bidi="ar-SA"/>
              </w:rPr>
              <w:t>2</w:t>
            </w:r>
          </w:p>
        </w:tc>
        <w:tc>
          <w:tcPr>
            <w:tcW w:w="6610" w:type="dxa"/>
            <w:tcBorders/>
            <w:vAlign w:val="center"/>
          </w:tcPr>
          <w:p>
            <w:pPr>
              <w:pStyle w:val="Normal"/>
              <w:widowControl/>
              <w:suppressAutoHyphens w:val="true"/>
              <w:spacing w:before="0" w:after="0"/>
              <w:jc w:val="center"/>
              <w:rPr>
                <w:b/>
                <w:bCs/>
                <w:sz w:val="24"/>
                <w:szCs w:val="24"/>
              </w:rPr>
            </w:pPr>
            <w:r>
              <w:rPr>
                <w:b/>
                <w:bCs/>
                <w:kern w:val="0"/>
                <w:sz w:val="24"/>
                <w:szCs w:val="24"/>
                <w:lang w:val="ru-RU" w:bidi="ar-SA"/>
              </w:rPr>
              <w:t>3</w:t>
            </w:r>
          </w:p>
        </w:tc>
        <w:tc>
          <w:tcPr>
            <w:tcW w:w="2587" w:type="dxa"/>
            <w:gridSpan w:val="2"/>
            <w:tcBorders/>
            <w:vAlign w:val="center"/>
          </w:tcPr>
          <w:p>
            <w:pPr>
              <w:pStyle w:val="Normal"/>
              <w:widowControl/>
              <w:suppressAutoHyphens w:val="true"/>
              <w:spacing w:before="0" w:after="0"/>
              <w:jc w:val="center"/>
              <w:rPr>
                <w:b/>
                <w:bCs/>
                <w:sz w:val="24"/>
                <w:szCs w:val="24"/>
              </w:rPr>
            </w:pPr>
            <w:r>
              <w:rPr>
                <w:b/>
                <w:bCs/>
                <w:kern w:val="0"/>
                <w:sz w:val="24"/>
                <w:szCs w:val="24"/>
                <w:lang w:val="ru-RU" w:bidi="ar-SA"/>
              </w:rPr>
              <w:t>4</w:t>
            </w:r>
          </w:p>
        </w:tc>
        <w:tc>
          <w:tcPr>
            <w:tcW w:w="2840" w:type="dxa"/>
            <w:tcBorders/>
            <w:vAlign w:val="center"/>
          </w:tcPr>
          <w:p>
            <w:pPr>
              <w:pStyle w:val="Normal"/>
              <w:widowControl/>
              <w:suppressAutoHyphens w:val="true"/>
              <w:spacing w:before="0" w:after="0"/>
              <w:jc w:val="center"/>
              <w:rPr>
                <w:b/>
                <w:bCs/>
                <w:sz w:val="24"/>
                <w:szCs w:val="24"/>
              </w:rPr>
            </w:pPr>
            <w:r>
              <w:rPr>
                <w:b/>
                <w:bCs/>
                <w:kern w:val="0"/>
                <w:sz w:val="24"/>
                <w:szCs w:val="24"/>
                <w:lang w:val="ru-RU" w:bidi="ar-SA"/>
              </w:rPr>
              <w:t>5</w:t>
            </w:r>
          </w:p>
        </w:tc>
      </w:tr>
      <w:tr>
        <w:trPr/>
        <w:tc>
          <w:tcPr>
            <w:tcW w:w="815" w:type="dxa"/>
            <w:tcBorders/>
            <w:vAlign w:val="center"/>
          </w:tcPr>
          <w:p>
            <w:pPr>
              <w:pStyle w:val="ListParagraph"/>
              <w:widowControl/>
              <w:numPr>
                <w:ilvl w:val="0"/>
                <w:numId w:val="2"/>
              </w:numPr>
              <w:suppressAutoHyphens w:val="true"/>
              <w:spacing w:before="60" w:after="60"/>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0" w:after="0"/>
              <w:jc w:val="left"/>
              <w:rPr>
                <w:b/>
                <w:sz w:val="24"/>
                <w:szCs w:val="24"/>
              </w:rPr>
            </w:pPr>
            <w:r>
              <w:rPr>
                <w:b/>
                <w:kern w:val="0"/>
                <w:sz w:val="24"/>
                <w:szCs w:val="24"/>
                <w:lang w:val="ru-RU" w:bidi="ar-SA"/>
              </w:rPr>
              <w:t xml:space="preserve">Требования к оказанию услуг </w:t>
            </w:r>
          </w:p>
        </w:tc>
        <w:tc>
          <w:tcPr>
            <w:tcW w:w="2587" w:type="dxa"/>
            <w:gridSpan w:val="2"/>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c>
          <w:tcPr>
            <w:tcW w:w="2840" w:type="dxa"/>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b/>
                <w:bCs/>
              </w:rPr>
            </w:pPr>
            <w:r>
              <w:rPr>
                <w:b/>
                <w:bCs/>
                <w:kern w:val="0"/>
                <w:lang w:val="ru-RU" w:bidi="ar-SA"/>
              </w:rPr>
            </w:r>
          </w:p>
        </w:tc>
        <w:tc>
          <w:tcPr>
            <w:tcW w:w="8823" w:type="dxa"/>
            <w:gridSpan w:val="2"/>
            <w:tcBorders/>
            <w:vAlign w:val="center"/>
          </w:tcPr>
          <w:p>
            <w:pPr>
              <w:pStyle w:val="Normal"/>
              <w:widowControl/>
              <w:suppressAutoHyphens w:val="true"/>
              <w:spacing w:before="60" w:after="60"/>
              <w:jc w:val="left"/>
              <w:rPr>
                <w:b/>
                <w:sz w:val="24"/>
                <w:szCs w:val="24"/>
              </w:rPr>
            </w:pPr>
            <w:r>
              <w:rPr>
                <w:b/>
                <w:kern w:val="0"/>
                <w:sz w:val="24"/>
                <w:szCs w:val="24"/>
                <w:lang w:val="ru-RU" w:bidi="ar-SA"/>
              </w:rPr>
              <w:t xml:space="preserve">Общие требования к оказанию услуг </w:t>
            </w:r>
          </w:p>
        </w:tc>
        <w:tc>
          <w:tcPr>
            <w:tcW w:w="2587" w:type="dxa"/>
            <w:gridSpan w:val="2"/>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c>
          <w:tcPr>
            <w:tcW w:w="2840" w:type="dxa"/>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r>
      <w:tr>
        <w:trPr/>
        <w:tc>
          <w:tcPr>
            <w:tcW w:w="815" w:type="dxa"/>
            <w:tcBorders/>
            <w:vAlign w:val="center"/>
          </w:tcPr>
          <w:p>
            <w:pPr>
              <w:pStyle w:val="ListParagraph"/>
              <w:widowControl/>
              <w:numPr>
                <w:ilvl w:val="2"/>
                <w:numId w:val="2"/>
              </w:numPr>
              <w:suppressAutoHyphens w:val="true"/>
              <w:spacing w:before="60" w:after="60"/>
              <w:ind w:left="1224" w:hanging="1199"/>
              <w:contextualSpacing/>
              <w:jc w:val="center"/>
              <w:rPr>
                <w:kern w:val="0"/>
                <w:lang w:val="ru-RU" w:bidi="ar-SA"/>
              </w:rPr>
            </w:pPr>
            <w:r>
              <w:rPr>
                <w:kern w:val="0"/>
                <w:lang w:val="ru-RU" w:bidi="ar-SA"/>
              </w:rPr>
            </w:r>
          </w:p>
        </w:tc>
        <w:tc>
          <w:tcPr>
            <w:tcW w:w="8823" w:type="dxa"/>
            <w:gridSpan w:val="2"/>
            <w:tcBorders/>
            <w:shd w:color="auto" w:fill="auto" w:val="clear"/>
          </w:tcPr>
          <w:p>
            <w:pPr>
              <w:pStyle w:val="Normal"/>
              <w:widowControl/>
              <w:suppressAutoHyphens w:val="true"/>
              <w:spacing w:before="0" w:after="0"/>
              <w:jc w:val="both"/>
              <w:rPr>
                <w:sz w:val="24"/>
                <w:szCs w:val="24"/>
              </w:rPr>
            </w:pPr>
            <w:r>
              <w:rPr>
                <w:kern w:val="0"/>
                <w:sz w:val="24"/>
                <w:szCs w:val="24"/>
                <w:lang w:val="ru-RU" w:bidi="ar-SA"/>
              </w:rPr>
              <w:t>Услуги должны быть оказаны в соответствии с параметрами, объемами и условиями перечисленными в Приложении №1 к Техническим требованиям «</w:t>
            </w:r>
            <w:r>
              <w:rPr>
                <w:iCs/>
                <w:kern w:val="0"/>
                <w:sz w:val="24"/>
                <w:szCs w:val="24"/>
                <w:lang w:val="ru-RU" w:bidi="ar-SA"/>
              </w:rPr>
              <w:t>Перечень возможных услуг, которые будут заказываться по заявкам, включая параметры (характеристики), объем и результат услуг</w:t>
            </w:r>
            <w:r>
              <w:rPr>
                <w:kern w:val="0"/>
                <w:sz w:val="24"/>
                <w:szCs w:val="24"/>
                <w:lang w:val="ru-RU" w:bidi="ar-SA"/>
              </w:rPr>
              <w:t>»</w:t>
            </w:r>
          </w:p>
        </w:tc>
        <w:tc>
          <w:tcPr>
            <w:tcW w:w="2587" w:type="dxa"/>
            <w:gridSpan w:val="2"/>
            <w:tcBorders/>
            <w:shd w:color="auto" w:fill="auto" w:val="clear"/>
          </w:tcPr>
          <w:p>
            <w:pPr>
              <w:pStyle w:val="Normal"/>
              <w:widowControl/>
              <w:suppressAutoHyphens w:val="true"/>
              <w:spacing w:before="0" w:after="0"/>
              <w:jc w:val="center"/>
              <w:rPr>
                <w:sz w:val="24"/>
                <w:szCs w:val="24"/>
              </w:rPr>
            </w:pPr>
            <w:r>
              <w:rPr>
                <w:kern w:val="0"/>
                <w:sz w:val="24"/>
                <w:szCs w:val="24"/>
                <w:lang w:val="ru-RU" w:bidi="ar-SA"/>
              </w:rPr>
              <w:t>Согласие с требованием</w:t>
            </w:r>
          </w:p>
        </w:tc>
        <w:tc>
          <w:tcPr>
            <w:tcW w:w="2840" w:type="dxa"/>
            <w:tcBorders/>
            <w:shd w:color="auto" w:fill="auto" w:val="clear"/>
          </w:tcPr>
          <w:p>
            <w:pPr>
              <w:pStyle w:val="Normal"/>
              <w:keepNext w:val="true"/>
              <w:widowControl/>
              <w:suppressAutoHyphens w:val="true"/>
              <w:spacing w:before="60" w:after="60"/>
              <w:jc w:val="center"/>
              <w:rPr>
                <w:b/>
                <w:sz w:val="24"/>
                <w:szCs w:val="24"/>
              </w:rPr>
            </w:pPr>
            <w:r>
              <w:rPr>
                <w:b/>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kern w:val="0"/>
                <w:lang w:val="ru-RU" w:bidi="ar-SA"/>
              </w:rPr>
            </w:pPr>
            <w:r>
              <w:rPr>
                <w:kern w:val="0"/>
                <w:lang w:val="ru-RU" w:bidi="ar-SA"/>
              </w:rPr>
            </w:r>
          </w:p>
        </w:tc>
        <w:tc>
          <w:tcPr>
            <w:tcW w:w="8823" w:type="dxa"/>
            <w:gridSpan w:val="2"/>
            <w:tcBorders/>
            <w:shd w:color="auto" w:fill="auto" w:val="clear"/>
          </w:tcPr>
          <w:p>
            <w:pPr>
              <w:pStyle w:val="Normal"/>
              <w:widowControl w:val="false"/>
              <w:tabs>
                <w:tab w:val="clear" w:pos="708"/>
                <w:tab w:val="left" w:pos="426" w:leader="none"/>
              </w:tabs>
              <w:suppressAutoHyphens w:val="true"/>
              <w:spacing w:before="60" w:after="0"/>
              <w:jc w:val="both"/>
              <w:rPr>
                <w:b/>
                <w:sz w:val="24"/>
                <w:szCs w:val="24"/>
              </w:rPr>
            </w:pPr>
            <w:r>
              <w:rPr>
                <w:b/>
                <w:kern w:val="0"/>
                <w:sz w:val="24"/>
                <w:szCs w:val="24"/>
                <w:lang w:val="ru-RU" w:bidi="ar-SA"/>
              </w:rPr>
              <w:t>Требования к способам оказания услуг</w:t>
            </w:r>
          </w:p>
        </w:tc>
        <w:tc>
          <w:tcPr>
            <w:tcW w:w="2587" w:type="dxa"/>
            <w:gridSpan w:val="2"/>
            <w:tcBorders/>
            <w:shd w:color="auto" w:fill="auto" w:val="clear"/>
          </w:tcPr>
          <w:p>
            <w:pPr>
              <w:pStyle w:val="Normal"/>
              <w:keepNext w:val="true"/>
              <w:widowControl/>
              <w:suppressAutoHyphens w:val="true"/>
              <w:spacing w:before="60" w:after="60"/>
              <w:jc w:val="center"/>
              <w:rPr>
                <w:b/>
                <w:sz w:val="24"/>
                <w:szCs w:val="24"/>
              </w:rPr>
            </w:pPr>
            <w:r>
              <w:rPr>
                <w:b/>
                <w:kern w:val="0"/>
                <w:sz w:val="24"/>
                <w:szCs w:val="24"/>
                <w:lang w:val="ru-RU" w:bidi="ar-SA"/>
              </w:rPr>
              <w:t>-//-</w:t>
            </w:r>
          </w:p>
        </w:tc>
        <w:tc>
          <w:tcPr>
            <w:tcW w:w="2840" w:type="dxa"/>
            <w:tcBorders/>
            <w:shd w:color="auto" w:fill="auto" w:val="clear"/>
          </w:tcPr>
          <w:p>
            <w:pPr>
              <w:pStyle w:val="Normal"/>
              <w:keepNext w:val="true"/>
              <w:widowControl/>
              <w:suppressAutoHyphens w:val="true"/>
              <w:spacing w:before="60" w:after="60"/>
              <w:jc w:val="center"/>
              <w:rPr>
                <w:b/>
                <w:sz w:val="24"/>
                <w:szCs w:val="24"/>
              </w:rPr>
            </w:pPr>
            <w:r>
              <w:rPr>
                <w:b/>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lang w:val="en-US"/>
              </w:rPr>
            </w:pPr>
            <w:r>
              <w:rPr>
                <w:kern w:val="0"/>
                <w:lang w:val="en-US" w:bidi="ar-SA"/>
              </w:rPr>
            </w:r>
          </w:p>
        </w:tc>
        <w:tc>
          <w:tcPr>
            <w:tcW w:w="8823" w:type="dxa"/>
            <w:gridSpan w:val="2"/>
            <w:tcBorders/>
            <w:vAlign w:val="center"/>
          </w:tcPr>
          <w:p>
            <w:pPr>
              <w:pStyle w:val="Normal"/>
              <w:widowControl/>
              <w:suppressAutoHyphens w:val="true"/>
              <w:spacing w:before="60" w:after="0"/>
              <w:jc w:val="left"/>
              <w:rPr>
                <w:b/>
              </w:rPr>
            </w:pPr>
            <w:r>
              <w:rPr>
                <w:b/>
                <w:kern w:val="0"/>
                <w:sz w:val="24"/>
                <w:szCs w:val="24"/>
                <w:lang w:val="ru-RU" w:bidi="ar-SA"/>
              </w:rPr>
              <w:t>Требования к процедурам оказания услуг</w:t>
            </w:r>
          </w:p>
        </w:tc>
        <w:tc>
          <w:tcPr>
            <w:tcW w:w="2587" w:type="dxa"/>
            <w:gridSpan w:val="2"/>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c>
          <w:tcPr>
            <w:tcW w:w="2840" w:type="dxa"/>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60" w:after="0"/>
              <w:jc w:val="left"/>
              <w:rPr>
                <w:b/>
                <w:sz w:val="24"/>
                <w:szCs w:val="24"/>
              </w:rPr>
            </w:pPr>
            <w:r>
              <w:rPr>
                <w:b/>
                <w:kern w:val="0"/>
                <w:sz w:val="24"/>
                <w:szCs w:val="24"/>
                <w:lang w:val="ru-RU" w:bidi="ar-SA"/>
              </w:rPr>
              <w:t>Требования к применяемым при оказании услуг оборудованию и материалам</w:t>
            </w:r>
          </w:p>
        </w:tc>
        <w:tc>
          <w:tcPr>
            <w:tcW w:w="2587" w:type="dxa"/>
            <w:gridSpan w:val="2"/>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c>
          <w:tcPr>
            <w:tcW w:w="2840" w:type="dxa"/>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0" w:after="0"/>
              <w:jc w:val="left"/>
              <w:rPr>
                <w:b/>
                <w:sz w:val="24"/>
                <w:szCs w:val="24"/>
              </w:rPr>
            </w:pPr>
            <w:r>
              <w:rPr>
                <w:b/>
                <w:kern w:val="0"/>
                <w:sz w:val="24"/>
                <w:szCs w:val="24"/>
                <w:lang w:val="ru-RU" w:bidi="ar-SA"/>
              </w:rPr>
              <w:t xml:space="preserve">Требования к персоналу </w:t>
            </w:r>
            <w:r>
              <w:rPr>
                <w:b/>
                <w:kern w:val="0"/>
                <w:sz w:val="24"/>
                <w:szCs w:val="24"/>
                <w:lang w:val="en-US" w:bidi="ar-SA"/>
              </w:rPr>
              <w:t>И</w:t>
            </w:r>
            <w:r>
              <w:rPr>
                <w:b/>
                <w:kern w:val="0"/>
                <w:sz w:val="24"/>
                <w:szCs w:val="24"/>
                <w:lang w:val="ru-RU" w:bidi="ar-SA"/>
              </w:rPr>
              <w:t>сполнителя</w:t>
            </w:r>
          </w:p>
        </w:tc>
        <w:tc>
          <w:tcPr>
            <w:tcW w:w="2587" w:type="dxa"/>
            <w:gridSpan w:val="2"/>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c>
          <w:tcPr>
            <w:tcW w:w="2840" w:type="dxa"/>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r>
      <w:tr>
        <w:trPr/>
        <w:tc>
          <w:tcPr>
            <w:tcW w:w="815" w:type="dxa"/>
            <w:tcBorders/>
            <w:vAlign w:val="center"/>
          </w:tcPr>
          <w:p>
            <w:pPr>
              <w:pStyle w:val="ListParagraph"/>
              <w:widowControl/>
              <w:numPr>
                <w:ilvl w:val="2"/>
                <w:numId w:val="2"/>
              </w:numPr>
              <w:suppressAutoHyphens w:val="true"/>
              <w:spacing w:before="0" w:after="0"/>
              <w:ind w:left="1224" w:hanging="1199"/>
              <w:contextualSpacing/>
              <w:jc w:val="center"/>
              <w:rPr>
                <w:kern w:val="0"/>
                <w:lang w:val="ru-RU" w:bidi="ar-SA"/>
              </w:rPr>
            </w:pPr>
            <w:r>
              <w:rPr>
                <w:kern w:val="0"/>
                <w:lang w:val="ru-RU" w:bidi="ar-SA"/>
              </w:rPr>
            </w:r>
          </w:p>
        </w:tc>
        <w:tc>
          <w:tcPr>
            <w:tcW w:w="2213" w:type="dxa"/>
            <w:tcBorders/>
          </w:tcPr>
          <w:p>
            <w:pPr>
              <w:pStyle w:val="Normal"/>
              <w:widowControl w:val="false"/>
              <w:tabs>
                <w:tab w:val="clear" w:pos="708"/>
                <w:tab w:val="left" w:pos="426" w:leader="none"/>
              </w:tabs>
              <w:suppressAutoHyphens w:val="true"/>
              <w:spacing w:before="0" w:after="0"/>
              <w:jc w:val="left"/>
              <w:rPr>
                <w:sz w:val="24"/>
                <w:szCs w:val="24"/>
              </w:rPr>
            </w:pPr>
            <w:r>
              <w:rPr>
                <w:kern w:val="0"/>
                <w:sz w:val="24"/>
                <w:szCs w:val="24"/>
                <w:lang w:val="ru-RU" w:bidi="ar-SA"/>
              </w:rPr>
              <w:t>Квалификация персонала Исполнителя, привлекаемого к оказанию услуг</w:t>
            </w:r>
          </w:p>
        </w:tc>
        <w:tc>
          <w:tcPr>
            <w:tcW w:w="6610" w:type="dxa"/>
            <w:tcBorders/>
          </w:tcPr>
          <w:p>
            <w:pPr>
              <w:pStyle w:val="Normal"/>
              <w:widowControl w:val="false"/>
              <w:tabs>
                <w:tab w:val="clear" w:pos="708"/>
                <w:tab w:val="left" w:pos="426" w:leader="none"/>
              </w:tabs>
              <w:suppressAutoHyphens w:val="true"/>
              <w:spacing w:before="0" w:after="0"/>
              <w:jc w:val="both"/>
              <w:rPr>
                <w:sz w:val="24"/>
                <w:szCs w:val="24"/>
              </w:rPr>
            </w:pPr>
            <w:r>
              <w:rPr>
                <w:kern w:val="0"/>
                <w:sz w:val="24"/>
                <w:szCs w:val="24"/>
                <w:lang w:val="ru-RU" w:bidi="ar-SA"/>
              </w:rPr>
              <w:t xml:space="preserve">Исполнитель обязан сформировать постоянно действующую команду, в составе которой должны быть:  </w:t>
            </w:r>
          </w:p>
          <w:p>
            <w:pPr>
              <w:pStyle w:val="Normal"/>
              <w:widowControl w:val="false"/>
              <w:tabs>
                <w:tab w:val="clear" w:pos="708"/>
                <w:tab w:val="left" w:pos="426" w:leader="none"/>
              </w:tabs>
              <w:suppressAutoHyphens w:val="true"/>
              <w:spacing w:before="0" w:after="0"/>
              <w:jc w:val="both"/>
              <w:rPr>
                <w:sz w:val="24"/>
                <w:szCs w:val="24"/>
              </w:rPr>
            </w:pPr>
            <w:r>
              <w:rPr>
                <w:kern w:val="0"/>
                <w:sz w:val="24"/>
                <w:szCs w:val="24"/>
                <w:lang w:val="ru-RU" w:bidi="ar-SA"/>
              </w:rPr>
              <w:t>a)</w:t>
              <w:tab/>
              <w:t>руководитель PR-проектов (не менее 1 человека), имеющий профессиональное образование и опыт работы по специальности руководитель PR-проектов не менее 5 лет;</w:t>
            </w:r>
          </w:p>
          <w:p>
            <w:pPr>
              <w:pStyle w:val="Normal"/>
              <w:widowControl w:val="false"/>
              <w:tabs>
                <w:tab w:val="clear" w:pos="708"/>
                <w:tab w:val="left" w:pos="426" w:leader="none"/>
              </w:tabs>
              <w:suppressAutoHyphens w:val="true"/>
              <w:spacing w:before="0" w:after="0"/>
              <w:jc w:val="both"/>
              <w:rPr>
                <w:sz w:val="24"/>
                <w:szCs w:val="24"/>
              </w:rPr>
            </w:pPr>
            <w:r>
              <w:rPr>
                <w:kern w:val="0"/>
                <w:sz w:val="24"/>
                <w:szCs w:val="24"/>
                <w:lang w:val="ru-RU" w:bidi="ar-SA"/>
              </w:rPr>
              <w:t>b)</w:t>
              <w:tab/>
              <w:t>копирайтер (не менее 1 человека), имеющий профессиональное образование и опыт работы по специальности копирайтер не менее 3 лет;</w:t>
            </w:r>
          </w:p>
          <w:p>
            <w:pPr>
              <w:pStyle w:val="Normal"/>
              <w:widowControl w:val="false"/>
              <w:tabs>
                <w:tab w:val="clear" w:pos="708"/>
                <w:tab w:val="left" w:pos="426" w:leader="none"/>
              </w:tabs>
              <w:suppressAutoHyphens w:val="true"/>
              <w:spacing w:before="0" w:after="0"/>
              <w:jc w:val="both"/>
              <w:rPr>
                <w:sz w:val="24"/>
                <w:szCs w:val="24"/>
              </w:rPr>
            </w:pPr>
            <w:r>
              <w:rPr>
                <w:kern w:val="0"/>
                <w:sz w:val="24"/>
                <w:szCs w:val="24"/>
                <w:lang w:val="ru-RU" w:bidi="ar-SA"/>
              </w:rPr>
              <w:t>c)</w:t>
              <w:tab/>
              <w:t xml:space="preserve">дизайнеры (не менее 2 человек), имеющие профессиональное образование в области дизайна, живописи/рисования или графики и верстки и опыт работы по специальности дизайнера не менее 3 лет; </w:t>
            </w:r>
          </w:p>
          <w:p>
            <w:pPr>
              <w:pStyle w:val="Normal"/>
              <w:widowControl w:val="false"/>
              <w:tabs>
                <w:tab w:val="clear" w:pos="708"/>
                <w:tab w:val="left" w:pos="426" w:leader="none"/>
              </w:tabs>
              <w:suppressAutoHyphens w:val="true"/>
              <w:spacing w:before="0" w:after="0"/>
              <w:jc w:val="both"/>
              <w:rPr>
                <w:sz w:val="24"/>
                <w:szCs w:val="24"/>
              </w:rPr>
            </w:pPr>
            <w:r>
              <w:rPr>
                <w:kern w:val="0"/>
                <w:sz w:val="24"/>
                <w:szCs w:val="24"/>
                <w:lang w:val="ru-RU" w:bidi="ar-SA"/>
              </w:rPr>
              <w:t>d)</w:t>
              <w:tab/>
              <w:t>специалисты (менеджеры) по реализации PR-проектов (не менее 2 человек), имеющие профессиональное образование и опыт работы по специальности «менеджер» или «менеджер по связям с общественностью» не менее 3-х лет.</w:t>
            </w:r>
          </w:p>
          <w:p>
            <w:pPr>
              <w:pStyle w:val="Normal"/>
              <w:widowControl w:val="false"/>
              <w:tabs>
                <w:tab w:val="clear" w:pos="708"/>
                <w:tab w:val="left" w:pos="426" w:leader="none"/>
              </w:tabs>
              <w:suppressAutoHyphens w:val="true"/>
              <w:spacing w:before="0" w:after="0"/>
              <w:jc w:val="both"/>
              <w:rPr>
                <w:sz w:val="24"/>
                <w:szCs w:val="24"/>
              </w:rPr>
            </w:pPr>
            <w:r>
              <w:rPr>
                <w:kern w:val="0"/>
                <w:sz w:val="24"/>
                <w:szCs w:val="24"/>
                <w:lang w:val="ru-RU" w:bidi="ar-SA"/>
              </w:rPr>
              <w:t>е) медиа-менеджер либо специалист в сфере размещения рекламы (не менее 1 человека), имеющий профессиональное образование по специальности «маркетинг/ менеджмент или реклама и опыт работы по направлению медиа-планирование» не менее 3-х лет.</w:t>
            </w:r>
          </w:p>
          <w:p>
            <w:pPr>
              <w:pStyle w:val="Normal"/>
              <w:widowControl w:val="false"/>
              <w:tabs>
                <w:tab w:val="clear" w:pos="708"/>
                <w:tab w:val="left" w:pos="426" w:leader="none"/>
              </w:tabs>
              <w:suppressAutoHyphens w:val="true"/>
              <w:spacing w:before="0" w:after="0"/>
              <w:jc w:val="both"/>
              <w:rPr>
                <w:sz w:val="24"/>
                <w:szCs w:val="24"/>
              </w:rPr>
            </w:pPr>
            <w:r>
              <w:rPr>
                <w:kern w:val="0"/>
                <w:sz w:val="24"/>
                <w:szCs w:val="24"/>
                <w:lang w:val="ru-RU" w:bidi="ar-SA"/>
              </w:rPr>
              <w:t>Состав команды должен быть уточнен и согласован Заказчиком перед заключением договора.</w:t>
            </w:r>
          </w:p>
          <w:p>
            <w:pPr>
              <w:pStyle w:val="Normal"/>
              <w:widowControl w:val="false"/>
              <w:tabs>
                <w:tab w:val="clear" w:pos="708"/>
                <w:tab w:val="left" w:pos="426" w:leader="none"/>
              </w:tabs>
              <w:suppressAutoHyphens w:val="true"/>
              <w:spacing w:before="0" w:after="0"/>
              <w:jc w:val="both"/>
              <w:rPr>
                <w:sz w:val="24"/>
                <w:szCs w:val="24"/>
              </w:rPr>
            </w:pPr>
            <w:r>
              <w:rPr>
                <w:kern w:val="0"/>
                <w:sz w:val="24"/>
                <w:szCs w:val="24"/>
                <w:lang w:val="ru-RU" w:bidi="ar-SA"/>
              </w:rPr>
              <w:t xml:space="preserve">При наличии мотивированного требования Заказчика Исполнитель осуществляет замену любого из членов команды или всю команду в течение 10 рабочих дней с даты получения письменного требования Заказчика. </w:t>
            </w:r>
          </w:p>
          <w:p>
            <w:pPr>
              <w:pStyle w:val="Normal"/>
              <w:widowControl w:val="false"/>
              <w:tabs>
                <w:tab w:val="clear" w:pos="708"/>
                <w:tab w:val="left" w:pos="426" w:leader="none"/>
              </w:tabs>
              <w:suppressAutoHyphens w:val="true"/>
              <w:spacing w:before="0" w:after="0"/>
              <w:jc w:val="both"/>
              <w:rPr>
                <w:sz w:val="24"/>
                <w:szCs w:val="24"/>
              </w:rPr>
            </w:pPr>
            <w:r>
              <w:rPr>
                <w:kern w:val="0"/>
                <w:sz w:val="24"/>
                <w:szCs w:val="24"/>
                <w:lang w:val="ru-RU" w:bidi="ar-SA"/>
              </w:rPr>
              <w:t>Для взаимодействия с Заказчиком Исполнитель определяет менеджера (ответственного сотрудника Исполнителя), который будет являться ответственным лицом и отвечать за взаимодействие с Заказчиком, за передачу информации / данных / материалов и пр. В обязанности указанного менеджера должно входить: информирование об исполнении оказываемых услуг, формирование первичной документации, передача отчетных документов (представление необходимых материалов, относящиеся к услугам), создание условий для проверки хода оказания услуг, организация совместных рабочих встреч, официальной переписки по любым вопросам или действиям в целях оказания услуг, предусмотренных настоящими техническими требованиями.</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Согласие с требованием</w:t>
            </w:r>
          </w:p>
        </w:tc>
        <w:tc>
          <w:tcPr>
            <w:tcW w:w="2840" w:type="dxa"/>
            <w:tcBorders/>
          </w:tcPr>
          <w:p>
            <w:pPr>
              <w:pStyle w:val="Normal"/>
              <w:keepNext w:val="true"/>
              <w:widowControl/>
              <w:suppressAutoHyphens w:val="true"/>
              <w:spacing w:before="0" w:after="0"/>
              <w:jc w:val="center"/>
              <w:rPr>
                <w:b/>
                <w:sz w:val="24"/>
                <w:szCs w:val="24"/>
              </w:rPr>
            </w:pPr>
            <w:r>
              <w:rPr>
                <w:b/>
                <w:kern w:val="0"/>
                <w:sz w:val="24"/>
                <w:szCs w:val="24"/>
                <w:lang w:val="ru-RU" w:bidi="ar-SA"/>
              </w:rPr>
              <w:t>-</w:t>
            </w:r>
          </w:p>
        </w:tc>
      </w:tr>
      <w:tr>
        <w:trPr/>
        <w:tc>
          <w:tcPr>
            <w:tcW w:w="815" w:type="dxa"/>
            <w:tcBorders/>
            <w:vAlign w:val="center"/>
          </w:tcPr>
          <w:p>
            <w:pPr>
              <w:pStyle w:val="ListParagraph"/>
              <w:widowControl/>
              <w:numPr>
                <w:ilvl w:val="0"/>
                <w:numId w:val="2"/>
              </w:numPr>
              <w:suppressAutoHyphens w:val="true"/>
              <w:spacing w:before="60" w:after="60"/>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0" w:after="0"/>
              <w:jc w:val="left"/>
              <w:rPr>
                <w:b/>
                <w:bCs/>
                <w:sz w:val="24"/>
                <w:szCs w:val="24"/>
              </w:rPr>
            </w:pPr>
            <w:r>
              <w:rPr>
                <w:b/>
                <w:bCs/>
                <w:kern w:val="0"/>
                <w:sz w:val="24"/>
                <w:szCs w:val="24"/>
                <w:lang w:val="ru-RU" w:bidi="ar-SA"/>
              </w:rPr>
              <w:t>Требования к результатам у</w:t>
            </w:r>
            <w:r>
              <w:rPr>
                <w:b/>
                <w:kern w:val="0"/>
                <w:sz w:val="24"/>
                <w:szCs w:val="24"/>
                <w:lang w:val="ru-RU" w:bidi="ar-SA"/>
              </w:rPr>
              <w:t>слуг</w:t>
            </w:r>
          </w:p>
        </w:tc>
        <w:tc>
          <w:tcPr>
            <w:tcW w:w="2587" w:type="dxa"/>
            <w:gridSpan w:val="2"/>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c>
          <w:tcPr>
            <w:tcW w:w="2840" w:type="dxa"/>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0" w:after="0"/>
              <w:jc w:val="left"/>
              <w:rPr>
                <w:b/>
                <w:bCs/>
                <w:sz w:val="24"/>
                <w:szCs w:val="24"/>
              </w:rPr>
            </w:pPr>
            <w:r>
              <w:rPr>
                <w:b/>
                <w:bCs/>
                <w:kern w:val="0"/>
                <w:sz w:val="24"/>
                <w:szCs w:val="24"/>
                <w:lang w:val="ru-RU" w:bidi="ar-SA"/>
              </w:rPr>
              <w:t>Общие требования к результатам услуг</w:t>
            </w:r>
          </w:p>
        </w:tc>
        <w:tc>
          <w:tcPr>
            <w:tcW w:w="2587" w:type="dxa"/>
            <w:gridSpan w:val="2"/>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c>
          <w:tcPr>
            <w:tcW w:w="2840" w:type="dxa"/>
            <w:tcBorders/>
          </w:tcPr>
          <w:p>
            <w:pPr>
              <w:pStyle w:val="Normal"/>
              <w:keepNext w:val="true"/>
              <w:widowControl/>
              <w:suppressAutoHyphens w:val="true"/>
              <w:spacing w:before="60" w:after="60"/>
              <w:jc w:val="center"/>
              <w:rPr>
                <w:b/>
                <w:sz w:val="24"/>
                <w:szCs w:val="24"/>
              </w:rPr>
            </w:pPr>
            <w:r>
              <w:rPr>
                <w:b/>
                <w:kern w:val="0"/>
                <w:sz w:val="24"/>
                <w:szCs w:val="24"/>
                <w:lang w:val="ru-RU" w:bidi="ar-SA"/>
              </w:rPr>
              <w:t>-//-</w:t>
            </w:r>
          </w:p>
        </w:tc>
      </w:tr>
      <w:tr>
        <w:trPr/>
        <w:tc>
          <w:tcPr>
            <w:tcW w:w="815" w:type="dxa"/>
            <w:tcBorders/>
            <w:vAlign w:val="center"/>
          </w:tcPr>
          <w:p>
            <w:pPr>
              <w:pStyle w:val="ListParagraph"/>
              <w:widowControl/>
              <w:numPr>
                <w:ilvl w:val="2"/>
                <w:numId w:val="2"/>
              </w:numPr>
              <w:suppressAutoHyphens w:val="true"/>
              <w:spacing w:before="60" w:after="60"/>
              <w:ind w:left="1224" w:hanging="1199"/>
              <w:contextualSpacing/>
              <w:jc w:val="center"/>
              <w:rPr>
                <w:kern w:val="0"/>
                <w:lang w:val="ru-RU" w:bidi="ar-SA"/>
              </w:rPr>
            </w:pPr>
            <w:r>
              <w:rPr>
                <w:kern w:val="0"/>
                <w:lang w:val="ru-RU" w:bidi="ar-SA"/>
              </w:rPr>
            </w:r>
          </w:p>
        </w:tc>
        <w:tc>
          <w:tcPr>
            <w:tcW w:w="2213" w:type="dxa"/>
            <w:tcBorders/>
          </w:tcPr>
          <w:p>
            <w:pPr>
              <w:pStyle w:val="Normal"/>
              <w:widowControl w:val="false"/>
              <w:tabs>
                <w:tab w:val="clear" w:pos="708"/>
                <w:tab w:val="left" w:pos="426" w:leader="none"/>
              </w:tabs>
              <w:suppressAutoHyphens w:val="true"/>
              <w:spacing w:before="60" w:after="0"/>
              <w:jc w:val="left"/>
              <w:rPr>
                <w:sz w:val="24"/>
                <w:szCs w:val="24"/>
              </w:rPr>
            </w:pPr>
            <w:r>
              <w:rPr>
                <w:kern w:val="0"/>
                <w:sz w:val="24"/>
                <w:szCs w:val="24"/>
                <w:lang w:val="ru-RU" w:bidi="ar-SA"/>
              </w:rPr>
              <w:t>Результат оказания услуг</w:t>
            </w:r>
          </w:p>
        </w:tc>
        <w:tc>
          <w:tcPr>
            <w:tcW w:w="6610" w:type="dxa"/>
            <w:tcBorders/>
          </w:tcPr>
          <w:p>
            <w:pPr>
              <w:pStyle w:val="Normal"/>
              <w:widowControl/>
              <w:suppressAutoHyphens w:val="true"/>
              <w:spacing w:before="0" w:after="0"/>
              <w:jc w:val="both"/>
              <w:rPr>
                <w:sz w:val="24"/>
                <w:szCs w:val="24"/>
              </w:rPr>
            </w:pPr>
            <w:r>
              <w:rPr>
                <w:kern w:val="0"/>
                <w:sz w:val="24"/>
                <w:szCs w:val="24"/>
                <w:lang w:val="ru-RU" w:bidi="ar-SA"/>
              </w:rPr>
              <w:t>Результат оказания услуг должен соответствовать требованиям перечисленным в Приложении</w:t>
            </w:r>
            <w:r>
              <w:rPr>
                <w:kern w:val="0"/>
                <w:lang w:val="ru-RU" w:bidi="ar-SA"/>
              </w:rPr>
              <w:t xml:space="preserve"> </w:t>
            </w:r>
            <w:r>
              <w:rPr>
                <w:kern w:val="0"/>
                <w:sz w:val="24"/>
                <w:szCs w:val="24"/>
                <w:lang w:val="ru-RU" w:bidi="ar-SA"/>
              </w:rPr>
              <w:t>№1 к Техническим требованиям «</w:t>
            </w:r>
            <w:r>
              <w:rPr>
                <w:iCs/>
                <w:kern w:val="0"/>
                <w:sz w:val="24"/>
                <w:szCs w:val="24"/>
                <w:lang w:val="ru-RU" w:bidi="ar-SA"/>
              </w:rPr>
              <w:t>Перечень возможных услуг, которые будут заказываться по заявкам, включая параметры (характеристики), объем и результат услуг».</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Согласие с требованием</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60" w:after="0"/>
              <w:jc w:val="left"/>
              <w:rPr>
                <w:sz w:val="24"/>
                <w:szCs w:val="24"/>
              </w:rPr>
            </w:pPr>
            <w:r>
              <w:rPr>
                <w:b/>
                <w:kern w:val="0"/>
                <w:sz w:val="24"/>
                <w:szCs w:val="24"/>
                <w:lang w:val="ru-RU" w:bidi="ar-SA"/>
              </w:rPr>
              <w:t>Требования к безопасности использования результата оказания услуг</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0" w:after="0"/>
              <w:jc w:val="left"/>
              <w:rPr>
                <w:bCs/>
                <w:sz w:val="24"/>
                <w:szCs w:val="24"/>
              </w:rPr>
            </w:pPr>
            <w:r>
              <w:rPr>
                <w:b/>
                <w:bCs/>
                <w:kern w:val="0"/>
                <w:sz w:val="24"/>
                <w:szCs w:val="24"/>
                <w:lang w:val="ru-RU" w:bidi="ar-SA"/>
              </w:rPr>
              <w:t>Требования к приемке результата оказания у</w:t>
            </w:r>
            <w:r>
              <w:rPr>
                <w:b/>
                <w:kern w:val="0"/>
                <w:sz w:val="24"/>
                <w:szCs w:val="24"/>
                <w:lang w:val="ru-RU" w:bidi="ar-SA"/>
              </w:rPr>
              <w:t>слуг</w:t>
            </w:r>
            <w:r>
              <w:rPr>
                <w:rStyle w:val="Style7"/>
                <w:bCs/>
                <w:kern w:val="0"/>
                <w:sz w:val="24"/>
                <w:szCs w:val="24"/>
                <w:lang w:val="ru-RU" w:bidi="ar-SA"/>
              </w:rPr>
              <w:t xml:space="preserve"> </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60" w:after="0"/>
              <w:jc w:val="left"/>
              <w:rPr>
                <w:b/>
                <w:sz w:val="24"/>
                <w:szCs w:val="24"/>
              </w:rPr>
            </w:pPr>
            <w:r>
              <w:rPr>
                <w:b/>
                <w:kern w:val="0"/>
                <w:sz w:val="24"/>
                <w:szCs w:val="24"/>
                <w:lang w:val="ru-RU" w:bidi="ar-SA"/>
              </w:rPr>
              <w:t>Требования к документации, описывающей результат оказания услуг</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2"/>
                <w:numId w:val="2"/>
              </w:numPr>
              <w:suppressAutoHyphens w:val="true"/>
              <w:spacing w:before="60" w:after="60"/>
              <w:ind w:left="1224" w:hanging="1199"/>
              <w:contextualSpacing/>
              <w:jc w:val="center"/>
              <w:rPr>
                <w:kern w:val="0"/>
                <w:lang w:val="ru-RU" w:bidi="ar-SA"/>
              </w:rPr>
            </w:pPr>
            <w:r>
              <w:rPr>
                <w:kern w:val="0"/>
                <w:lang w:val="ru-RU" w:bidi="ar-SA"/>
              </w:rPr>
            </w:r>
          </w:p>
        </w:tc>
        <w:tc>
          <w:tcPr>
            <w:tcW w:w="2213" w:type="dxa"/>
            <w:tcBorders/>
          </w:tcPr>
          <w:p>
            <w:pPr>
              <w:pStyle w:val="Normal"/>
              <w:widowControl/>
              <w:suppressAutoHyphens w:val="true"/>
              <w:spacing w:before="0" w:after="0"/>
              <w:jc w:val="left"/>
              <w:rPr>
                <w:sz w:val="24"/>
                <w:szCs w:val="24"/>
              </w:rPr>
            </w:pPr>
            <w:r>
              <w:rPr>
                <w:kern w:val="0"/>
                <w:sz w:val="24"/>
                <w:szCs w:val="24"/>
                <w:lang w:val="ru-RU" w:bidi="ar-SA"/>
              </w:rPr>
              <w:t xml:space="preserve">Требования к срокам и предоставлению отчетной документации </w:t>
            </w:r>
          </w:p>
        </w:tc>
        <w:tc>
          <w:tcPr>
            <w:tcW w:w="6610" w:type="dxa"/>
            <w:tcBorders/>
            <w:vAlign w:val="center"/>
          </w:tcPr>
          <w:p>
            <w:pPr>
              <w:pStyle w:val="Normal"/>
              <w:widowControl/>
              <w:suppressAutoHyphens w:val="true"/>
              <w:spacing w:before="0" w:after="0"/>
              <w:jc w:val="both"/>
              <w:rPr>
                <w:sz w:val="24"/>
                <w:szCs w:val="24"/>
              </w:rPr>
            </w:pPr>
            <w:r>
              <w:rPr>
                <w:kern w:val="0"/>
                <w:sz w:val="24"/>
                <w:szCs w:val="24"/>
                <w:lang w:val="ru-RU" w:bidi="ar-SA"/>
              </w:rPr>
              <w:t>Исполнитель предоставляет Заказчику Отчет об оказании услуг по каждой заявке не позднее 10 (десяти) рабочих дней со дня окончания оказания услуг по соответствующей заявке с правом досрочного представления Отчета. Отчет должен содержать описание оказанных услуг (в том числе, но не исключая характеристик готовых материалов и сведения о третьих лицах привлеченных в качестве субподрядчиков) с приложением подтверждающих документов и результатов оказания услуг, дизайн макеты материалов изготовленные в процессе оказания услуг должны быть представлены в исходных файлах в векторном виде в форматах .eps и .ai Adobe Illustrator до версии CC включительно. В отношении проведенных пресс-туров для представителей СМИ, блого-туров, конкурсов Отчет должен содержать материалы, подтверждающие оказание услуг и фотоотчет. В отношении конференций, круглых столов Отчет должен содержать фотоотчет, презентацию с описанием продукции, использованной при проведении мероприятия, количества участников и оформления места проведения мероприятия и др. материалы, подтверждающие оказание услуги в полном объеме.</w:t>
            </w:r>
          </w:p>
          <w:p>
            <w:pPr>
              <w:pStyle w:val="Normal"/>
              <w:widowControl/>
              <w:suppressAutoHyphens w:val="true"/>
              <w:spacing w:before="0" w:after="0"/>
              <w:jc w:val="both"/>
              <w:rPr>
                <w:sz w:val="24"/>
                <w:szCs w:val="24"/>
              </w:rPr>
            </w:pPr>
            <w:r>
              <w:rPr>
                <w:kern w:val="0"/>
                <w:sz w:val="24"/>
                <w:szCs w:val="24"/>
                <w:lang w:val="ru-RU" w:bidi="ar-SA"/>
              </w:rPr>
              <w:t>Все листы отчета должны быть прошиты и пронумерованы Исполнителем. Отчет должен содержать опись входящих в его состав документов, быть скреплен печатью Исполнителя (для юридических лиц) и подписан уполномоченным лицом Исполнителя.</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Согласие с требованием</w:t>
            </w:r>
          </w:p>
        </w:tc>
        <w:tc>
          <w:tcPr>
            <w:tcW w:w="2840" w:type="dxa"/>
            <w:tcBorders/>
          </w:tcPr>
          <w:p>
            <w:pPr>
              <w:pStyle w:val="Normal"/>
              <w:widowControl/>
              <w:suppressAutoHyphens w:val="true"/>
              <w:spacing w:before="0" w:after="0"/>
              <w:jc w:val="center"/>
              <w:rPr>
                <w:sz w:val="24"/>
                <w:szCs w:val="24"/>
                <w:lang w:val="en-US"/>
              </w:rPr>
            </w:pPr>
            <w:r>
              <w:rPr>
                <w:kern w:val="0"/>
                <w:sz w:val="24"/>
                <w:szCs w:val="24"/>
                <w:lang w:val="en-US" w:bidi="ar-SA"/>
              </w:rPr>
              <w:t>-</w:t>
            </w:r>
          </w:p>
        </w:tc>
      </w:tr>
      <w:tr>
        <w:trPr/>
        <w:tc>
          <w:tcPr>
            <w:tcW w:w="815" w:type="dxa"/>
            <w:tcBorders/>
            <w:vAlign w:val="center"/>
          </w:tcPr>
          <w:p>
            <w:pPr>
              <w:pStyle w:val="ListParagraph"/>
              <w:widowControl/>
              <w:numPr>
                <w:ilvl w:val="2"/>
                <w:numId w:val="2"/>
              </w:numPr>
              <w:suppressAutoHyphens w:val="true"/>
              <w:spacing w:before="60" w:after="60"/>
              <w:ind w:left="1224" w:hanging="1199"/>
              <w:contextualSpacing/>
              <w:jc w:val="center"/>
              <w:rPr>
                <w:kern w:val="0"/>
                <w:lang w:val="ru-RU" w:bidi="ar-SA"/>
              </w:rPr>
            </w:pPr>
            <w:r>
              <w:rPr>
                <w:kern w:val="0"/>
                <w:lang w:val="ru-RU" w:bidi="ar-SA"/>
              </w:rPr>
            </w:r>
          </w:p>
        </w:tc>
        <w:tc>
          <w:tcPr>
            <w:tcW w:w="2213" w:type="dxa"/>
            <w:tcBorders/>
          </w:tcPr>
          <w:p>
            <w:pPr>
              <w:pStyle w:val="Normal"/>
              <w:widowControl/>
              <w:suppressAutoHyphens w:val="true"/>
              <w:spacing w:before="0" w:after="0"/>
              <w:jc w:val="left"/>
              <w:rPr>
                <w:sz w:val="24"/>
                <w:szCs w:val="24"/>
              </w:rPr>
            </w:pPr>
            <w:r>
              <w:rPr>
                <w:kern w:val="0"/>
                <w:sz w:val="24"/>
                <w:szCs w:val="24"/>
                <w:lang w:val="ru-RU" w:bidi="ar-SA"/>
              </w:rPr>
              <w:t>Требование к макетам передаваемым по результатам оказания услуг</w:t>
            </w:r>
          </w:p>
        </w:tc>
        <w:tc>
          <w:tcPr>
            <w:tcW w:w="6610" w:type="dxa"/>
            <w:tcBorders/>
            <w:vAlign w:val="center"/>
          </w:tcPr>
          <w:p>
            <w:pPr>
              <w:pStyle w:val="Normal"/>
              <w:widowControl/>
              <w:suppressAutoHyphens w:val="true"/>
              <w:spacing w:before="0" w:after="0"/>
              <w:jc w:val="left"/>
              <w:rPr>
                <w:sz w:val="24"/>
                <w:szCs w:val="24"/>
              </w:rPr>
            </w:pPr>
            <w:r>
              <w:rPr>
                <w:kern w:val="0"/>
                <w:sz w:val="24"/>
                <w:szCs w:val="24"/>
                <w:lang w:val="ru-RU" w:bidi="ar-SA"/>
              </w:rPr>
              <w:t>Исполнитель обязан предоставить Заказчику все основные исходные материалы (макеты) изготовленные в процессе оказания услуг в электронном виде на электронном носителе (флешка - usb flash drive).</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Согласие с требованием</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0"/>
                <w:numId w:val="2"/>
              </w:numPr>
              <w:suppressAutoHyphens w:val="true"/>
              <w:spacing w:before="60" w:after="60"/>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40" w:after="0"/>
              <w:jc w:val="both"/>
              <w:rPr>
                <w:b/>
                <w:sz w:val="24"/>
                <w:szCs w:val="24"/>
              </w:rPr>
            </w:pPr>
            <w:r>
              <w:rPr>
                <w:b/>
                <w:kern w:val="0"/>
                <w:sz w:val="24"/>
                <w:szCs w:val="24"/>
                <w:lang w:val="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настоящих технических требований)</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0"/>
                <w:numId w:val="2"/>
              </w:numPr>
              <w:suppressAutoHyphens w:val="true"/>
              <w:spacing w:before="60" w:after="60"/>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20" w:after="0"/>
              <w:jc w:val="both"/>
              <w:rPr>
                <w:b/>
                <w:sz w:val="24"/>
                <w:szCs w:val="24"/>
              </w:rPr>
            </w:pPr>
            <w:r>
              <w:rPr>
                <w:b/>
                <w:kern w:val="0"/>
                <w:sz w:val="24"/>
                <w:szCs w:val="24"/>
                <w:lang w:val="ru-RU" w:bidi="ar-SA"/>
              </w:rPr>
              <w:t>Требования к ответственности и гарантиям Исполнителя</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Normal"/>
              <w:widowControl/>
              <w:suppressAutoHyphens w:val="true"/>
              <w:spacing w:before="60" w:after="60"/>
              <w:jc w:val="center"/>
              <w:rPr>
                <w:sz w:val="22"/>
                <w:szCs w:val="22"/>
              </w:rPr>
            </w:pPr>
            <w:r>
              <w:rPr>
                <w:kern w:val="0"/>
                <w:sz w:val="22"/>
                <w:szCs w:val="22"/>
                <w:lang w:val="ru-RU" w:bidi="ar-SA"/>
              </w:rPr>
              <w:t>4.1</w:t>
            </w:r>
          </w:p>
        </w:tc>
        <w:tc>
          <w:tcPr>
            <w:tcW w:w="2213" w:type="dxa"/>
            <w:tcBorders/>
            <w:vAlign w:val="center"/>
          </w:tcPr>
          <w:p>
            <w:pPr>
              <w:pStyle w:val="Normal"/>
              <w:widowControl/>
              <w:suppressAutoHyphens w:val="true"/>
              <w:spacing w:before="0" w:after="0"/>
              <w:jc w:val="left"/>
              <w:rPr>
                <w:sz w:val="24"/>
                <w:szCs w:val="24"/>
              </w:rPr>
            </w:pPr>
            <w:r>
              <w:rPr>
                <w:kern w:val="0"/>
                <w:sz w:val="24"/>
                <w:szCs w:val="24"/>
                <w:lang w:val="ru-RU" w:bidi="ar-SA"/>
              </w:rPr>
              <w:t>Требования к продукции</w:t>
            </w:r>
          </w:p>
        </w:tc>
        <w:tc>
          <w:tcPr>
            <w:tcW w:w="6610" w:type="dxa"/>
            <w:tcBorders/>
            <w:vAlign w:val="center"/>
          </w:tcPr>
          <w:p>
            <w:pPr>
              <w:pStyle w:val="Normal"/>
              <w:widowControl/>
              <w:tabs>
                <w:tab w:val="clear" w:pos="708"/>
                <w:tab w:val="left" w:pos="567" w:leader="none"/>
              </w:tabs>
              <w:suppressAutoHyphens w:val="true"/>
              <w:spacing w:before="0" w:after="0"/>
              <w:jc w:val="both"/>
              <w:rPr>
                <w:color w:val="000000"/>
                <w:sz w:val="24"/>
                <w:szCs w:val="24"/>
              </w:rPr>
            </w:pPr>
            <w:r>
              <w:rPr>
                <w:color w:val="000000"/>
                <w:kern w:val="0"/>
                <w:sz w:val="24"/>
                <w:szCs w:val="24"/>
                <w:lang w:val="ru-RU" w:bidi="ar-SA"/>
              </w:rPr>
              <w:t>В отношении любых разработанных материалов (включая использованные при создании) Исполнитель гарантирует:</w:t>
            </w:r>
          </w:p>
          <w:p>
            <w:pPr>
              <w:pStyle w:val="Normal"/>
              <w:widowControl/>
              <w:tabs>
                <w:tab w:val="clear" w:pos="708"/>
                <w:tab w:val="left" w:pos="567" w:leader="none"/>
              </w:tabs>
              <w:suppressAutoHyphens w:val="true"/>
              <w:spacing w:before="0" w:after="0"/>
              <w:jc w:val="both"/>
              <w:rPr>
                <w:color w:val="000000"/>
                <w:sz w:val="24"/>
                <w:szCs w:val="24"/>
              </w:rPr>
            </w:pPr>
            <w:r>
              <w:rPr>
                <w:color w:val="000000"/>
                <w:kern w:val="0"/>
                <w:sz w:val="24"/>
                <w:szCs w:val="24"/>
                <w:lang w:val="ru-RU" w:bidi="ar-SA"/>
              </w:rPr>
              <w:t xml:space="preserve">- что ни в целом, ни какие-либо их части, не будут нарушать права собственности, авторские, смежные, другие интеллектуальные, личные, гражданские, договорные и иные права третьих лиц и Заказчика, а также не нанесут ущерба их чести, достоинству и деловой репутации; </w:t>
            </w:r>
          </w:p>
          <w:p>
            <w:pPr>
              <w:pStyle w:val="Normal"/>
              <w:widowControl/>
              <w:tabs>
                <w:tab w:val="clear" w:pos="708"/>
                <w:tab w:val="left" w:pos="567" w:leader="none"/>
              </w:tabs>
              <w:suppressAutoHyphens w:val="true"/>
              <w:spacing w:before="0" w:after="0"/>
              <w:jc w:val="both"/>
              <w:rPr>
                <w:color w:val="000000"/>
                <w:sz w:val="24"/>
                <w:szCs w:val="24"/>
              </w:rPr>
            </w:pPr>
            <w:r>
              <w:rPr>
                <w:color w:val="000000"/>
                <w:kern w:val="0"/>
                <w:sz w:val="24"/>
                <w:szCs w:val="24"/>
                <w:lang w:val="ru-RU" w:bidi="ar-SA"/>
              </w:rPr>
              <w:t xml:space="preserve">- что материалы соответствуют положениям действующего законодательства в том числе, Закону о рекламе. </w:t>
            </w:r>
          </w:p>
          <w:p>
            <w:pPr>
              <w:pStyle w:val="Normal"/>
              <w:widowControl/>
              <w:tabs>
                <w:tab w:val="clear" w:pos="708"/>
                <w:tab w:val="left" w:pos="567" w:leader="none"/>
              </w:tabs>
              <w:suppressAutoHyphens w:val="true"/>
              <w:spacing w:before="0" w:after="0"/>
              <w:jc w:val="both"/>
              <w:rPr>
                <w:color w:val="000000"/>
                <w:sz w:val="24"/>
                <w:szCs w:val="24"/>
              </w:rPr>
            </w:pPr>
            <w:r>
              <w:rPr>
                <w:color w:val="000000"/>
                <w:kern w:val="0"/>
                <w:sz w:val="24"/>
                <w:szCs w:val="24"/>
                <w:lang w:val="ru-RU" w:bidi="ar-SA"/>
              </w:rPr>
              <w:t>- что материалы соответствуют положениям действующего законодательства в том числе, закону о рекламе (Федеральный закон от 13.03.2006 № 38-ФЗ), закону о СМИ (Закон РФ от 27.12.1991 N 2124-1).</w:t>
            </w:r>
          </w:p>
          <w:p>
            <w:pPr>
              <w:pStyle w:val="Normal"/>
              <w:widowControl/>
              <w:tabs>
                <w:tab w:val="clear" w:pos="708"/>
                <w:tab w:val="left" w:pos="567" w:leader="none"/>
              </w:tabs>
              <w:suppressAutoHyphens w:val="true"/>
              <w:spacing w:before="0" w:after="0"/>
              <w:jc w:val="both"/>
              <w:rPr>
                <w:color w:val="000000"/>
                <w:sz w:val="24"/>
                <w:szCs w:val="24"/>
              </w:rPr>
            </w:pPr>
            <w:r>
              <w:rPr>
                <w:color w:val="000000"/>
                <w:kern w:val="0"/>
                <w:sz w:val="24"/>
                <w:szCs w:val="24"/>
                <w:lang w:val="ru-RU" w:bidi="ar-SA"/>
              </w:rPr>
              <w:t>В целях оказания услуг Исполнитель обеспечивает приобретение необходимых шрифтов, объектов в фотобанках, музыкальных и видеоархивах (стоках) для Заказчика на условиях неисключительной лицензии.</w:t>
            </w:r>
          </w:p>
          <w:p>
            <w:pPr>
              <w:pStyle w:val="Normal"/>
              <w:widowControl/>
              <w:tabs>
                <w:tab w:val="clear" w:pos="708"/>
                <w:tab w:val="left" w:pos="567" w:leader="none"/>
              </w:tabs>
              <w:suppressAutoHyphens w:val="true"/>
              <w:spacing w:before="0" w:after="0"/>
              <w:jc w:val="both"/>
              <w:rPr>
                <w:color w:val="000000"/>
                <w:sz w:val="24"/>
                <w:szCs w:val="24"/>
              </w:rPr>
            </w:pPr>
            <w:r>
              <w:rPr>
                <w:color w:val="000000"/>
                <w:kern w:val="0"/>
                <w:sz w:val="24"/>
                <w:szCs w:val="24"/>
                <w:lang w:val="ru-RU" w:bidi="ar-SA"/>
              </w:rPr>
              <w:t>Для исключения нарушений российского законодательства в области охраны авторского права при использовании заимствованных текстовых, графических, фотоматериалов, музыкальных произведений и видеоматериалов Исполнитель обязан осуществлять их передачу Заказчику с обладателями авторских и смежных прав.</w:t>
            </w:r>
          </w:p>
          <w:p>
            <w:pPr>
              <w:pStyle w:val="Normal"/>
              <w:widowControl/>
              <w:suppressAutoHyphens w:val="true"/>
              <w:spacing w:before="0" w:after="0"/>
              <w:jc w:val="both"/>
              <w:rPr>
                <w:sz w:val="24"/>
                <w:szCs w:val="24"/>
              </w:rPr>
            </w:pPr>
            <w:r>
              <w:rPr>
                <w:color w:val="000000"/>
                <w:kern w:val="0"/>
                <w:sz w:val="24"/>
                <w:szCs w:val="24"/>
                <w:lang w:val="ru-RU" w:bidi="ar-SA"/>
              </w:rPr>
              <w:t>Исполнитель обеспечивает архивацию и хранение всех созданных материалов в виде, определенном Заказчиком, и предоставляет Заказчику по его требованию видеоматериалы из архива на DVD носителях, HDD, облачных сервисах не позднее чем через 24 часа после их создания, приобретения.</w:t>
            </w:r>
          </w:p>
        </w:tc>
        <w:tc>
          <w:tcPr>
            <w:tcW w:w="2576" w:type="dxa"/>
            <w:tcBorders/>
          </w:tcPr>
          <w:p>
            <w:pPr>
              <w:pStyle w:val="Normal"/>
              <w:widowControl/>
              <w:suppressAutoHyphens w:val="true"/>
              <w:spacing w:before="0" w:after="0"/>
              <w:jc w:val="center"/>
              <w:rPr>
                <w:sz w:val="24"/>
                <w:szCs w:val="24"/>
              </w:rPr>
            </w:pPr>
            <w:r>
              <w:rPr>
                <w:kern w:val="0"/>
                <w:sz w:val="24"/>
                <w:szCs w:val="24"/>
                <w:lang w:val="ru-RU" w:bidi="ar-SA"/>
              </w:rPr>
              <w:t>Согласие с требованием</w:t>
            </w:r>
          </w:p>
        </w:tc>
        <w:tc>
          <w:tcPr>
            <w:tcW w:w="2851" w:type="dxa"/>
            <w:gridSpan w:val="2"/>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0"/>
                <w:numId w:val="2"/>
              </w:numPr>
              <w:suppressAutoHyphens w:val="true"/>
              <w:spacing w:before="60" w:after="60"/>
              <w:contextualSpacing/>
              <w:jc w:val="center"/>
              <w:rPr>
                <w:kern w:val="0"/>
                <w:lang w:val="ru-RU" w:bidi="ar-SA"/>
              </w:rPr>
            </w:pPr>
            <w:r>
              <w:rPr>
                <w:kern w:val="0"/>
                <w:lang w:val="ru-RU" w:bidi="ar-SA"/>
              </w:rPr>
            </w:r>
          </w:p>
        </w:tc>
        <w:tc>
          <w:tcPr>
            <w:tcW w:w="8823" w:type="dxa"/>
            <w:gridSpan w:val="2"/>
            <w:tcBorders/>
            <w:vAlign w:val="center"/>
          </w:tcPr>
          <w:p>
            <w:pPr>
              <w:pStyle w:val="Normal"/>
              <w:keepNext w:val="true"/>
              <w:widowControl/>
              <w:suppressAutoHyphens w:val="true"/>
              <w:spacing w:before="60" w:after="60"/>
              <w:jc w:val="left"/>
              <w:rPr>
                <w:b/>
                <w:sz w:val="24"/>
                <w:szCs w:val="24"/>
              </w:rPr>
            </w:pPr>
            <w:r>
              <w:rPr>
                <w:b/>
                <w:kern w:val="0"/>
                <w:sz w:val="24"/>
                <w:szCs w:val="24"/>
                <w:lang w:val="ru-RU" w:bidi="ar-SA"/>
              </w:rPr>
              <w:t>Требования к Исполнителю (и соисполнителям) и его обязательствам, влияющим на исполнение договора</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2"/>
                <w:numId w:val="2"/>
              </w:numPr>
              <w:suppressAutoHyphens w:val="true"/>
              <w:spacing w:before="60" w:after="60"/>
              <w:ind w:left="1224" w:hanging="1199"/>
              <w:contextualSpacing/>
              <w:jc w:val="center"/>
              <w:rPr>
                <w:kern w:val="0"/>
                <w:lang w:val="ru-RU" w:bidi="ar-SA"/>
              </w:rPr>
            </w:pPr>
            <w:r>
              <w:rPr>
                <w:kern w:val="0"/>
                <w:lang w:val="ru-RU" w:bidi="ar-SA"/>
              </w:rPr>
            </w:r>
          </w:p>
        </w:tc>
        <w:tc>
          <w:tcPr>
            <w:tcW w:w="2213" w:type="dxa"/>
            <w:tcBorders/>
            <w:shd w:color="auto" w:fill="auto" w:val="clear"/>
          </w:tcPr>
          <w:p>
            <w:pPr>
              <w:pStyle w:val="Normal"/>
              <w:widowControl/>
              <w:suppressAutoHyphens w:val="true"/>
              <w:spacing w:before="0" w:after="0"/>
              <w:jc w:val="left"/>
              <w:rPr>
                <w:sz w:val="24"/>
                <w:szCs w:val="24"/>
              </w:rPr>
            </w:pPr>
            <w:r>
              <w:rPr>
                <w:iCs/>
                <w:kern w:val="0"/>
                <w:sz w:val="24"/>
                <w:szCs w:val="24"/>
                <w:lang w:val="ru-RU" w:bidi="ar-SA"/>
              </w:rPr>
              <w:t>Требования к соисполнителям, привлекаемым к оказанию услуг</w:t>
            </w:r>
          </w:p>
        </w:tc>
        <w:tc>
          <w:tcPr>
            <w:tcW w:w="6610" w:type="dxa"/>
            <w:tcBorders/>
            <w:shd w:color="auto" w:fill="auto" w:val="clear"/>
          </w:tcPr>
          <w:p>
            <w:pPr>
              <w:pStyle w:val="Normal"/>
              <w:widowControl/>
              <w:suppressAutoHyphens w:val="true"/>
              <w:spacing w:before="0" w:after="0"/>
              <w:jc w:val="both"/>
              <w:rPr>
                <w:sz w:val="24"/>
                <w:szCs w:val="24"/>
              </w:rPr>
            </w:pPr>
            <w:r>
              <w:rPr>
                <w:iCs/>
                <w:kern w:val="0"/>
                <w:sz w:val="24"/>
                <w:szCs w:val="24"/>
                <w:lang w:val="ru-RU" w:bidi="ar-SA"/>
              </w:rPr>
              <w:t>В случае привлечения к оказанию услуг субисполнителей Исполнитель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оказания ими услуг</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Согласие с требованием</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0"/>
                <w:numId w:val="2"/>
              </w:numPr>
              <w:suppressAutoHyphens w:val="true"/>
              <w:spacing w:before="60" w:after="60"/>
              <w:contextualSpacing/>
              <w:jc w:val="center"/>
              <w:rPr>
                <w:kern w:val="0"/>
                <w:lang w:val="ru-RU" w:bidi="ar-SA"/>
              </w:rPr>
            </w:pPr>
            <w:r>
              <w:rPr>
                <w:kern w:val="0"/>
                <w:lang w:val="ru-RU" w:bidi="ar-SA"/>
              </w:rPr>
            </w:r>
          </w:p>
        </w:tc>
        <w:tc>
          <w:tcPr>
            <w:tcW w:w="8823" w:type="dxa"/>
            <w:gridSpan w:val="2"/>
            <w:tcBorders/>
            <w:vAlign w:val="center"/>
          </w:tcPr>
          <w:p>
            <w:pPr>
              <w:pStyle w:val="Normal"/>
              <w:widowControl/>
              <w:suppressAutoHyphens w:val="true"/>
              <w:spacing w:before="60" w:after="60"/>
              <w:jc w:val="left"/>
              <w:rPr>
                <w:b/>
                <w:sz w:val="24"/>
                <w:szCs w:val="24"/>
              </w:rPr>
            </w:pPr>
            <w:r>
              <w:rPr>
                <w:b/>
                <w:kern w:val="0"/>
                <w:sz w:val="24"/>
                <w:szCs w:val="24"/>
                <w:lang w:val="ru-RU" w:bidi="ar-SA"/>
              </w:rPr>
              <w:t xml:space="preserve">Прочие требования к оказанию услуг </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kern w:val="0"/>
                <w:lang w:val="ru-RU" w:bidi="ar-SA"/>
              </w:rPr>
            </w:pPr>
            <w:r>
              <w:rPr>
                <w:kern w:val="0"/>
                <w:lang w:val="ru-RU" w:bidi="ar-SA"/>
              </w:rPr>
            </w:r>
          </w:p>
        </w:tc>
        <w:tc>
          <w:tcPr>
            <w:tcW w:w="2213" w:type="dxa"/>
            <w:tcBorders/>
            <w:vAlign w:val="center"/>
          </w:tcPr>
          <w:p>
            <w:pPr>
              <w:pStyle w:val="Normal"/>
              <w:widowControl/>
              <w:suppressAutoHyphens w:val="true"/>
              <w:spacing w:before="0" w:after="0"/>
              <w:jc w:val="left"/>
              <w:rPr>
                <w:iCs/>
                <w:sz w:val="24"/>
                <w:szCs w:val="24"/>
              </w:rPr>
            </w:pPr>
            <w:r>
              <w:rPr>
                <w:iCs/>
                <w:kern w:val="0"/>
                <w:sz w:val="24"/>
                <w:szCs w:val="24"/>
                <w:lang w:val="ru-RU" w:bidi="ar-SA"/>
              </w:rPr>
              <w:t xml:space="preserve">Требования к контролю за оказанием услуг </w:t>
            </w:r>
          </w:p>
        </w:tc>
        <w:tc>
          <w:tcPr>
            <w:tcW w:w="6610" w:type="dxa"/>
            <w:tcBorders/>
            <w:vAlign w:val="center"/>
          </w:tcPr>
          <w:p>
            <w:pPr>
              <w:pStyle w:val="Normal"/>
              <w:widowControl/>
              <w:suppressAutoHyphens w:val="true"/>
              <w:spacing w:before="0" w:after="0"/>
              <w:jc w:val="both"/>
              <w:rPr>
                <w:iCs/>
                <w:sz w:val="24"/>
                <w:szCs w:val="24"/>
              </w:rPr>
            </w:pPr>
            <w:r>
              <w:rPr>
                <w:iCs/>
                <w:kern w:val="0"/>
                <w:sz w:val="24"/>
                <w:szCs w:val="24"/>
                <w:lang w:val="ru-RU" w:bidi="ar-SA"/>
              </w:rPr>
              <w:t>Для осуществления контроля над ходом оказания услуг Исполнитель по запросу Заказчика представляет необходимые материалы, относящиеся к услугам, и создает условия для проверки хода оказания услуг.</w:t>
            </w:r>
          </w:p>
        </w:tc>
        <w:tc>
          <w:tcPr>
            <w:tcW w:w="2587" w:type="dxa"/>
            <w:gridSpan w:val="2"/>
            <w:tcBorders/>
          </w:tcPr>
          <w:p>
            <w:pPr>
              <w:pStyle w:val="Normal"/>
              <w:widowControl/>
              <w:suppressAutoHyphens w:val="true"/>
              <w:spacing w:before="0" w:after="0"/>
              <w:jc w:val="center"/>
              <w:rPr>
                <w:sz w:val="24"/>
                <w:szCs w:val="24"/>
              </w:rPr>
            </w:pPr>
            <w:r>
              <w:rPr>
                <w:kern w:val="0"/>
                <w:sz w:val="24"/>
                <w:szCs w:val="24"/>
                <w:lang w:val="ru-RU" w:bidi="ar-SA"/>
              </w:rPr>
              <w:t>Согласие с требованием</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r>
        <w:trPr/>
        <w:tc>
          <w:tcPr>
            <w:tcW w:w="815" w:type="dxa"/>
            <w:tcBorders/>
            <w:vAlign w:val="center"/>
          </w:tcPr>
          <w:p>
            <w:pPr>
              <w:pStyle w:val="ListParagraph"/>
              <w:widowControl/>
              <w:numPr>
                <w:ilvl w:val="1"/>
                <w:numId w:val="2"/>
              </w:numPr>
              <w:suppressAutoHyphens w:val="true"/>
              <w:spacing w:before="60" w:after="60"/>
              <w:ind w:left="-117" w:firstLine="142"/>
              <w:contextualSpacing/>
              <w:jc w:val="center"/>
              <w:rPr>
                <w:kern w:val="0"/>
                <w:lang w:val="ru-RU" w:bidi="ar-SA"/>
              </w:rPr>
            </w:pPr>
            <w:r>
              <w:rPr>
                <w:kern w:val="0"/>
                <w:lang w:val="ru-RU" w:bidi="ar-SA"/>
              </w:rPr>
            </w:r>
          </w:p>
        </w:tc>
        <w:tc>
          <w:tcPr>
            <w:tcW w:w="2213" w:type="dxa"/>
            <w:tcBorders/>
            <w:vAlign w:val="center"/>
          </w:tcPr>
          <w:p>
            <w:pPr>
              <w:pStyle w:val="Normal"/>
              <w:widowControl/>
              <w:suppressAutoHyphens w:val="true"/>
              <w:spacing w:before="0" w:after="0"/>
              <w:jc w:val="left"/>
              <w:rPr>
                <w:b/>
              </w:rPr>
            </w:pPr>
            <w:r>
              <w:rPr>
                <w:iCs/>
                <w:kern w:val="0"/>
                <w:sz w:val="24"/>
                <w:szCs w:val="24"/>
                <w:lang w:val="ru-RU" w:bidi="ar-SA"/>
              </w:rPr>
              <w:t>Требования к организации взаимодействия с Заказчиком при оказании услуг</w:t>
            </w:r>
          </w:p>
        </w:tc>
        <w:tc>
          <w:tcPr>
            <w:tcW w:w="6610" w:type="dxa"/>
            <w:tcBorders/>
            <w:vAlign w:val="center"/>
          </w:tcPr>
          <w:p>
            <w:pPr>
              <w:pStyle w:val="Normal"/>
              <w:widowControl/>
              <w:suppressAutoHyphens w:val="true"/>
              <w:spacing w:before="0" w:after="0"/>
              <w:jc w:val="both"/>
              <w:rPr>
                <w:iCs/>
                <w:sz w:val="24"/>
                <w:szCs w:val="24"/>
              </w:rPr>
            </w:pPr>
            <w:r>
              <w:rPr>
                <w:iCs/>
                <w:kern w:val="0"/>
                <w:sz w:val="24"/>
                <w:szCs w:val="24"/>
                <w:lang w:val="ru-RU" w:bidi="ar-SA"/>
              </w:rPr>
              <w:t xml:space="preserve">Взаимодействие в целях выполнения работ осуществляется путем проведения совместных рабочих встреч и путем осуществления официальной переписки или иным способом по любым вопросам или действиям, предусмотренным положениями настоящих технических требований. Официальное представление разработанных или иных материалов, результатов, документов, предусмотренных положениями настоящих Технических требований, должно осуществляться путем представления или передачи, или направления их на имя Заказчика с сопроводительным письмом по адресу: 660049, Красноярский край, г.о. город Красноярск, г. Красноярск, ул. Перенсона, зд. 2а, помещ. 1 </w:t>
            </w:r>
            <w:r>
              <w:rPr>
                <w:kern w:val="0"/>
                <w:sz w:val="24"/>
                <w:szCs w:val="24"/>
                <w:lang w:val="ru-RU" w:bidi="ar-SA"/>
              </w:rPr>
              <w:t xml:space="preserve">(сведения об адресе уточняются Исполнителем до направления отчетной документации) и по электронной почте на адрес: </w:t>
            </w:r>
            <w:hyperlink r:id="rId5">
              <w:r>
                <w:rPr>
                  <w:rStyle w:val="Hyperlink"/>
                  <w:kern w:val="0"/>
                  <w:sz w:val="24"/>
                  <w:szCs w:val="24"/>
                  <w:lang w:val="ru-RU" w:bidi="ar-SA"/>
                </w:rPr>
                <w:t>churakovaoa@rushydro.ru</w:t>
              </w:r>
            </w:hyperlink>
            <w:r>
              <w:rPr>
                <w:kern w:val="0"/>
                <w:sz w:val="24"/>
                <w:szCs w:val="24"/>
                <w:lang w:val="ru-RU" w:bidi="ar-SA"/>
              </w:rPr>
              <w:t>.</w:t>
            </w:r>
          </w:p>
          <w:p>
            <w:pPr>
              <w:pStyle w:val="Normal"/>
              <w:widowControl/>
              <w:suppressAutoHyphens w:val="true"/>
              <w:spacing w:before="0" w:after="0"/>
              <w:jc w:val="both"/>
              <w:rPr>
                <w:iCs/>
                <w:sz w:val="24"/>
                <w:szCs w:val="24"/>
              </w:rPr>
            </w:pPr>
            <w:r>
              <w:rPr>
                <w:iCs/>
                <w:kern w:val="0"/>
                <w:sz w:val="24"/>
                <w:szCs w:val="24"/>
                <w:lang w:val="ru-RU" w:bidi="ar-SA"/>
              </w:rPr>
              <w:t>Получатель отчетной документации: ПАО «РусГидро» (Департамент корпоративных коммуникаций, Управление коммуникационных проектов).</w:t>
            </w:r>
          </w:p>
        </w:tc>
        <w:tc>
          <w:tcPr>
            <w:tcW w:w="2587" w:type="dxa"/>
            <w:gridSpan w:val="2"/>
            <w:tcBorders/>
          </w:tcPr>
          <w:p>
            <w:pPr>
              <w:pStyle w:val="Normal"/>
              <w:widowControl/>
              <w:suppressAutoHyphens w:val="true"/>
              <w:spacing w:before="0" w:after="0"/>
              <w:jc w:val="center"/>
              <w:rPr>
                <w:b/>
              </w:rPr>
            </w:pPr>
            <w:r>
              <w:rPr>
                <w:iCs/>
                <w:kern w:val="0"/>
                <w:sz w:val="24"/>
                <w:szCs w:val="24"/>
                <w:lang w:val="ru-RU" w:bidi="ar-SA"/>
              </w:rPr>
              <w:t>Согласие с требованием</w:t>
            </w:r>
          </w:p>
        </w:tc>
        <w:tc>
          <w:tcPr>
            <w:tcW w:w="2840" w:type="dxa"/>
            <w:tcBorders/>
          </w:tcPr>
          <w:p>
            <w:pPr>
              <w:pStyle w:val="Normal"/>
              <w:widowControl/>
              <w:suppressAutoHyphens w:val="true"/>
              <w:spacing w:before="0" w:after="0"/>
              <w:jc w:val="center"/>
              <w:rPr>
                <w:sz w:val="24"/>
                <w:szCs w:val="24"/>
              </w:rPr>
            </w:pPr>
            <w:r>
              <w:rPr>
                <w:kern w:val="0"/>
                <w:sz w:val="24"/>
                <w:szCs w:val="24"/>
                <w:lang w:val="ru-RU" w:bidi="ar-SA"/>
              </w:rPr>
              <w:t>-</w:t>
            </w:r>
          </w:p>
        </w:tc>
      </w:tr>
    </w:tbl>
    <w:p>
      <w:pPr>
        <w:sectPr>
          <w:headerReference w:type="default" r:id="rId6"/>
          <w:headerReference w:type="first" r:id="rId7"/>
          <w:type w:val="nextPage"/>
          <w:pgSz w:orient="landscape" w:w="16838" w:h="11906"/>
          <w:pgMar w:left="992" w:right="567" w:gutter="0" w:header="680" w:top="851" w:footer="0" w:bottom="851"/>
          <w:pgNumType w:fmt="decimal"/>
          <w:formProt w:val="false"/>
          <w:titlePg/>
          <w:textDirection w:val="lrTb"/>
          <w:docGrid w:type="default" w:linePitch="381" w:charSpace="0"/>
        </w:sectPr>
      </w:pPr>
    </w:p>
    <w:p>
      <w:pPr>
        <w:pStyle w:val="Heading1"/>
        <w:ind w:left="0" w:hanging="0"/>
        <w:jc w:val="center"/>
        <w:rPr/>
      </w:pPr>
      <w:bookmarkStart w:id="25" w:name="_Toc124254181"/>
      <w:bookmarkStart w:id="26" w:name="_Toc53393312"/>
      <w:bookmarkStart w:id="27" w:name="_Toc53395937"/>
      <w:r>
        <w:rPr/>
        <w:t>Требования к документации по ценообразованию</w:t>
      </w:r>
      <w:bookmarkEnd w:id="26"/>
      <w:bookmarkEnd w:id="27"/>
      <w:r>
        <w:rPr/>
        <w:t xml:space="preserve"> на этапе закупки</w:t>
      </w:r>
      <w:bookmarkEnd w:id="25"/>
    </w:p>
    <w:p>
      <w:pPr>
        <w:pStyle w:val="Normal"/>
        <w:widowControl w:val="false"/>
        <w:tabs>
          <w:tab w:val="clear" w:pos="708"/>
          <w:tab w:val="left" w:pos="426" w:leader="none"/>
        </w:tabs>
        <w:spacing w:before="60" w:after="0"/>
        <w:jc w:val="both"/>
        <w:rPr>
          <w:rStyle w:val="Style7"/>
          <w:b w:val="false"/>
          <w:bCs/>
          <w:iCs/>
          <w:sz w:val="24"/>
          <w:szCs w:val="24"/>
        </w:rPr>
      </w:pPr>
      <w:r>
        <w:rPr>
          <w:b w:val="false"/>
          <w:bCs/>
          <w:iCs/>
          <w:sz w:val="24"/>
          <w:szCs w:val="24"/>
        </w:rPr>
      </w:r>
    </w:p>
    <w:p>
      <w:pPr>
        <w:pStyle w:val="ListParagraph"/>
        <w:numPr>
          <w:ilvl w:val="1"/>
          <w:numId w:val="6"/>
        </w:numPr>
        <w:ind w:left="0" w:firstLine="709"/>
        <w:jc w:val="both"/>
        <w:rPr>
          <w:iCs/>
        </w:rPr>
      </w:pPr>
      <w:r>
        <w:rPr>
          <w:iCs/>
        </w:rPr>
        <w:t>В обоснование стоимости своей заявки Участник предоставляет Коммерческое предложение по форме Приложения № 4 к Документации о закупке, в котором указывает цену за единицу продукции (руб. без НДС) с максимальной скидкой для Заказчика, а также коэффициент снижения, выраженный в процентах (%) от начальной (максимальной) цены за единицу продукции, с точностью до сотых. Участником должен быть указан коэффициент снижения (коэффициент должен быть един для каждой из таблиц (1-11)</w:t>
      </w:r>
      <w:bookmarkStart w:id="28" w:name="_GoBack"/>
      <w:bookmarkEnd w:id="28"/>
      <w:r>
        <w:rPr>
          <w:iCs/>
        </w:rPr>
        <w:t xml:space="preserve"> Приложения №4 Документации о закупке). </w:t>
      </w:r>
    </w:p>
    <w:p>
      <w:pPr>
        <w:pStyle w:val="ListParagraph"/>
        <w:numPr>
          <w:ilvl w:val="1"/>
          <w:numId w:val="6"/>
        </w:numPr>
        <w:ind w:left="0" w:firstLine="709"/>
        <w:jc w:val="both"/>
        <w:rPr>
          <w:iCs/>
        </w:rPr>
      </w:pPr>
      <w:r>
        <w:rPr>
          <w:iCs/>
        </w:rPr>
        <w:t xml:space="preserve">Коэффициент снижения каждой из Таблицы (Кi) служит только для оценки и сопоставления предложений Участников по соответствующему ценовому (стоимостному) критерию оценки </w:t>
      </w:r>
      <w:bookmarkStart w:id="29" w:name="_Hlk87537450"/>
      <w:r>
        <w:rPr>
          <w:iCs/>
        </w:rPr>
        <w:t>в соответствии с Приложением № 6 к Документации о закупке «Порядок и критерии оценки и сопоставления заявок»</w:t>
      </w:r>
      <w:bookmarkEnd w:id="29"/>
      <w:r>
        <w:rPr>
          <w:iCs/>
        </w:rPr>
        <w:t xml:space="preserve"> (в договоре закрепляются единичные расценки услуг, предложенные в заявке Победителем).</w:t>
      </w:r>
    </w:p>
    <w:p>
      <w:pPr>
        <w:pStyle w:val="ListParagraph"/>
        <w:numPr>
          <w:ilvl w:val="1"/>
          <w:numId w:val="6"/>
        </w:numPr>
        <w:ind w:left="0" w:firstLine="709"/>
        <w:jc w:val="both"/>
        <w:rPr>
          <w:iCs/>
        </w:rPr>
      </w:pPr>
      <w:r>
        <w:rPr>
          <w:iCs/>
        </w:rPr>
        <w:t>Стоимость за единицу продукции (услуги) должна включать в себя налоги, сборы, пошлины и другие обязательные платежи, стоимость расходных материалов, используемых при оказании услуг, расходы на содержание, эксплуатацию, перебазировку спецоборудования и инструментов, и прочие расходы, связанные с оказанием услуг, предусмотренные Проектом договора (Приложение №2 к Документации о закупке).</w:t>
      </w:r>
    </w:p>
    <w:p>
      <w:pPr>
        <w:pStyle w:val="ListParagraph"/>
        <w:numPr>
          <w:ilvl w:val="1"/>
          <w:numId w:val="6"/>
        </w:numPr>
        <w:ind w:left="0" w:firstLine="709"/>
        <w:jc w:val="both"/>
        <w:rPr>
          <w:iCs/>
        </w:rPr>
      </w:pPr>
      <w:r>
        <w:rPr>
          <w:iCs/>
        </w:rPr>
        <w:t>Дополнительные документы по ценообразованию (сметная документация) в состав заявки Участника не включаются.</w:t>
      </w:r>
    </w:p>
    <w:p>
      <w:pPr>
        <w:pStyle w:val="Normal"/>
        <w:ind w:left="709" w:hanging="0"/>
        <w:jc w:val="both"/>
        <w:rPr>
          <w:b/>
          <w:bCs/>
          <w:i/>
          <w:i/>
          <w:iCs/>
          <w:sz w:val="24"/>
          <w:szCs w:val="24"/>
          <w:lang w:eastAsia="x-none"/>
        </w:rPr>
      </w:pPr>
      <w:r>
        <w:rPr>
          <w:b/>
          <w:bCs/>
          <w:i/>
          <w:iCs/>
          <w:sz w:val="24"/>
          <w:szCs w:val="24"/>
          <w:lang w:eastAsia="x-none"/>
        </w:rPr>
      </w:r>
    </w:p>
    <w:p>
      <w:pPr>
        <w:pStyle w:val="Heading1"/>
        <w:numPr>
          <w:ilvl w:val="0"/>
          <w:numId w:val="0"/>
        </w:numPr>
        <w:ind w:left="357" w:hanging="0"/>
        <w:rPr/>
      </w:pPr>
      <w:r>
        <w:rPr/>
      </w:r>
    </w:p>
    <w:p>
      <w:pPr>
        <w:pStyle w:val="Normal"/>
        <w:rPr>
          <w:iCs/>
          <w:caps/>
        </w:rPr>
      </w:pPr>
      <w:r>
        <w:rPr>
          <w:iCs/>
          <w:caps/>
        </w:rPr>
      </w:r>
      <w:r>
        <w:br w:type="page"/>
      </w:r>
    </w:p>
    <w:p>
      <w:pPr>
        <w:pStyle w:val="Heading1"/>
        <w:ind w:left="0" w:hanging="0"/>
        <w:jc w:val="center"/>
        <w:rPr/>
      </w:pPr>
      <w:r>
        <w:rPr/>
        <w:t xml:space="preserve">Требования к документации по ценообразованию </w:t>
      </w:r>
    </w:p>
    <w:p>
      <w:pPr>
        <w:pStyle w:val="Heading1"/>
        <w:numPr>
          <w:ilvl w:val="0"/>
          <w:numId w:val="0"/>
        </w:numPr>
        <w:ind w:left="0" w:hanging="0"/>
        <w:jc w:val="center"/>
        <w:rPr/>
      </w:pPr>
      <w:bookmarkStart w:id="30" w:name="_Toc54281228"/>
      <w:bookmarkStart w:id="31" w:name="_Toc124254182"/>
      <w:r>
        <w:rPr/>
        <w:t>на этапе заключения (исполнения) договора</w:t>
      </w:r>
      <w:bookmarkEnd w:id="30"/>
      <w:bookmarkEnd w:id="31"/>
    </w:p>
    <w:p>
      <w:pPr>
        <w:pStyle w:val="Normal"/>
        <w:widowControl w:val="false"/>
        <w:tabs>
          <w:tab w:val="clear" w:pos="708"/>
          <w:tab w:val="left" w:pos="426" w:leader="none"/>
        </w:tabs>
        <w:spacing w:before="60" w:after="0"/>
        <w:jc w:val="both"/>
        <w:rPr>
          <w:rStyle w:val="Style7"/>
          <w:b w:val="false"/>
          <w:bCs/>
          <w:iCs/>
          <w:sz w:val="24"/>
          <w:szCs w:val="24"/>
        </w:rPr>
      </w:pPr>
      <w:r>
        <w:rPr>
          <w:b w:val="false"/>
          <w:bCs/>
          <w:iCs/>
          <w:sz w:val="24"/>
          <w:szCs w:val="24"/>
        </w:rPr>
      </w:r>
    </w:p>
    <w:p>
      <w:pPr>
        <w:pStyle w:val="Normal"/>
        <w:numPr>
          <w:ilvl w:val="1"/>
          <w:numId w:val="4"/>
        </w:numPr>
        <w:ind w:left="0" w:firstLine="709"/>
        <w:jc w:val="both"/>
        <w:rPr>
          <w:iCs/>
          <w:sz w:val="24"/>
          <w:szCs w:val="24"/>
          <w:lang w:eastAsia="x-none"/>
        </w:rPr>
      </w:pPr>
      <w:r>
        <w:rPr>
          <w:iCs/>
          <w:sz w:val="24"/>
          <w:szCs w:val="24"/>
          <w:lang w:eastAsia="x-none"/>
        </w:rPr>
        <w:t>По результатам настоящей закупки заключается договор с предельной ценой, равной начальной (максимальной) цене договора, установленной в Документации о закупке, а также с единичными расценками (ценой за единицу продукции по каждому наименованию работ), предложенными в заявке Победителем.</w:t>
      </w:r>
    </w:p>
    <w:p>
      <w:pPr>
        <w:pStyle w:val="Normal"/>
        <w:numPr>
          <w:ilvl w:val="1"/>
          <w:numId w:val="4"/>
        </w:numPr>
        <w:ind w:left="0" w:firstLine="709"/>
        <w:jc w:val="both"/>
        <w:rPr>
          <w:iCs/>
          <w:sz w:val="24"/>
          <w:szCs w:val="24"/>
          <w:lang w:eastAsia="x-none"/>
        </w:rPr>
      </w:pPr>
      <w:r>
        <w:rPr>
          <w:rFonts w:eastAsia="Calibri"/>
          <w:iCs/>
          <w:sz w:val="24"/>
          <w:szCs w:val="24"/>
          <w:lang w:val="x-none" w:eastAsia="x-none"/>
        </w:rPr>
        <w:t>Порядок формировани</w:t>
      </w:r>
      <w:r>
        <w:rPr>
          <w:iCs/>
          <w:sz w:val="24"/>
          <w:szCs w:val="24"/>
        </w:rPr>
        <w:t>я</w:t>
      </w:r>
      <w:r>
        <w:rPr>
          <w:rFonts w:eastAsia="Calibri"/>
          <w:iCs/>
          <w:sz w:val="24"/>
          <w:szCs w:val="24"/>
          <w:lang w:val="x-none" w:eastAsia="x-none"/>
        </w:rPr>
        <w:t xml:space="preserve"> </w:t>
      </w:r>
      <w:r>
        <w:rPr>
          <w:rFonts w:eastAsia="Calibri"/>
          <w:iCs/>
          <w:sz w:val="24"/>
          <w:szCs w:val="24"/>
          <w:lang w:eastAsia="x-none"/>
        </w:rPr>
        <w:t xml:space="preserve">на этапе исполнения договора </w:t>
      </w:r>
      <w:r>
        <w:rPr>
          <w:rFonts w:eastAsia="Calibri"/>
          <w:iCs/>
          <w:sz w:val="24"/>
          <w:szCs w:val="24"/>
          <w:lang w:val="x-none" w:eastAsia="x-none"/>
        </w:rPr>
        <w:t>стоимост</w:t>
      </w:r>
      <w:r>
        <w:rPr>
          <w:iCs/>
          <w:sz w:val="24"/>
          <w:szCs w:val="24"/>
        </w:rPr>
        <w:t>и</w:t>
      </w:r>
      <w:r>
        <w:rPr>
          <w:rFonts w:eastAsia="Calibri"/>
          <w:iCs/>
          <w:sz w:val="24"/>
          <w:szCs w:val="24"/>
          <w:lang w:val="x-none" w:eastAsia="x-none"/>
        </w:rPr>
        <w:t xml:space="preserve"> </w:t>
      </w:r>
      <w:r>
        <w:rPr>
          <w:rFonts w:eastAsia="Calibri"/>
          <w:iCs/>
          <w:sz w:val="24"/>
          <w:szCs w:val="24"/>
          <w:lang w:eastAsia="x-none"/>
        </w:rPr>
        <w:t>оказываемых услуг</w:t>
      </w:r>
      <w:r>
        <w:rPr>
          <w:rFonts w:eastAsia="Calibri"/>
          <w:iCs/>
          <w:sz w:val="24"/>
          <w:szCs w:val="24"/>
          <w:lang w:val="x-none" w:eastAsia="x-none"/>
        </w:rPr>
        <w:t xml:space="preserve"> </w:t>
      </w:r>
      <w:r>
        <w:rPr>
          <w:rFonts w:eastAsia="Calibri"/>
          <w:iCs/>
          <w:sz w:val="24"/>
          <w:szCs w:val="24"/>
          <w:lang w:eastAsia="x-none"/>
        </w:rPr>
        <w:t xml:space="preserve">по заявке Заказчика </w:t>
      </w:r>
      <w:r>
        <w:rPr>
          <w:iCs/>
          <w:sz w:val="24"/>
          <w:szCs w:val="24"/>
        </w:rPr>
        <w:t>установлен в Проекте договора (Приложение № 2 к Документации о закупке).</w:t>
      </w:r>
    </w:p>
    <w:p>
      <w:pPr>
        <w:pStyle w:val="Heading1"/>
        <w:numPr>
          <w:ilvl w:val="0"/>
          <w:numId w:val="0"/>
        </w:numPr>
        <w:ind w:left="357" w:hanging="0"/>
        <w:rPr/>
      </w:pPr>
      <w:r>
        <w:rPr/>
      </w:r>
    </w:p>
    <w:p>
      <w:pPr>
        <w:pStyle w:val="Normal"/>
        <w:rPr>
          <w:rFonts w:eastAsia="Calibri"/>
          <w:b/>
          <w:iCs/>
          <w:lang w:val="x-none" w:eastAsia="x-none"/>
        </w:rPr>
      </w:pPr>
      <w:r>
        <w:rPr>
          <w:rFonts w:eastAsia="Calibri"/>
          <w:b/>
          <w:iCs/>
          <w:lang w:val="x-none" w:eastAsia="x-none"/>
        </w:rPr>
      </w:r>
      <w:r>
        <w:br w:type="page"/>
      </w:r>
    </w:p>
    <w:p>
      <w:pPr>
        <w:pStyle w:val="Normal"/>
        <w:rPr>
          <w:rFonts w:eastAsia="Calibri"/>
          <w:b/>
          <w:iCs/>
          <w:caps/>
          <w:lang w:val="x-none" w:eastAsia="x-none"/>
        </w:rPr>
      </w:pPr>
      <w:r>
        <w:rPr>
          <w:rFonts w:eastAsia="Calibri"/>
          <w:b/>
          <w:iCs/>
          <w:caps/>
          <w:lang w:val="x-none" w:eastAsia="x-none"/>
        </w:rPr>
      </w:r>
    </w:p>
    <w:p>
      <w:pPr>
        <w:pStyle w:val="Heading1"/>
        <w:ind w:left="0" w:hanging="0"/>
        <w:rPr>
          <w:caps/>
        </w:rPr>
      </w:pPr>
      <w:bookmarkStart w:id="32" w:name="_Toc124254183"/>
      <w:bookmarkStart w:id="33" w:name="_Toc46743519"/>
      <w:bookmarkStart w:id="34" w:name="_Toc51339699"/>
      <w:bookmarkEnd w:id="33"/>
      <w:bookmarkEnd w:id="34"/>
      <w:r>
        <w:rPr/>
        <w:t>Приложения</w:t>
      </w:r>
      <w:bookmarkEnd w:id="32"/>
    </w:p>
    <w:p>
      <w:pPr>
        <w:pStyle w:val="Normal"/>
        <w:widowControl w:val="false"/>
        <w:tabs>
          <w:tab w:val="clear" w:pos="708"/>
          <w:tab w:val="left" w:pos="426" w:leader="none"/>
        </w:tabs>
        <w:spacing w:before="60" w:after="0"/>
        <w:jc w:val="both"/>
        <w:rPr>
          <w:rStyle w:val="Style7"/>
          <w:b w:val="false"/>
          <w:bCs/>
          <w:iCs/>
          <w:sz w:val="24"/>
          <w:szCs w:val="24"/>
        </w:rPr>
      </w:pPr>
      <w:r>
        <w:rPr>
          <w:b w:val="false"/>
          <w:bCs/>
          <w:iCs/>
          <w:sz w:val="24"/>
          <w:szCs w:val="24"/>
        </w:rPr>
      </w:r>
    </w:p>
    <w:p>
      <w:pPr>
        <w:pStyle w:val="Normal"/>
        <w:widowControl w:val="false"/>
        <w:tabs>
          <w:tab w:val="clear" w:pos="708"/>
          <w:tab w:val="left" w:pos="426" w:leader="none"/>
        </w:tabs>
        <w:spacing w:before="60" w:after="0"/>
        <w:jc w:val="both"/>
        <w:rPr>
          <w:sz w:val="24"/>
          <w:szCs w:val="24"/>
        </w:rPr>
      </w:pPr>
      <w:r>
        <w:rPr>
          <w:sz w:val="24"/>
          <w:szCs w:val="24"/>
        </w:rPr>
        <w:t>Приложение №1 к Техническим требованиям: «Перечень возможных услуг, которые будут заказываться по заявкам, включая параметры (характеристики), объем и результат услуг».</w:t>
      </w:r>
    </w:p>
    <w:p>
      <w:pPr>
        <w:pStyle w:val="Normal"/>
        <w:spacing w:lineRule="auto" w:line="259" w:before="0" w:after="160"/>
        <w:rPr>
          <w:bCs/>
          <w:sz w:val="24"/>
          <w:szCs w:val="24"/>
        </w:rPr>
      </w:pPr>
      <w:r>
        <w:rPr/>
      </w:r>
    </w:p>
    <w:sectPr>
      <w:headerReference w:type="default" r:id="rId8"/>
      <w:headerReference w:type="first" r:id="rId9"/>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14:anchorId="36618CB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1pt;mso-wrap-style:square;v-text-anchor:top;mso-position-horizontal:center;mso-position-horizontal-relative:margin" wp14:anchorId="36618CB0">
              <v:fill o:detectmouseclick="t" type="solid" color2="black" opacity="0"/>
              <v:stroke color="#3465a4" joinstyle="round" endcap="flat"/>
              <v:textbo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10</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13</w:t>
    </w:r>
    <w:r>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pStyle w:val="Heading3"/>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4"/>
      <w:numFmt w:val="decimal"/>
      <w:lvlText w:val="%1."/>
      <w:lvlJc w:val="left"/>
      <w:pPr>
        <w:tabs>
          <w:tab w:val="num" w:pos="0"/>
        </w:tabs>
        <w:ind w:left="108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440" w:hanging="720"/>
      </w:pPr>
      <w:rPr/>
    </w:lvl>
    <w:lvl w:ilvl="4">
      <w:start w:val="1"/>
      <w:numFmt w:val="decimal"/>
      <w:lvlText w:val="%1.%2.%3.%4.%5."/>
      <w:lvlJc w:val="left"/>
      <w:pPr>
        <w:tabs>
          <w:tab w:val="num" w:pos="0"/>
        </w:tabs>
        <w:ind w:left="1800" w:hanging="1080"/>
      </w:pPr>
      <w:rPr/>
    </w:lvl>
    <w:lvl w:ilvl="5">
      <w:start w:val="1"/>
      <w:numFmt w:val="decimal"/>
      <w:lvlText w:val="%1.%2.%3.%4.%5.%6."/>
      <w:lvlJc w:val="left"/>
      <w:pPr>
        <w:tabs>
          <w:tab w:val="num" w:pos="0"/>
        </w:tabs>
        <w:ind w:left="1800" w:hanging="1080"/>
      </w:pPr>
      <w:rPr/>
    </w:lvl>
    <w:lvl w:ilvl="6">
      <w:start w:val="1"/>
      <w:numFmt w:val="decimal"/>
      <w:lvlText w:val="%1.%2.%3.%4.%5.%6.%7."/>
      <w:lvlJc w:val="left"/>
      <w:pPr>
        <w:tabs>
          <w:tab w:val="num" w:pos="0"/>
        </w:tabs>
        <w:ind w:left="2160" w:hanging="1440"/>
      </w:pPr>
      <w:rPr/>
    </w:lvl>
    <w:lvl w:ilvl="7">
      <w:start w:val="1"/>
      <w:numFmt w:val="decimal"/>
      <w:lvlText w:val="%1.%2.%3.%4.%5.%6.%7.%8."/>
      <w:lvlJc w:val="left"/>
      <w:pPr>
        <w:tabs>
          <w:tab w:val="num" w:pos="0"/>
        </w:tabs>
        <w:ind w:left="2160" w:hanging="1440"/>
      </w:pPr>
      <w:rPr/>
    </w:lvl>
    <w:lvl w:ilvl="8">
      <w:start w:val="1"/>
      <w:numFmt w:val="decimal"/>
      <w:lvlText w:val="%1.%2.%3.%4.%5.%6.%7.%8.%9."/>
      <w:lvlJc w:val="left"/>
      <w:pPr>
        <w:tabs>
          <w:tab w:val="num" w:pos="0"/>
        </w:tabs>
        <w:ind w:left="2520" w:hanging="1800"/>
      </w:pPr>
      <w:rPr/>
    </w:lvl>
  </w:abstractNum>
  <w:abstractNum w:abstractNumId="5">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trackRevision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AlgorithmSid="14" w:cryptSpinCount="100000" w:cryptProviderType="rsaAES" w:cryptAlgorithmClass="hash" w:cryptAlgorithmType="typeAny" w:salt="wmTHNcxWy1DF1Ql0Cek4Ug==" w:hash="P/zz+qoQZehoPJq89Wj81DtKQVPktdY09jN5n4yZ2Y9JTzqwvGfr4s2zW5jMNlTXzfXukh46xcEfmYtD+CpMNg=="/>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b1af3"/>
    <w:pPr>
      <w:widowControl/>
      <w:suppressAutoHyphens w:val="true"/>
      <w:bidi w:val="0"/>
      <w:spacing w:before="0" w:after="0"/>
      <w:jc w:val="left"/>
    </w:pPr>
    <w:rPr>
      <w:rFonts w:ascii="Times New Roman" w:hAnsi="Times New Roman" w:eastAsia="Times New Roman" w:cs="Times New Roman"/>
      <w:color w:val="auto"/>
      <w:kern w:val="0"/>
      <w:sz w:val="28"/>
      <w:szCs w:val="28"/>
      <w:lang w:eastAsia="ru-RU" w:val="ru-RU" w:bidi="ar-SA"/>
    </w:rPr>
  </w:style>
  <w:style w:type="paragraph" w:styleId="Heading1">
    <w:name w:val="Heading 1"/>
    <w:basedOn w:val="Heading3"/>
    <w:next w:val="Normal"/>
    <w:link w:val="1"/>
    <w:qFormat/>
    <w:rsid w:val="009b1af3"/>
    <w:pPr>
      <w:numPr>
        <w:ilvl w:val="0"/>
        <w:numId w:val="1"/>
      </w:numPr>
      <w:outlineLvl w:val="0"/>
    </w:pPr>
    <w:rPr>
      <w:sz w:val="28"/>
      <w:szCs w:val="28"/>
    </w:rPr>
  </w:style>
  <w:style w:type="paragraph" w:styleId="Heading2">
    <w:name w:val="Heading 2"/>
    <w:basedOn w:val="Heading4"/>
    <w:next w:val="Normal"/>
    <w:link w:val="2"/>
    <w:qFormat/>
    <w:rsid w:val="009b1af3"/>
    <w:pPr>
      <w:outlineLvl w:val="1"/>
    </w:pPr>
    <w:rPr/>
  </w:style>
  <w:style w:type="paragraph" w:styleId="Heading3">
    <w:name w:val="Heading 3"/>
    <w:basedOn w:val="Normal"/>
    <w:next w:val="Normal"/>
    <w:link w:val="3"/>
    <w:autoRedefine/>
    <w:qFormat/>
    <w:rsid w:val="004e6844"/>
    <w:pPr>
      <w:keepNext w:val="true"/>
      <w:numPr>
        <w:ilvl w:val="2"/>
        <w:numId w:val="1"/>
      </w:numPr>
      <w:ind w:left="0" w:hanging="0"/>
      <w:outlineLvl w:val="2"/>
    </w:pPr>
    <w:rPr>
      <w:rFonts w:eastAsia="Calibri"/>
      <w:b/>
      <w:sz w:val="24"/>
      <w:szCs w:val="24"/>
      <w:lang w:val="x-none" w:eastAsia="x-none"/>
    </w:rPr>
  </w:style>
  <w:style w:type="paragraph" w:styleId="Heading4">
    <w:name w:val="Heading 4"/>
    <w:basedOn w:val="Heading3"/>
    <w:next w:val="Normal"/>
    <w:link w:val="4"/>
    <w:qFormat/>
    <w:rsid w:val="009b1af3"/>
    <w:pPr>
      <w:numPr>
        <w:ilvl w:val="0"/>
        <w:numId w:val="0"/>
      </w:numPr>
      <w:tabs>
        <w:tab w:val="clear" w:pos="708"/>
        <w:tab w:val="left" w:pos="0" w:leader="none"/>
      </w:tabs>
      <w:ind w:left="432" w:hanging="432"/>
      <w:outlineLvl w:val="3"/>
    </w:pPr>
    <w:rPr>
      <w:bCs/>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9b1af3"/>
    <w:rPr>
      <w:rFonts w:ascii="Times New Roman" w:hAnsi="Times New Roman" w:eastAsia="Calibri" w:cs="Times New Roman"/>
      <w:b/>
      <w:sz w:val="28"/>
      <w:szCs w:val="28"/>
      <w:lang w:val="x-none" w:eastAsia="x-none"/>
    </w:rPr>
  </w:style>
  <w:style w:type="character" w:styleId="2" w:customStyle="1">
    <w:name w:val="Заголовок 2 Знак"/>
    <w:basedOn w:val="DefaultParagraphFont"/>
    <w:qFormat/>
    <w:rsid w:val="009b1af3"/>
    <w:rPr>
      <w:rFonts w:ascii="Times New Roman" w:hAnsi="Times New Roman" w:eastAsia="Calibri" w:cs="Times New Roman"/>
      <w:b/>
      <w:bCs/>
      <w:sz w:val="24"/>
      <w:szCs w:val="24"/>
      <w:lang w:val="x-none" w:eastAsia="x-none"/>
    </w:rPr>
  </w:style>
  <w:style w:type="character" w:styleId="3" w:customStyle="1">
    <w:name w:val="Заголовок 3 Знак"/>
    <w:basedOn w:val="DefaultParagraphFont"/>
    <w:qFormat/>
    <w:rsid w:val="004e6844"/>
    <w:rPr>
      <w:rFonts w:ascii="Times New Roman" w:hAnsi="Times New Roman" w:eastAsia="Calibri" w:cs="Times New Roman"/>
      <w:b/>
      <w:sz w:val="24"/>
      <w:szCs w:val="24"/>
      <w:lang w:val="x-none" w:eastAsia="x-none"/>
    </w:rPr>
  </w:style>
  <w:style w:type="character" w:styleId="4" w:customStyle="1">
    <w:name w:val="Заголовок 4 Знак"/>
    <w:basedOn w:val="DefaultParagraphFont"/>
    <w:qFormat/>
    <w:rsid w:val="009b1af3"/>
    <w:rPr>
      <w:rFonts w:ascii="Times New Roman" w:hAnsi="Times New Roman" w:eastAsia="Calibri" w:cs="Times New Roman"/>
      <w:b/>
      <w:bCs/>
      <w:sz w:val="24"/>
      <w:szCs w:val="24"/>
      <w:lang w:val="x-none" w:eastAsia="x-none"/>
    </w:rPr>
  </w:style>
  <w:style w:type="character" w:styleId="Style5" w:customStyle="1">
    <w:name w:val="Верхний колонтитул Знак"/>
    <w:basedOn w:val="DefaultParagraphFont"/>
    <w:uiPriority w:val="99"/>
    <w:qFormat/>
    <w:rsid w:val="009b1af3"/>
    <w:rPr>
      <w:rFonts w:ascii="Times New Roman" w:hAnsi="Times New Roman" w:eastAsia="Times New Roman" w:cs="Times New Roman"/>
      <w:sz w:val="24"/>
      <w:szCs w:val="24"/>
      <w:lang w:eastAsia="ru-RU"/>
    </w:rPr>
  </w:style>
  <w:style w:type="character" w:styleId="Pagenumber">
    <w:name w:val="page number"/>
    <w:basedOn w:val="DefaultParagraphFont"/>
    <w:qFormat/>
    <w:rsid w:val="009b1af3"/>
    <w:rPr/>
  </w:style>
  <w:style w:type="character" w:styleId="Hyperlink">
    <w:name w:val="Hyperlink"/>
    <w:uiPriority w:val="99"/>
    <w:rsid w:val="009b1af3"/>
    <w:rPr>
      <w:color w:val="0000FF"/>
      <w:u w:val="single"/>
    </w:rPr>
  </w:style>
  <w:style w:type="character" w:styleId="Style6" w:customStyle="1">
    <w:name w:val="Абзац списка Знак"/>
    <w:link w:val="ListParagraph"/>
    <w:uiPriority w:val="34"/>
    <w:qFormat/>
    <w:locked/>
    <w:rsid w:val="009b1af3"/>
    <w:rPr>
      <w:rFonts w:ascii="Times New Roman" w:hAnsi="Times New Roman" w:eastAsia="Calibri" w:cs="Times New Roman"/>
      <w:sz w:val="24"/>
      <w:szCs w:val="24"/>
      <w:lang w:eastAsia="ru-RU"/>
    </w:rPr>
  </w:style>
  <w:style w:type="character" w:styleId="Style7" w:customStyle="1">
    <w:name w:val="комментарий"/>
    <w:qFormat/>
    <w:rsid w:val="009b1af3"/>
    <w:rPr>
      <w:b/>
      <w:i/>
      <w:shd w:fill="FFFF99" w:val="clear"/>
    </w:rPr>
  </w:style>
  <w:style w:type="character" w:styleId="Annotationreference">
    <w:name w:val="annotation reference"/>
    <w:basedOn w:val="DefaultParagraphFont"/>
    <w:uiPriority w:val="99"/>
    <w:semiHidden/>
    <w:unhideWhenUsed/>
    <w:qFormat/>
    <w:rsid w:val="004531b0"/>
    <w:rPr>
      <w:sz w:val="16"/>
      <w:szCs w:val="16"/>
    </w:rPr>
  </w:style>
  <w:style w:type="character" w:styleId="Style8" w:customStyle="1">
    <w:name w:val="Текст примечания Знак"/>
    <w:basedOn w:val="DefaultParagraphFont"/>
    <w:link w:val="Annotationtext"/>
    <w:uiPriority w:val="99"/>
    <w:semiHidden/>
    <w:qFormat/>
    <w:rsid w:val="004531b0"/>
    <w:rPr>
      <w:rFonts w:ascii="Times New Roman" w:hAnsi="Times New Roman" w:eastAsia="Times New Roman" w:cs="Times New Roman"/>
      <w:sz w:val="20"/>
      <w:szCs w:val="20"/>
      <w:lang w:eastAsia="ru-RU"/>
    </w:rPr>
  </w:style>
  <w:style w:type="character" w:styleId="Style9" w:customStyle="1">
    <w:name w:val="Тема примечания Знак"/>
    <w:basedOn w:val="Style8"/>
    <w:link w:val="Annotationsubject"/>
    <w:uiPriority w:val="99"/>
    <w:semiHidden/>
    <w:qFormat/>
    <w:rsid w:val="004531b0"/>
    <w:rPr>
      <w:rFonts w:ascii="Times New Roman" w:hAnsi="Times New Roman" w:eastAsia="Times New Roman" w:cs="Times New Roman"/>
      <w:b/>
      <w:bCs/>
      <w:sz w:val="20"/>
      <w:szCs w:val="20"/>
      <w:lang w:eastAsia="ru-RU"/>
    </w:rPr>
  </w:style>
  <w:style w:type="character" w:styleId="Style10" w:customStyle="1">
    <w:name w:val="Текст выноски Знак"/>
    <w:basedOn w:val="DefaultParagraphFont"/>
    <w:link w:val="BalloonText"/>
    <w:uiPriority w:val="99"/>
    <w:semiHidden/>
    <w:qFormat/>
    <w:rsid w:val="004531b0"/>
    <w:rPr>
      <w:rFonts w:ascii="Segoe UI" w:hAnsi="Segoe UI" w:eastAsia="Times New Roman" w:cs="Segoe UI"/>
      <w:sz w:val="18"/>
      <w:szCs w:val="18"/>
      <w:lang w:eastAsia="ru-RU"/>
    </w:rPr>
  </w:style>
  <w:style w:type="character" w:styleId="Style11" w:customStyle="1">
    <w:name w:val="Ссылка указателя"/>
    <w:qFormat/>
    <w:rPr/>
  </w:style>
  <w:style w:type="paragraph" w:styleId="Style12">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3">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Noto Sans CJK SC" w:cs="Arial Unicode MS"/>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rFonts w:cs="Arial Unicode MS"/>
    </w:rPr>
  </w:style>
  <w:style w:type="paragraph" w:styleId="Style14" w:customStyle="1">
    <w:name w:val="Колонтитул"/>
    <w:basedOn w:val="Normal"/>
    <w:qFormat/>
    <w:pPr/>
    <w:rPr/>
  </w:style>
  <w:style w:type="paragraph" w:styleId="Header">
    <w:name w:val="Header"/>
    <w:basedOn w:val="Normal"/>
    <w:link w:val="Style5"/>
    <w:uiPriority w:val="99"/>
    <w:rsid w:val="009b1af3"/>
    <w:pPr>
      <w:tabs>
        <w:tab w:val="clear" w:pos="708"/>
        <w:tab w:val="center" w:pos="4677" w:leader="none"/>
        <w:tab w:val="right" w:pos="9355" w:leader="none"/>
      </w:tabs>
    </w:pPr>
    <w:rPr>
      <w:sz w:val="24"/>
      <w:szCs w:val="24"/>
    </w:rPr>
  </w:style>
  <w:style w:type="paragraph" w:styleId="TOC1">
    <w:name w:val="TOC 1"/>
    <w:basedOn w:val="Normal"/>
    <w:next w:val="Normal"/>
    <w:autoRedefine/>
    <w:uiPriority w:val="39"/>
    <w:rsid w:val="009b1af3"/>
    <w:pPr>
      <w:spacing w:before="120" w:after="0"/>
    </w:pPr>
    <w:rPr>
      <w:rFonts w:cs="Calibri Light (Заголовки)"/>
      <w:b/>
      <w:bCs/>
      <w:sz w:val="24"/>
      <w:szCs w:val="24"/>
    </w:rPr>
  </w:style>
  <w:style w:type="paragraph" w:styleId="TOC3">
    <w:name w:val="TOC 3"/>
    <w:basedOn w:val="Normal"/>
    <w:next w:val="Normal"/>
    <w:autoRedefine/>
    <w:uiPriority w:val="39"/>
    <w:rsid w:val="00ec6b94"/>
    <w:pPr>
      <w:tabs>
        <w:tab w:val="clear" w:pos="708"/>
        <w:tab w:val="left" w:pos="1120" w:leader="none"/>
        <w:tab w:val="right" w:pos="9911" w:leader="dot"/>
      </w:tabs>
      <w:ind w:left="560" w:hanging="0"/>
    </w:pPr>
    <w:rPr>
      <w:rFonts w:cs="Calibri" w:cstheme="minorHAnsi"/>
      <w:sz w:val="20"/>
      <w:szCs w:val="20"/>
    </w:rPr>
  </w:style>
  <w:style w:type="paragraph" w:styleId="TOC4">
    <w:name w:val="TOC 4"/>
    <w:basedOn w:val="Normal"/>
    <w:next w:val="Normal"/>
    <w:autoRedefine/>
    <w:uiPriority w:val="39"/>
    <w:rsid w:val="009b1af3"/>
    <w:pPr>
      <w:tabs>
        <w:tab w:val="clear" w:pos="708"/>
        <w:tab w:val="left" w:pos="1120" w:leader="none"/>
        <w:tab w:val="right" w:pos="9911" w:leader="none"/>
      </w:tabs>
      <w:ind w:left="560" w:hanging="0"/>
    </w:pPr>
    <w:rPr>
      <w:rFonts w:cs="Calibri" w:cstheme="minorHAnsi"/>
      <w:sz w:val="20"/>
      <w:szCs w:val="20"/>
    </w:rPr>
  </w:style>
  <w:style w:type="paragraph" w:styleId="ListParagraph">
    <w:name w:val="List Paragraph"/>
    <w:basedOn w:val="Normal"/>
    <w:link w:val="Style6"/>
    <w:uiPriority w:val="34"/>
    <w:qFormat/>
    <w:rsid w:val="009b1af3"/>
    <w:pPr>
      <w:spacing w:before="0" w:after="0"/>
      <w:ind w:left="720" w:hanging="0"/>
      <w:contextualSpacing/>
    </w:pPr>
    <w:rPr>
      <w:rFonts w:eastAsia="Calibri"/>
      <w:sz w:val="24"/>
      <w:szCs w:val="24"/>
    </w:rPr>
  </w:style>
  <w:style w:type="paragraph" w:styleId="Style15" w:customStyle="1">
    <w:name w:val="Таблица шапка"/>
    <w:basedOn w:val="Normal"/>
    <w:qFormat/>
    <w:rsid w:val="009b1af3"/>
    <w:pPr>
      <w:keepNext w:val="true"/>
      <w:spacing w:before="40" w:after="40"/>
      <w:ind w:left="57" w:right="57" w:hanging="0"/>
    </w:pPr>
    <w:rPr>
      <w:sz w:val="22"/>
      <w:szCs w:val="26"/>
    </w:rPr>
  </w:style>
  <w:style w:type="paragraph" w:styleId="Annotationtext">
    <w:name w:val="annotation text"/>
    <w:basedOn w:val="Normal"/>
    <w:link w:val="Style8"/>
    <w:uiPriority w:val="99"/>
    <w:semiHidden/>
    <w:unhideWhenUsed/>
    <w:qFormat/>
    <w:rsid w:val="004531b0"/>
    <w:pPr/>
    <w:rPr>
      <w:sz w:val="20"/>
      <w:szCs w:val="20"/>
    </w:rPr>
  </w:style>
  <w:style w:type="paragraph" w:styleId="Annotationsubject">
    <w:name w:val="annotation subject"/>
    <w:basedOn w:val="Annotationtext"/>
    <w:next w:val="Annotationtext"/>
    <w:link w:val="Style9"/>
    <w:uiPriority w:val="99"/>
    <w:semiHidden/>
    <w:unhideWhenUsed/>
    <w:qFormat/>
    <w:rsid w:val="004531b0"/>
    <w:pPr/>
    <w:rPr>
      <w:b/>
      <w:bCs/>
    </w:rPr>
  </w:style>
  <w:style w:type="paragraph" w:styleId="BalloonText">
    <w:name w:val="Balloon Text"/>
    <w:basedOn w:val="Normal"/>
    <w:link w:val="Style10"/>
    <w:uiPriority w:val="99"/>
    <w:semiHidden/>
    <w:unhideWhenUsed/>
    <w:qFormat/>
    <w:rsid w:val="004531b0"/>
    <w:pPr/>
    <w:rPr>
      <w:rFonts w:ascii="Segoe UI" w:hAnsi="Segoe UI" w:cs="Segoe UI"/>
      <w:sz w:val="18"/>
      <w:szCs w:val="18"/>
    </w:rPr>
  </w:style>
  <w:style w:type="paragraph" w:styleId="Style16" w:customStyle="1">
    <w:name w:val="Содержимое врезки"/>
    <w:basedOn w:val="Normal"/>
    <w:qFormat/>
    <w:pPr/>
    <w:rPr/>
  </w:style>
  <w:style w:type="paragraph" w:styleId="TOC2">
    <w:name w:val="TOC 2"/>
    <w:basedOn w:val="Style13"/>
    <w:pPr/>
    <w:rPr/>
  </w:style>
  <w:style w:type="paragraph" w:styleId="TOC5">
    <w:name w:val="TOC 5"/>
    <w:basedOn w:val="Style13"/>
    <w:pPr/>
    <w:rPr/>
  </w:style>
  <w:style w:type="paragraph" w:styleId="TOC6">
    <w:name w:val="TOC 6"/>
    <w:basedOn w:val="Style13"/>
    <w:pPr/>
    <w:rPr/>
  </w:style>
  <w:style w:type="paragraph" w:styleId="TOC7">
    <w:name w:val="TOC 7"/>
    <w:basedOn w:val="Style13"/>
    <w:pPr/>
    <w:rPr/>
  </w:style>
  <w:style w:type="paragraph" w:styleId="TOC8">
    <w:name w:val="TOC 8"/>
    <w:basedOn w:val="Style13"/>
    <w:pPr/>
    <w:rPr/>
  </w:style>
  <w:style w:type="paragraph" w:styleId="TOC9">
    <w:name w:val="TOC 9"/>
    <w:basedOn w:val="Style13"/>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a">
    <w:name w:val="Table Grid"/>
    <w:basedOn w:val="a1"/>
    <w:uiPriority w:val="39"/>
    <w:rsid w:val="009b1af3"/>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yperlink" Target="mailto:churakovaoa@rushydro.ru" TargetMode="Externa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header" Target="header6.xml"/><Relationship Id="rId9" Type="http://schemas.openxmlformats.org/officeDocument/2006/relationships/header" Target="header7.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Application>AlterOffice/3.4.0.9$Linux_X86_64 LibreOffice_project/b8daf9e823b1a5463a2f48435ddc2e8696e7d4fc</Application>
  <AppVersion>15.0000</AppVersion>
  <Pages>13</Pages>
  <Words>2260</Words>
  <Characters>15328</Characters>
  <CharactersWithSpaces>17332</CharactersWithSpaces>
  <Paragraphs>257</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2026-01-29T08:07:00Z</dcterms:created>
  <dc:creator>Мавренко Татьяна Анатольевна</dc:creator>
  <dc:description/>
  <dc:language>ru-RU</dc:language>
  <cp:lastModifiedBy>bryksinalv@corp.gidroogk.com</cp:lastModifiedBy>
  <dcterms:modified xsi:type="dcterms:W3CDTF">2026-03-31T14:23:06Z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1</vt:bool>
  </property>
</Properties>
</file>