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rPr>
          <w:rFonts w:ascii="Times New Roman" w:hAnsi="Times New Roman"/>
          <w:b w:val="1"/>
          <w:sz w:val="28"/>
        </w:rPr>
      </w:pPr>
    </w:p>
    <w:p w14:paraId="0B000000">
      <w:pPr>
        <w:rPr>
          <w:rFonts w:ascii="Times New Roman" w:hAnsi="Times New Roman"/>
          <w:b w:val="1"/>
          <w:sz w:val="28"/>
        </w:rPr>
      </w:pPr>
    </w:p>
    <w:p w14:paraId="0C000000">
      <w:pPr>
        <w:rPr>
          <w:rFonts w:ascii="Times New Roman" w:hAnsi="Times New Roman"/>
          <w:b w:val="1"/>
          <w:sz w:val="28"/>
        </w:rPr>
      </w:pPr>
    </w:p>
    <w:p w14:paraId="0D000000">
      <w:pPr>
        <w:rPr>
          <w:rFonts w:ascii="Times New Roman" w:hAnsi="Times New Roman"/>
          <w:b w:val="1"/>
          <w:sz w:val="28"/>
        </w:rPr>
      </w:pPr>
      <w:bookmarkStart w:id="1" w:name="_GoBack"/>
      <w:bookmarkEnd w:id="1"/>
    </w:p>
    <w:p w14:paraId="0E000000">
      <w:pPr>
        <w:rPr>
          <w:rFonts w:ascii="Times New Roman" w:hAnsi="Times New Roman"/>
          <w:b w:val="1"/>
          <w:sz w:val="28"/>
        </w:rPr>
      </w:pPr>
    </w:p>
    <w:p w14:paraId="0F000000">
      <w:pPr>
        <w:rPr>
          <w:rFonts w:ascii="Times New Roman" w:hAnsi="Times New Roman"/>
          <w:b w:val="1"/>
          <w:sz w:val="28"/>
        </w:rPr>
      </w:pPr>
    </w:p>
    <w:p w14:paraId="10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Техническое задание</w:t>
      </w:r>
    </w:p>
    <w:p w14:paraId="11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на поставку и монтаж комплекса технических сре</w:t>
      </w:r>
      <w:r>
        <w:rPr>
          <w:rFonts w:ascii="Times New Roman" w:hAnsi="Times New Roman"/>
          <w:b w:val="1"/>
          <w:sz w:val="26"/>
        </w:rPr>
        <w:t>дств дл</w:t>
      </w:r>
      <w:r>
        <w:rPr>
          <w:rFonts w:ascii="Times New Roman" w:hAnsi="Times New Roman"/>
          <w:b w:val="1"/>
          <w:sz w:val="26"/>
        </w:rPr>
        <w:t>я организации платного прохода и контроля выхода пассажиров через турникеты на станции «Московская» и станции «Заречная» МП «Нижегородского метро»</w:t>
      </w:r>
    </w:p>
    <w:p w14:paraId="1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13000000">
      <w:pPr>
        <w:rPr>
          <w:rFonts w:ascii="Times New Roman" w:hAnsi="Times New Roman"/>
          <w:sz w:val="28"/>
        </w:rPr>
      </w:pPr>
    </w:p>
    <w:p w14:paraId="14000000">
      <w:pPr>
        <w:rPr>
          <w:rFonts w:ascii="Times New Roman" w:hAnsi="Times New Roman"/>
          <w:sz w:val="28"/>
        </w:rPr>
      </w:pPr>
    </w:p>
    <w:p w14:paraId="15000000">
      <w:pPr>
        <w:rPr>
          <w:rFonts w:ascii="Times New Roman" w:hAnsi="Times New Roman"/>
          <w:sz w:val="28"/>
        </w:rPr>
      </w:pPr>
    </w:p>
    <w:p w14:paraId="16000000">
      <w:pPr>
        <w:rPr>
          <w:rFonts w:ascii="Times New Roman" w:hAnsi="Times New Roman"/>
          <w:sz w:val="28"/>
        </w:rPr>
      </w:pPr>
    </w:p>
    <w:p w14:paraId="17000000">
      <w:pPr>
        <w:rPr>
          <w:rFonts w:ascii="Times New Roman" w:hAnsi="Times New Roman"/>
          <w:sz w:val="28"/>
        </w:rPr>
      </w:pPr>
    </w:p>
    <w:p w14:paraId="18000000">
      <w:pPr>
        <w:rPr>
          <w:rFonts w:ascii="Times New Roman" w:hAnsi="Times New Roman"/>
          <w:sz w:val="28"/>
        </w:rPr>
      </w:pPr>
    </w:p>
    <w:p w14:paraId="19000000">
      <w:pPr>
        <w:rPr>
          <w:rFonts w:ascii="Times New Roman" w:hAnsi="Times New Roman"/>
          <w:sz w:val="28"/>
        </w:rPr>
      </w:pPr>
    </w:p>
    <w:p w14:paraId="1A000000">
      <w:pPr>
        <w:rPr>
          <w:rFonts w:ascii="Times New Roman" w:hAnsi="Times New Roman"/>
          <w:sz w:val="28"/>
        </w:rPr>
      </w:pPr>
    </w:p>
    <w:p w14:paraId="1B000000">
      <w:pPr>
        <w:rPr>
          <w:rFonts w:ascii="Times New Roman" w:hAnsi="Times New Roman"/>
          <w:sz w:val="28"/>
        </w:rPr>
      </w:pPr>
    </w:p>
    <w:p w14:paraId="1C000000">
      <w:pPr>
        <w:rPr>
          <w:rFonts w:ascii="Times New Roman" w:hAnsi="Times New Roman"/>
          <w:sz w:val="28"/>
        </w:rPr>
      </w:pPr>
    </w:p>
    <w:p w14:paraId="1D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г. Нижний Новгород</w:t>
      </w:r>
    </w:p>
    <w:p w14:paraId="1E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2026 год</w:t>
      </w:r>
    </w:p>
    <w:p w14:paraId="1F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br w:type="page"/>
      </w:r>
      <w:r>
        <w:rPr>
          <w:rFonts w:ascii="Times New Roman" w:hAnsi="Times New Roman"/>
          <w:b w:val="1"/>
          <w:sz w:val="26"/>
        </w:rPr>
        <w:t xml:space="preserve">Описание </w:t>
      </w:r>
    </w:p>
    <w:p w14:paraId="20000000">
      <w:pPr>
        <w:widowControl w:val="1"/>
        <w:spacing w:after="0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 поставку и монтаж комплекса технических сре</w:t>
      </w:r>
      <w:r>
        <w:rPr>
          <w:rFonts w:ascii="Times New Roman" w:hAnsi="Times New Roman"/>
          <w:sz w:val="26"/>
        </w:rPr>
        <w:t>дств дл</w:t>
      </w:r>
      <w:r>
        <w:rPr>
          <w:rFonts w:ascii="Times New Roman" w:hAnsi="Times New Roman"/>
          <w:sz w:val="26"/>
        </w:rPr>
        <w:t>я организации платного прохода и контроля выхода пассажиров через турникеты на станции «Московская» и станции «Заречная» МП «Нижегородского метро»</w:t>
      </w:r>
    </w:p>
    <w:p w14:paraId="21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</w:p>
    <w:p w14:paraId="22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Термины и определения </w:t>
      </w:r>
    </w:p>
    <w:tbl>
      <w:tblPr>
        <w:tblStyle w:val="Style_3"/>
        <w:tblW w:type="auto" w:w="0"/>
        <w:tblLayout w:type="fixed"/>
      </w:tblPr>
      <w:tblGrid>
        <w:gridCol w:w="1543"/>
        <w:gridCol w:w="8311"/>
      </w:tblGrid>
      <w:tr>
        <w:tc>
          <w:tcPr>
            <w:tcW w:type="dxa" w:w="1543"/>
            <w:vAlign w:val="center"/>
          </w:tcPr>
          <w:p w14:paraId="23000000">
            <w:pPr>
              <w:pStyle w:val="Style_4"/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Термин/</w:t>
            </w:r>
          </w:p>
          <w:p w14:paraId="24000000">
            <w:pPr>
              <w:pStyle w:val="Style_4"/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сокращение</w:t>
            </w:r>
          </w:p>
        </w:tc>
        <w:tc>
          <w:tcPr>
            <w:tcW w:type="dxa" w:w="8311"/>
            <w:vAlign w:val="center"/>
          </w:tcPr>
          <w:p w14:paraId="25000000">
            <w:pPr>
              <w:pStyle w:val="Style_4"/>
              <w:widowControl w:val="1"/>
              <w:spacing w:line="276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</w:p>
        </w:tc>
      </w:tr>
      <w:tr>
        <w:tc>
          <w:tcPr>
            <w:tcW w:type="dxa" w:w="1543"/>
            <w:vAlign w:val="center"/>
          </w:tcPr>
          <w:p w14:paraId="26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АРМ</w:t>
            </w:r>
          </w:p>
        </w:tc>
        <w:tc>
          <w:tcPr>
            <w:tcW w:type="dxa" w:w="8311"/>
            <w:vAlign w:val="center"/>
          </w:tcPr>
          <w:p w14:paraId="27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Автоматизированное рабочее место</w:t>
            </w:r>
          </w:p>
        </w:tc>
      </w:tr>
      <w:tr>
        <w:tc>
          <w:tcPr>
            <w:tcW w:type="dxa" w:w="1543"/>
            <w:vAlign w:val="center"/>
          </w:tcPr>
          <w:p w14:paraId="28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АСКОП</w:t>
            </w:r>
          </w:p>
        </w:tc>
        <w:tc>
          <w:tcPr>
            <w:tcW w:type="dxa" w:w="8311"/>
            <w:vAlign w:val="center"/>
          </w:tcPr>
          <w:p w14:paraId="29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Автоматизированная система контроля оплаты проезда</w:t>
            </w:r>
          </w:p>
        </w:tc>
      </w:tr>
      <w:tr>
        <w:tc>
          <w:tcPr>
            <w:tcW w:type="dxa" w:w="1543"/>
            <w:vAlign w:val="center"/>
          </w:tcPr>
          <w:p w14:paraId="2A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АПС</w:t>
            </w:r>
          </w:p>
        </w:tc>
        <w:tc>
          <w:tcPr>
            <w:tcW w:type="dxa" w:w="8311"/>
            <w:vAlign w:val="center"/>
          </w:tcPr>
          <w:p w14:paraId="2B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Автоматической пожарной сигнализацией</w:t>
            </w:r>
          </w:p>
        </w:tc>
      </w:tr>
      <w:tr>
        <w:tc>
          <w:tcPr>
            <w:tcW w:type="dxa" w:w="1543"/>
            <w:vAlign w:val="center"/>
          </w:tcPr>
          <w:p w14:paraId="2C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ИК-датчик</w:t>
            </w:r>
          </w:p>
        </w:tc>
        <w:tc>
          <w:tcPr>
            <w:tcW w:type="dxa" w:w="8311"/>
            <w:vAlign w:val="center"/>
          </w:tcPr>
          <w:p w14:paraId="2D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Инфракрасный датчик</w:t>
            </w:r>
          </w:p>
        </w:tc>
      </w:tr>
      <w:tr>
        <w:tc>
          <w:tcPr>
            <w:tcW w:type="dxa" w:w="1543"/>
            <w:vAlign w:val="center"/>
          </w:tcPr>
          <w:p w14:paraId="2E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ПТК</w:t>
            </w:r>
          </w:p>
        </w:tc>
        <w:tc>
          <w:tcPr>
            <w:tcW w:type="dxa" w:w="8311"/>
            <w:vAlign w:val="center"/>
          </w:tcPr>
          <w:p w14:paraId="2F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Программно-технический комплекс</w:t>
            </w:r>
          </w:p>
        </w:tc>
      </w:tr>
      <w:tr>
        <w:tc>
          <w:tcPr>
            <w:tcW w:type="dxa" w:w="1543"/>
            <w:vAlign w:val="center"/>
          </w:tcPr>
          <w:p w14:paraId="30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ПК</w:t>
            </w:r>
          </w:p>
        </w:tc>
        <w:tc>
          <w:tcPr>
            <w:tcW w:type="dxa" w:w="8311"/>
            <w:vAlign w:val="center"/>
          </w:tcPr>
          <w:p w14:paraId="31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Персональный компьютер</w:t>
            </w:r>
          </w:p>
        </w:tc>
      </w:tr>
      <w:tr>
        <w:tc>
          <w:tcPr>
            <w:tcW w:type="dxa" w:w="1543"/>
            <w:vAlign w:val="center"/>
          </w:tcPr>
          <w:p w14:paraId="32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ПНР</w:t>
            </w:r>
          </w:p>
        </w:tc>
        <w:tc>
          <w:tcPr>
            <w:tcW w:type="dxa" w:w="8311"/>
            <w:vAlign w:val="center"/>
          </w:tcPr>
          <w:p w14:paraId="33000000">
            <w:pPr>
              <w:pStyle w:val="Style_4"/>
              <w:widowControl w:val="1"/>
              <w:spacing w:line="276" w:lineRule="auto"/>
              <w:ind/>
              <w:rPr>
                <w:sz w:val="26"/>
              </w:rPr>
            </w:pPr>
            <w:r>
              <w:rPr>
                <w:sz w:val="26"/>
              </w:rPr>
              <w:t>Пусконаладочные работы</w:t>
            </w:r>
          </w:p>
        </w:tc>
      </w:tr>
    </w:tbl>
    <w:p w14:paraId="34000000">
      <w:pPr>
        <w:widowControl w:val="1"/>
        <w:spacing w:after="0"/>
        <w:ind/>
        <w:jc w:val="both"/>
        <w:rPr>
          <w:rFonts w:ascii="Times New Roman" w:hAnsi="Times New Roman"/>
          <w:sz w:val="26"/>
        </w:rPr>
      </w:pPr>
    </w:p>
    <w:p w14:paraId="35000000">
      <w:pPr>
        <w:pStyle w:val="Style_5"/>
        <w:widowControl w:val="1"/>
        <w:numPr>
          <w:ilvl w:val="0"/>
          <w:numId w:val="1"/>
        </w:numPr>
        <w:spacing w:after="0" w:line="276" w:lineRule="auto"/>
        <w:ind w:firstLine="0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Общие положения</w:t>
      </w:r>
    </w:p>
    <w:p w14:paraId="36000000">
      <w:pPr>
        <w:pStyle w:val="Style_5"/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37000000">
      <w:pPr>
        <w:widowControl w:val="1"/>
        <w:numPr>
          <w:ilvl w:val="0"/>
          <w:numId w:val="2"/>
        </w:numPr>
        <w:spacing w:after="0"/>
        <w:ind w:firstLine="709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Наименование закупки:</w:t>
      </w:r>
      <w:r>
        <w:rPr>
          <w:rFonts w:ascii="Times New Roman" w:hAnsi="Times New Roman"/>
          <w:sz w:val="26"/>
        </w:rPr>
        <w:t xml:space="preserve"> поставка и монтаж комплекса технических сре</w:t>
      </w:r>
      <w:r>
        <w:rPr>
          <w:rFonts w:ascii="Times New Roman" w:hAnsi="Times New Roman"/>
          <w:sz w:val="26"/>
        </w:rPr>
        <w:t>дств дл</w:t>
      </w:r>
      <w:r>
        <w:rPr>
          <w:rFonts w:ascii="Times New Roman" w:hAnsi="Times New Roman"/>
          <w:sz w:val="26"/>
        </w:rPr>
        <w:t>я организации платного прохода и контроля выхода пассажиров через турникеты на станции «Московская» и станции «Заречная» МП «Нижегородского метро»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sz w:val="26"/>
        </w:rPr>
        <w:t>(далее – Комплекс).</w:t>
      </w:r>
    </w:p>
    <w:p w14:paraId="38000000">
      <w:pPr>
        <w:widowControl w:val="1"/>
        <w:numPr>
          <w:ilvl w:val="0"/>
          <w:numId w:val="2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Заказчик:</w:t>
      </w:r>
      <w:r>
        <w:rPr>
          <w:rFonts w:ascii="Times New Roman" w:hAnsi="Times New Roman"/>
          <w:sz w:val="26"/>
        </w:rPr>
        <w:t xml:space="preserve"> МУНИЦИПАЛЬНОЕ ПРЕДПРИЯТИЕ ГОРОДА НИЖНЕГО НОВГОРОДА «НИЖЕГОРОДСКОЕ МЕТРО» (МП «Нижегородское метро»).</w:t>
      </w:r>
    </w:p>
    <w:p w14:paraId="39000000">
      <w:pPr>
        <w:widowControl w:val="1"/>
        <w:numPr>
          <w:ilvl w:val="0"/>
          <w:numId w:val="2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Место поставки и установки Комплекса:</w:t>
      </w:r>
    </w:p>
    <w:p w14:paraId="3A000000">
      <w:pPr>
        <w:pStyle w:val="Style_4"/>
        <w:widowControl w:val="1"/>
        <w:numPr>
          <w:ilvl w:val="0"/>
          <w:numId w:val="3"/>
        </w:numPr>
        <w:spacing w:line="276" w:lineRule="auto"/>
        <w:ind w:firstLine="709" w:left="0"/>
        <w:jc w:val="both"/>
        <w:rPr>
          <w:sz w:val="26"/>
        </w:rPr>
      </w:pPr>
      <w:r>
        <w:rPr>
          <w:sz w:val="26"/>
        </w:rPr>
        <w:t xml:space="preserve">Город Нижний Новгород, </w:t>
      </w:r>
      <w:r>
        <w:rPr>
          <w:sz w:val="26"/>
        </w:rPr>
        <w:t>Канавинский</w:t>
      </w:r>
      <w:r>
        <w:rPr>
          <w:sz w:val="26"/>
        </w:rPr>
        <w:t xml:space="preserve"> район, Станция «Московская» МП «Нижегородское метро»:</w:t>
      </w:r>
    </w:p>
    <w:p w14:paraId="3B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Вестибюль № 1 станции:</w:t>
      </w:r>
    </w:p>
    <w:p w14:paraId="3C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- турникеты входа: 8 центральных стоек, 1 левая стойка, 1 правая стойка;</w:t>
      </w:r>
    </w:p>
    <w:p w14:paraId="3D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 xml:space="preserve">- турникеты выхода: 4 </w:t>
      </w:r>
      <w:r>
        <w:rPr>
          <w:sz w:val="26"/>
        </w:rPr>
        <w:t>центральных</w:t>
      </w:r>
      <w:r>
        <w:rPr>
          <w:sz w:val="26"/>
        </w:rPr>
        <w:t xml:space="preserve"> стойки, 1 левая стойка, 1 правая стойка.</w:t>
      </w:r>
    </w:p>
    <w:p w14:paraId="3E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Вестибюль № 2 станции:</w:t>
      </w:r>
    </w:p>
    <w:p w14:paraId="3F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- турникеты входа: 9 центральных стоек, 1 левая стойка, 1 правая стойка;</w:t>
      </w:r>
    </w:p>
    <w:p w14:paraId="40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- турникеты выхода: 8 центральных стоек, 2 левых стойки, 2 правых стойки;</w:t>
      </w:r>
    </w:p>
    <w:p w14:paraId="41000000">
      <w:pPr>
        <w:pStyle w:val="Style_4"/>
        <w:widowControl w:val="1"/>
        <w:numPr>
          <w:ilvl w:val="0"/>
          <w:numId w:val="3"/>
        </w:numPr>
        <w:spacing w:line="276" w:lineRule="auto"/>
        <w:ind w:firstLine="709" w:left="0"/>
        <w:jc w:val="both"/>
        <w:rPr>
          <w:sz w:val="26"/>
        </w:rPr>
      </w:pPr>
      <w:r>
        <w:rPr>
          <w:sz w:val="26"/>
        </w:rPr>
        <w:t>Город Нижний Новгород, Ленинский район, Станция «Заречная» МП «Нижегородское метро»:</w:t>
      </w:r>
    </w:p>
    <w:p w14:paraId="42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Вестибюль № 1 станции:</w:t>
      </w:r>
    </w:p>
    <w:p w14:paraId="43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 xml:space="preserve">- турникеты выхода: 2 </w:t>
      </w:r>
      <w:r>
        <w:rPr>
          <w:sz w:val="26"/>
        </w:rPr>
        <w:t>центральных</w:t>
      </w:r>
      <w:r>
        <w:rPr>
          <w:sz w:val="26"/>
        </w:rPr>
        <w:t xml:space="preserve"> стойки, 1 левая стойка, 1 правая стойка.</w:t>
      </w:r>
    </w:p>
    <w:p w14:paraId="44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Вестибюль № 2 станции:</w:t>
      </w:r>
    </w:p>
    <w:p w14:paraId="45000000">
      <w:pPr>
        <w:pStyle w:val="Style_4"/>
        <w:widowControl w:val="1"/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>- турникеты выхода: 2</w:t>
      </w:r>
      <w:r>
        <w:rPr>
          <w:b w:val="1"/>
          <w:sz w:val="26"/>
        </w:rPr>
        <w:t xml:space="preserve"> </w:t>
      </w:r>
      <w:r>
        <w:rPr>
          <w:sz w:val="26"/>
        </w:rPr>
        <w:t>центральных</w:t>
      </w:r>
      <w:r>
        <w:rPr>
          <w:sz w:val="26"/>
        </w:rPr>
        <w:t xml:space="preserve"> стойки, 1 левая стойка, 1 правая стойка.</w:t>
      </w:r>
    </w:p>
    <w:p w14:paraId="46000000">
      <w:pPr>
        <w:widowControl w:val="1"/>
        <w:numPr>
          <w:ilvl w:val="0"/>
          <w:numId w:val="2"/>
        </w:numPr>
        <w:spacing w:after="0"/>
        <w:ind w:firstLine="709" w:left="0"/>
        <w:jc w:val="both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Сроки поставки и выполнения работ: </w:t>
      </w:r>
      <w:r>
        <w:rPr>
          <w:rFonts w:ascii="Times New Roman" w:hAnsi="Times New Roman"/>
          <w:sz w:val="26"/>
        </w:rPr>
        <w:t>в течение 120 (ста двадцати) календарных дней с момента заключения договора.</w:t>
      </w:r>
    </w:p>
    <w:p w14:paraId="47000000">
      <w:pPr>
        <w:widowControl w:val="1"/>
        <w:spacing w:after="0"/>
        <w:ind w:left="709"/>
        <w:jc w:val="both"/>
        <w:rPr>
          <w:rFonts w:ascii="Times New Roman" w:hAnsi="Times New Roman"/>
          <w:b w:val="1"/>
          <w:sz w:val="26"/>
        </w:rPr>
      </w:pPr>
    </w:p>
    <w:p w14:paraId="48000000">
      <w:pPr>
        <w:widowControl w:val="1"/>
        <w:spacing w:after="0"/>
        <w:ind w:left="709"/>
        <w:jc w:val="both"/>
        <w:rPr>
          <w:rFonts w:ascii="Times New Roman" w:hAnsi="Times New Roman"/>
          <w:b w:val="1"/>
          <w:sz w:val="26"/>
        </w:rPr>
      </w:pPr>
    </w:p>
    <w:p w14:paraId="49000000">
      <w:pPr>
        <w:widowControl w:val="1"/>
        <w:spacing w:after="0"/>
        <w:ind w:left="709"/>
        <w:jc w:val="both"/>
        <w:rPr>
          <w:rFonts w:ascii="Times New Roman" w:hAnsi="Times New Roman"/>
          <w:b w:val="1"/>
          <w:sz w:val="26"/>
        </w:rPr>
      </w:pPr>
    </w:p>
    <w:p w14:paraId="4A000000">
      <w:pPr>
        <w:widowControl w:val="1"/>
        <w:spacing w:after="0"/>
        <w:ind w:left="709"/>
        <w:jc w:val="both"/>
        <w:rPr>
          <w:rFonts w:ascii="Times New Roman" w:hAnsi="Times New Roman"/>
          <w:b w:val="1"/>
          <w:sz w:val="26"/>
        </w:rPr>
      </w:pPr>
    </w:p>
    <w:p w14:paraId="4B000000">
      <w:pPr>
        <w:pStyle w:val="Style_5"/>
        <w:widowControl w:val="1"/>
        <w:numPr>
          <w:ilvl w:val="0"/>
          <w:numId w:val="1"/>
        </w:numPr>
        <w:spacing w:after="0" w:line="276" w:lineRule="auto"/>
        <w:ind w:firstLine="0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Назначение и задачи Комплекса</w:t>
      </w:r>
    </w:p>
    <w:p w14:paraId="4C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</w:p>
    <w:p w14:paraId="4D000000">
      <w:pPr>
        <w:widowControl w:val="1"/>
        <w:numPr>
          <w:ilvl w:val="0"/>
          <w:numId w:val="2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Назначение:</w:t>
      </w:r>
      <w:r>
        <w:rPr>
          <w:rFonts w:ascii="Times New Roman" w:hAnsi="Times New Roman"/>
          <w:sz w:val="26"/>
        </w:rPr>
        <w:t xml:space="preserve"> Обеспечение автоматизированного контроля оплаты проезда и управление проходом пассажиров через турникеты на станциях метрополитена.</w:t>
      </w:r>
    </w:p>
    <w:p w14:paraId="4E000000">
      <w:pPr>
        <w:widowControl w:val="1"/>
        <w:numPr>
          <w:ilvl w:val="0"/>
          <w:numId w:val="2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Задачи:</w:t>
      </w:r>
      <w:r>
        <w:rPr>
          <w:rFonts w:ascii="Times New Roman" w:hAnsi="Times New Roman"/>
          <w:sz w:val="26"/>
        </w:rPr>
        <w:t xml:space="preserve"> Применение современных технологий для повышения эффективности работы метрополитена в целях обеспечения удобства и безопасности пассажиров, оптимизация потока пассажиров, улучшение контроля и учета, повышение культуры обслуживания и обеспечение безопасности движения пассажиров.</w:t>
      </w:r>
    </w:p>
    <w:p w14:paraId="4F000000">
      <w:pPr>
        <w:widowControl w:val="1"/>
        <w:spacing w:after="0"/>
        <w:ind w:left="709"/>
        <w:jc w:val="both"/>
        <w:rPr>
          <w:rFonts w:ascii="Times New Roman" w:hAnsi="Times New Roman"/>
          <w:sz w:val="26"/>
        </w:rPr>
      </w:pPr>
    </w:p>
    <w:p w14:paraId="50000000">
      <w:pPr>
        <w:pStyle w:val="Style_5"/>
        <w:widowControl w:val="1"/>
        <w:numPr>
          <w:ilvl w:val="0"/>
          <w:numId w:val="1"/>
        </w:numPr>
        <w:spacing w:after="0" w:line="276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Функциональные требования к комплексу технических средств</w:t>
      </w:r>
    </w:p>
    <w:p w14:paraId="51000000">
      <w:pPr>
        <w:pStyle w:val="Style_5"/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52000000">
      <w:pPr>
        <w:widowControl w:val="1"/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Комплекс должен представлять собой единую систему, состоящую из электромеханических устройств (турникетов) и технических средств управления. Технические средства Комплекса должны обеспечивать:</w:t>
      </w:r>
    </w:p>
    <w:p w14:paraId="53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Совместимость с существующей автоматизированной системой контроля оплаты проезда (АСКОП).</w:t>
      </w:r>
    </w:p>
    <w:p w14:paraId="54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Валидацию</w:t>
      </w:r>
      <w:r>
        <w:rPr>
          <w:rFonts w:ascii="Times New Roman" w:hAnsi="Times New Roman"/>
          <w:sz w:val="26"/>
        </w:rPr>
        <w:t xml:space="preserve"> различных проездных билетов (транспортная и банковская карта, бесконтактные карты, все типы QR-кодов, биометрические данные (лицо) и NFC-метки).</w:t>
      </w:r>
    </w:p>
    <w:p w14:paraId="55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Подключение системы распознавания лиц к системе автоматического контроля прохода.</w:t>
      </w:r>
    </w:p>
    <w:p w14:paraId="56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Возможность работы в автономном режиме или в составе технических средств АСКОП.</w:t>
      </w:r>
    </w:p>
    <w:p w14:paraId="57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Считывание 1</w:t>
      </w:r>
      <w:r>
        <w:rPr>
          <w:rFonts w:ascii="Times New Roman" w:hAnsi="Times New Roman"/>
          <w:sz w:val="26"/>
        </w:rPr>
        <w:t>D</w:t>
      </w:r>
      <w:r>
        <w:rPr>
          <w:rFonts w:ascii="Times New Roman" w:hAnsi="Times New Roman"/>
          <w:sz w:val="26"/>
        </w:rPr>
        <w:t>/2</w:t>
      </w:r>
      <w:r>
        <w:rPr>
          <w:rFonts w:ascii="Times New Roman" w:hAnsi="Times New Roman"/>
          <w:sz w:val="26"/>
        </w:rPr>
        <w:t>D</w:t>
      </w:r>
      <w:r>
        <w:rPr>
          <w:rFonts w:ascii="Times New Roman" w:hAnsi="Times New Roman"/>
          <w:sz w:val="26"/>
        </w:rPr>
        <w:t xml:space="preserve"> кодов с экранов смартфонов и бумажных билетов.</w:t>
      </w:r>
    </w:p>
    <w:p w14:paraId="58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Отображение остатка средств и статуса прохода на информационном дисплее турникета.</w:t>
      </w:r>
    </w:p>
    <w:p w14:paraId="59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Удаленный мониторинг состояния устройств турникета (дисплей, считыватель, привод створок, контроллер) через модуль мониторинга.</w:t>
      </w:r>
    </w:p>
    <w:p w14:paraId="5A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Наличие в турникетах смарт-контроллера, обеспечивающего автономную работу системы, взаимодействие с </w:t>
      </w:r>
      <w:r>
        <w:rPr>
          <w:rFonts w:ascii="Times New Roman" w:hAnsi="Times New Roman"/>
          <w:sz w:val="26"/>
        </w:rPr>
        <w:t>валидатором</w:t>
      </w:r>
      <w:r>
        <w:rPr>
          <w:rFonts w:ascii="Times New Roman" w:hAnsi="Times New Roman"/>
          <w:sz w:val="26"/>
        </w:rPr>
        <w:t>, управление механизмом турникета, хранение правил доступа и идентификаторов, поддержку режимов онлай</w:t>
      </w:r>
      <w:r>
        <w:rPr>
          <w:rFonts w:ascii="Times New Roman" w:hAnsi="Times New Roman"/>
          <w:sz w:val="26"/>
        </w:rPr>
        <w:t>н</w:t>
      </w:r>
      <w:r>
        <w:rPr>
          <w:rFonts w:ascii="Times New Roman" w:hAnsi="Times New Roman"/>
          <w:sz w:val="26"/>
        </w:rPr>
        <w:t xml:space="preserve"> и офлайн</w:t>
      </w:r>
      <w:r>
        <w:rPr>
          <w:rFonts w:ascii="Times New Roman" w:hAnsi="Times New Roman"/>
          <w:sz w:val="26"/>
        </w:rPr>
        <w:t>работы с возможностью синхронизации с АСКОП.</w:t>
      </w:r>
    </w:p>
    <w:p w14:paraId="5B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Наличие в турникетах </w:t>
      </w:r>
      <w:r>
        <w:rPr>
          <w:rFonts w:ascii="Times New Roman" w:hAnsi="Times New Roman"/>
          <w:sz w:val="26"/>
        </w:rPr>
        <w:t>Web</w:t>
      </w:r>
      <w:r>
        <w:rPr>
          <w:rFonts w:ascii="Times New Roman" w:hAnsi="Times New Roman"/>
          <w:sz w:val="26"/>
        </w:rPr>
        <w:t xml:space="preserve">-интерфейса администратора (настройка, журналы, загрузка экранных форм) и </w:t>
      </w:r>
      <w:r>
        <w:rPr>
          <w:rFonts w:ascii="Times New Roman" w:hAnsi="Times New Roman"/>
          <w:sz w:val="26"/>
        </w:rPr>
        <w:t>Web</w:t>
      </w:r>
      <w:r>
        <w:rPr>
          <w:rFonts w:ascii="Times New Roman" w:hAnsi="Times New Roman"/>
          <w:sz w:val="26"/>
        </w:rPr>
        <w:t xml:space="preserve">-интерфейса управления и контроля (управление доступом, тестирование) для удаленного подключения. </w:t>
      </w:r>
    </w:p>
    <w:p w14:paraId="5C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Наличие в турникетах интеллектуальной управляемой маркетинговой анимированной индикации для информирования пассажиров о статусе прохода.</w:t>
      </w:r>
    </w:p>
    <w:p w14:paraId="5D000000">
      <w:pPr>
        <w:widowControl w:val="1"/>
        <w:numPr>
          <w:ilvl w:val="0"/>
          <w:numId w:val="4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Наличие </w:t>
      </w:r>
      <w:r>
        <w:rPr>
          <w:rFonts w:ascii="Times New Roman" w:hAnsi="Times New Roman"/>
          <w:sz w:val="26"/>
        </w:rPr>
        <w:t>турникетах</w:t>
      </w:r>
      <w:r>
        <w:rPr>
          <w:rFonts w:ascii="Times New Roman" w:hAnsi="Times New Roman"/>
          <w:sz w:val="26"/>
        </w:rPr>
        <w:t xml:space="preserve"> ИК-датчиков (верх/низ) и звуковой сигнализации для защиты от несанкционированного прохода. </w:t>
      </w:r>
    </w:p>
    <w:p w14:paraId="5E000000">
      <w:pPr>
        <w:widowControl w:val="1"/>
        <w:numPr>
          <w:ilvl w:val="0"/>
          <w:numId w:val="5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Реализацию режимов прохода: нормально-открытый, нормально-закрытый, а также режим «</w:t>
      </w:r>
      <w:r>
        <w:rPr>
          <w:rFonts w:ascii="Times New Roman" w:hAnsi="Times New Roman"/>
          <w:sz w:val="26"/>
        </w:rPr>
        <w:t>антипаника</w:t>
      </w:r>
      <w:r>
        <w:rPr>
          <w:rFonts w:ascii="Times New Roman" w:hAnsi="Times New Roman"/>
          <w:sz w:val="26"/>
        </w:rPr>
        <w:t xml:space="preserve">». </w:t>
      </w:r>
    </w:p>
    <w:p w14:paraId="5F000000">
      <w:pPr>
        <w:widowControl w:val="1"/>
        <w:spacing w:after="0"/>
        <w:ind w:left="709"/>
        <w:jc w:val="both"/>
        <w:rPr>
          <w:rFonts w:ascii="Times New Roman" w:hAnsi="Times New Roman"/>
          <w:sz w:val="26"/>
        </w:rPr>
      </w:pPr>
    </w:p>
    <w:p w14:paraId="60000000">
      <w:pPr>
        <w:pStyle w:val="Style_5"/>
        <w:widowControl w:val="1"/>
        <w:numPr>
          <w:ilvl w:val="0"/>
          <w:numId w:val="1"/>
        </w:numPr>
        <w:spacing w:after="0" w:line="276" w:lineRule="auto"/>
        <w:ind w:firstLine="0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Состав Комплекса (Спецификация оборудования)</w:t>
      </w:r>
    </w:p>
    <w:p w14:paraId="61000000">
      <w:pPr>
        <w:pStyle w:val="Style_5"/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62000000">
      <w:pPr>
        <w:widowControl w:val="1"/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Комплекс формируется из следующего оборудования:</w:t>
      </w:r>
    </w:p>
    <w:p w14:paraId="63000000">
      <w:pPr>
        <w:widowControl w:val="1"/>
        <w:numPr>
          <w:ilvl w:val="0"/>
          <w:numId w:val="6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Входная группа станции «Московская» со створками из закаленного стекла: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Левая стойка (2 шт.), Правая стойка (2 шт.), Центральная стойка (17 шт.), из них 15 проходов с шириной 600 мм и 4 прохода с шириной 900 мм).</w:t>
      </w:r>
    </w:p>
    <w:p w14:paraId="64000000">
      <w:pPr>
        <w:widowControl w:val="1"/>
        <w:numPr>
          <w:ilvl w:val="0"/>
          <w:numId w:val="6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Выходная группа станции «Московская» со створками из закаленного стекла: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Левая стойка (3 шт.), Правая стойка (3 шт.), Центральная стойка (12 шт.), из них 11 проходов с шириной 600 мм и 4 прохода с шириной 900 мм).</w:t>
      </w:r>
    </w:p>
    <w:p w14:paraId="65000000">
      <w:pPr>
        <w:widowControl w:val="1"/>
        <w:numPr>
          <w:ilvl w:val="0"/>
          <w:numId w:val="6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 xml:space="preserve">Выходная группа станции «Заречная» со створками из закаленного стекла: </w:t>
      </w:r>
      <w:r>
        <w:rPr>
          <w:rFonts w:ascii="Times New Roman" w:hAnsi="Times New Roman"/>
          <w:sz w:val="26"/>
        </w:rPr>
        <w:t>Левая стойка (2 шт.), Правая стойка (2 шт.), Центральная стойка (4 шт.), из них 6 проходов с шириной 900 мм.</w:t>
      </w:r>
    </w:p>
    <w:p w14:paraId="66000000">
      <w:pPr>
        <w:widowControl w:val="1"/>
        <w:numPr>
          <w:ilvl w:val="0"/>
          <w:numId w:val="6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Управление комплексом:</w:t>
      </w:r>
      <w:r>
        <w:rPr>
          <w:rFonts w:ascii="Times New Roman" w:hAnsi="Times New Roman"/>
          <w:sz w:val="26"/>
        </w:rPr>
        <w:t xml:space="preserve"> Автоматизированное рабочее место (АРМ) мониторинга (2 шт.), пульты управления и блоки пожарной сигнализации (7 шт. суммарно) прочие элементы согласно Приложению №1.</w:t>
      </w:r>
    </w:p>
    <w:p w14:paraId="67000000">
      <w:pPr>
        <w:widowControl w:val="1"/>
        <w:spacing w:after="0"/>
        <w:ind w:left="709"/>
        <w:jc w:val="both"/>
        <w:rPr>
          <w:rFonts w:ascii="Times New Roman" w:hAnsi="Times New Roman"/>
          <w:sz w:val="26"/>
        </w:rPr>
      </w:pPr>
    </w:p>
    <w:p w14:paraId="68000000">
      <w:pPr>
        <w:pStyle w:val="Style_5"/>
        <w:widowControl w:val="1"/>
        <w:numPr>
          <w:ilvl w:val="0"/>
          <w:numId w:val="1"/>
        </w:numPr>
        <w:spacing w:after="0" w:line="276" w:lineRule="auto"/>
        <w:ind w:firstLine="0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Требования к качеству и гарантийные обязательства</w:t>
      </w:r>
    </w:p>
    <w:p w14:paraId="69000000">
      <w:pPr>
        <w:pStyle w:val="Style_5"/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6A000000">
      <w:pPr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Поставляемый Комплекс (и входящее в него оборудование) должен быть новым, не бывшим в употреблении, не восстановленным и изготовленным не ранее 2026 года.</w:t>
      </w:r>
    </w:p>
    <w:p w14:paraId="6B000000">
      <w:pPr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Гарантийный срок на оборудование и оказанные услуги (ввод в эксплуатацию) составляет не менее 24 (двадцати четырех) месяцев с момента подписания </w:t>
      </w:r>
      <w:r>
        <w:rPr>
          <w:rFonts w:ascii="Times New Roman" w:hAnsi="Times New Roman"/>
          <w:sz w:val="26"/>
        </w:rPr>
        <w:t>документа о приемке</w:t>
      </w:r>
      <w:r>
        <w:rPr>
          <w:rFonts w:ascii="Times New Roman" w:hAnsi="Times New Roman"/>
          <w:sz w:val="26"/>
        </w:rPr>
        <w:t>.</w:t>
      </w:r>
    </w:p>
    <w:p w14:paraId="6C000000">
      <w:pPr>
        <w:widowControl w:val="1"/>
        <w:numPr>
          <w:ilvl w:val="0"/>
          <w:numId w:val="7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выявления недостатков в течение гарантийного срока, Исполнитель обязан произвести их устранение или замену продукции на новую за свой счет в течение 10 (десяти) дней.</w:t>
      </w:r>
    </w:p>
    <w:p w14:paraId="6D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</w:p>
    <w:p w14:paraId="6E000000">
      <w:pPr>
        <w:pStyle w:val="Style_5"/>
        <w:widowControl w:val="1"/>
        <w:numPr>
          <w:ilvl w:val="0"/>
          <w:numId w:val="1"/>
        </w:numPr>
        <w:spacing w:after="0" w:line="276" w:lineRule="auto"/>
        <w:ind w:firstLine="0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Порядок сдачи и приемки</w:t>
      </w:r>
    </w:p>
    <w:p w14:paraId="6F000000">
      <w:pPr>
        <w:pStyle w:val="Style_5"/>
        <w:widowControl w:val="1"/>
        <w:spacing w:after="0" w:line="276" w:lineRule="auto"/>
        <w:ind w:left="0"/>
        <w:jc w:val="center"/>
        <w:rPr>
          <w:rFonts w:ascii="Times New Roman" w:hAnsi="Times New Roman"/>
          <w:b w:val="1"/>
          <w:sz w:val="26"/>
        </w:rPr>
      </w:pPr>
    </w:p>
    <w:p w14:paraId="70000000">
      <w:pPr>
        <w:widowControl w:val="1"/>
        <w:numPr>
          <w:ilvl w:val="0"/>
          <w:numId w:val="8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Приемка осуществляется по факту выполнения работ.</w:t>
      </w:r>
    </w:p>
    <w:p w14:paraId="71000000">
      <w:pPr>
        <w:widowControl w:val="1"/>
        <w:numPr>
          <w:ilvl w:val="0"/>
          <w:numId w:val="8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Исполнитель обязан предоставить полный комплект сопроводительной документации: </w:t>
      </w:r>
    </w:p>
    <w:p w14:paraId="72000000">
      <w:pPr>
        <w:widowControl w:val="1"/>
        <w:numPr>
          <w:ilvl w:val="0"/>
          <w:numId w:val="8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Окончательная приемка оформляется актом о вводе Комплекса в эксплуатацию.</w:t>
      </w:r>
    </w:p>
    <w:p w14:paraId="73000000">
      <w:pPr>
        <w:widowControl w:val="1"/>
        <w:spacing w:after="0"/>
        <w:ind w:left="709"/>
        <w:jc w:val="both"/>
        <w:rPr>
          <w:rFonts w:ascii="Times New Roman" w:hAnsi="Times New Roman"/>
          <w:sz w:val="26"/>
        </w:rPr>
      </w:pPr>
    </w:p>
    <w:p w14:paraId="74000000">
      <w:pPr>
        <w:pStyle w:val="Style_5"/>
        <w:widowControl w:val="1"/>
        <w:numPr>
          <w:ilvl w:val="0"/>
          <w:numId w:val="1"/>
        </w:numPr>
        <w:spacing w:after="0" w:line="276" w:lineRule="auto"/>
        <w:ind w:firstLine="0" w:left="0"/>
        <w:jc w:val="center"/>
        <w:rPr>
          <w:rFonts w:ascii="Times New Roman" w:hAnsi="Times New Roman"/>
          <w:b w:val="1"/>
          <w:sz w:val="26"/>
        </w:rPr>
      </w:pPr>
      <w:bookmarkStart w:id="2" w:name="bm_4_требования_соответствия_норм_729e35"/>
      <w:r>
        <w:rPr>
          <w:rFonts w:ascii="Times New Roman" w:hAnsi="Times New Roman"/>
          <w:b w:val="1"/>
          <w:sz w:val="26"/>
        </w:rPr>
        <w:t>Требования соответствия нормативным документам</w:t>
      </w:r>
      <w:bookmarkEnd w:id="2"/>
    </w:p>
    <w:p w14:paraId="75000000">
      <w:pPr>
        <w:pStyle w:val="Style_5"/>
        <w:widowControl w:val="1"/>
        <w:spacing w:after="0" w:line="276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76000000">
      <w:pPr>
        <w:widowControl w:val="1"/>
        <w:numPr>
          <w:ilvl w:val="0"/>
          <w:numId w:val="8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Поставляемый Комплекс должен соответствовать обязательным требованиям технических регламентов, стандартов, правил по электробезопасности, пожарной безопасности и иных нормативных документов, действующих на территории Российской Федерации и применимых к данному виду оборудования.</w:t>
      </w:r>
    </w:p>
    <w:p w14:paraId="77000000">
      <w:pPr>
        <w:widowControl w:val="1"/>
        <w:numPr>
          <w:ilvl w:val="0"/>
          <w:numId w:val="8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поставке Поставщик передает Заказчику комплект документов, подтверждающих соответствие оборудования Комплекса установленным требованиям (при необходимости): сертификаты соответствия, декларации, а также эксплуатационную документацию (руководства, паспорта, инструкции).</w:t>
      </w:r>
    </w:p>
    <w:p w14:paraId="78000000">
      <w:pPr>
        <w:sectPr>
          <w:headerReference r:id="rId3" w:type="first"/>
          <w:footerReference r:id="rId1" w:type="default"/>
          <w:type w:val="continuous"/>
          <w:pgSz w:h="16838" w:orient="portrait" w:w="11906"/>
          <w:pgMar w:bottom="426" w:footer="121" w:gutter="0" w:header="708" w:left="1701" w:right="567" w:top="567"/>
          <w:pgNumType w:start="0"/>
          <w:titlePg/>
        </w:sectPr>
      </w:pPr>
    </w:p>
    <w:p w14:paraId="79000000">
      <w:pPr>
        <w:widowControl w:val="1"/>
        <w:spacing w:after="0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Приложение № 1</w:t>
      </w:r>
    </w:p>
    <w:p w14:paraId="7A000000">
      <w:pPr>
        <w:widowControl w:val="1"/>
        <w:spacing w:after="0"/>
        <w:ind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 Техническому заданию</w:t>
      </w:r>
    </w:p>
    <w:p w14:paraId="7B000000">
      <w:pPr>
        <w:widowControl w:val="1"/>
        <w:spacing w:after="0"/>
        <w:ind/>
        <w:jc w:val="right"/>
        <w:rPr>
          <w:rFonts w:ascii="Times New Roman" w:hAnsi="Times New Roman"/>
          <w:sz w:val="26"/>
        </w:rPr>
      </w:pPr>
    </w:p>
    <w:p w14:paraId="7C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СОСТАВ И ТЕХНИЧЕСКИЕ ХАРАКТЕРИСТИКИ ЕДИНОГО ПРОГРАММНО-ТЕХНИЧЕСКОГО КОМПЛЕКСА (ПТК)</w:t>
      </w:r>
    </w:p>
    <w:p w14:paraId="7D000000">
      <w:pPr>
        <w:widowControl w:val="1"/>
        <w:spacing w:after="0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Закупка:</w:t>
      </w:r>
      <w:r>
        <w:rPr>
          <w:rFonts w:ascii="Times New Roman" w:hAnsi="Times New Roman"/>
          <w:sz w:val="26"/>
        </w:rPr>
        <w:t xml:space="preserve"> Поставка и монтаж комплекса технических сре</w:t>
      </w:r>
      <w:r>
        <w:rPr>
          <w:rFonts w:ascii="Times New Roman" w:hAnsi="Times New Roman"/>
          <w:sz w:val="26"/>
        </w:rPr>
        <w:t>дств дл</w:t>
      </w:r>
      <w:r>
        <w:rPr>
          <w:rFonts w:ascii="Times New Roman" w:hAnsi="Times New Roman"/>
          <w:sz w:val="26"/>
        </w:rPr>
        <w:t>я организации платного прохода и контроля выхода пассажиров через турникеты на станции «Московская» и станции «Заречная» МП «Нижегородского метро».</w:t>
      </w:r>
    </w:p>
    <w:p w14:paraId="7E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</w:p>
    <w:p w14:paraId="7F000000">
      <w:pPr>
        <w:widowControl w:val="1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Системные требования к Комплексу (в целом)</w:t>
      </w:r>
    </w:p>
    <w:p w14:paraId="80000000">
      <w:pPr>
        <w:widowControl w:val="1"/>
        <w:numPr>
          <w:ilvl w:val="0"/>
          <w:numId w:val="5"/>
        </w:numPr>
        <w:tabs>
          <w:tab w:leader="none" w:pos="851" w:val="left"/>
        </w:tabs>
        <w:spacing w:after="0"/>
        <w:ind w:firstLine="851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Назначение:</w:t>
      </w:r>
      <w:r>
        <w:rPr>
          <w:rFonts w:ascii="Times New Roman" w:hAnsi="Times New Roman"/>
          <w:sz w:val="26"/>
        </w:rPr>
        <w:t xml:space="preserve"> Автоматизированный контроль оплаты проезда, управление исполнительными устройствами (турникетами), мониторинг событий в реальном времени.</w:t>
      </w:r>
    </w:p>
    <w:p w14:paraId="81000000">
      <w:pPr>
        <w:widowControl w:val="1"/>
        <w:numPr>
          <w:ilvl w:val="0"/>
          <w:numId w:val="5"/>
        </w:numPr>
        <w:tabs>
          <w:tab w:leader="none" w:pos="851" w:val="left"/>
        </w:tabs>
        <w:spacing w:after="0"/>
        <w:ind w:firstLine="851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Режимы работы:</w:t>
      </w:r>
      <w:r>
        <w:rPr>
          <w:rFonts w:ascii="Times New Roman" w:hAnsi="Times New Roman"/>
          <w:sz w:val="26"/>
        </w:rPr>
        <w:t xml:space="preserve"> «Нормально-открытый», «Нормально-закрытый», «Свободный проход», «Блокировка», «</w:t>
      </w:r>
      <w:r>
        <w:rPr>
          <w:rFonts w:ascii="Times New Roman" w:hAnsi="Times New Roman"/>
          <w:sz w:val="26"/>
        </w:rPr>
        <w:t>Антипаника</w:t>
      </w:r>
      <w:r>
        <w:rPr>
          <w:rFonts w:ascii="Times New Roman" w:hAnsi="Times New Roman"/>
          <w:sz w:val="26"/>
        </w:rPr>
        <w:t>»</w:t>
      </w:r>
    </w:p>
    <w:p w14:paraId="82000000">
      <w:pPr>
        <w:widowControl w:val="1"/>
        <w:numPr>
          <w:ilvl w:val="0"/>
          <w:numId w:val="5"/>
        </w:numPr>
        <w:tabs>
          <w:tab w:leader="none" w:pos="851" w:val="left"/>
        </w:tabs>
        <w:spacing w:after="0"/>
        <w:ind w:firstLine="851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Интеграция:</w:t>
      </w:r>
      <w:r>
        <w:rPr>
          <w:rFonts w:ascii="Times New Roman" w:hAnsi="Times New Roman"/>
          <w:sz w:val="26"/>
        </w:rPr>
        <w:t xml:space="preserve"> Полная совместимость с </w:t>
      </w:r>
      <w:r>
        <w:rPr>
          <w:rFonts w:ascii="Times New Roman" w:hAnsi="Times New Roman"/>
          <w:sz w:val="26"/>
        </w:rPr>
        <w:t>существующей</w:t>
      </w:r>
      <w:r>
        <w:rPr>
          <w:rFonts w:ascii="Times New Roman" w:hAnsi="Times New Roman"/>
          <w:sz w:val="26"/>
        </w:rPr>
        <w:t xml:space="preserve"> АСКОП метрополитена на программном и аппаратном уровнях.</w:t>
      </w:r>
    </w:p>
    <w:p w14:paraId="83000000">
      <w:pPr>
        <w:widowControl w:val="1"/>
        <w:tabs>
          <w:tab w:leader="none" w:pos="851" w:val="left"/>
        </w:tabs>
        <w:spacing w:after="0"/>
        <w:ind w:left="851"/>
        <w:jc w:val="both"/>
        <w:rPr>
          <w:rFonts w:ascii="Times New Roman" w:hAnsi="Times New Roman"/>
          <w:sz w:val="26"/>
        </w:rPr>
      </w:pPr>
    </w:p>
    <w:p w14:paraId="84000000">
      <w:pPr>
        <w:pStyle w:val="Style_5"/>
        <w:widowControl w:val="1"/>
        <w:numPr>
          <w:ilvl w:val="0"/>
          <w:numId w:val="9"/>
        </w:numPr>
        <w:spacing w:after="0" w:line="276" w:lineRule="auto"/>
        <w:ind w:firstLine="0" w:lef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Состав и характеристики компонентов</w:t>
      </w:r>
    </w:p>
    <w:p w14:paraId="85000000">
      <w:pPr>
        <w:pStyle w:val="Style_5"/>
        <w:widowControl w:val="1"/>
        <w:spacing w:after="0" w:line="276" w:lineRule="auto"/>
        <w:ind w:left="0"/>
        <w:jc w:val="center"/>
        <w:rPr>
          <w:rFonts w:ascii="Times New Roman" w:hAnsi="Times New Roman"/>
          <w:b w:val="1"/>
          <w:sz w:val="26"/>
        </w:rPr>
      </w:pPr>
    </w:p>
    <w:tbl>
      <w:tblPr>
        <w:tblStyle w:val="Style_3"/>
        <w:tblW w:type="auto" w:w="0"/>
        <w:tblLayout w:type="fixed"/>
      </w:tblPr>
      <w:tblGrid>
        <w:gridCol w:w="554"/>
        <w:gridCol w:w="17"/>
        <w:gridCol w:w="2751"/>
        <w:gridCol w:w="699"/>
        <w:gridCol w:w="2929"/>
        <w:gridCol w:w="4094"/>
        <w:gridCol w:w="3526"/>
      </w:tblGrid>
      <w:tr>
        <w:tc>
          <w:tcPr>
            <w:tcW w:type="dxa" w:w="554"/>
            <w:vAlign w:val="center"/>
          </w:tcPr>
          <w:p w14:paraId="8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№ 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/п</w:t>
            </w:r>
          </w:p>
        </w:tc>
        <w:tc>
          <w:tcPr>
            <w:tcW w:type="dxa" w:w="2768"/>
            <w:gridSpan w:val="2"/>
            <w:vAlign w:val="center"/>
          </w:tcPr>
          <w:p w14:paraId="8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Компонент ПТК</w:t>
            </w:r>
          </w:p>
        </w:tc>
        <w:tc>
          <w:tcPr>
            <w:tcW w:type="dxa" w:w="699"/>
            <w:vAlign w:val="center"/>
          </w:tcPr>
          <w:p w14:paraId="8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2929"/>
            <w:vAlign w:val="center"/>
          </w:tcPr>
          <w:p w14:paraId="8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характеристики</w:t>
            </w:r>
          </w:p>
          <w:p w14:paraId="8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(для определения эквивалентности)</w:t>
            </w:r>
          </w:p>
        </w:tc>
        <w:tc>
          <w:tcPr>
            <w:tcW w:type="dxa" w:w="4094"/>
            <w:vAlign w:val="center"/>
          </w:tcPr>
          <w:p w14:paraId="8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Значение характеристики</w:t>
            </w:r>
          </w:p>
          <w:p w14:paraId="8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(для определения эквивалентности)</w:t>
            </w:r>
          </w:p>
        </w:tc>
        <w:tc>
          <w:tcPr>
            <w:tcW w:type="dxa" w:w="3526"/>
            <w:vAlign w:val="center"/>
          </w:tcPr>
          <w:p w14:paraId="8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Инструкция по заполнению характеристик в заявке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8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8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Исполнительные устройства (Турникеты скоростные)</w:t>
            </w:r>
          </w:p>
          <w:p w14:paraId="9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Входной правый</w:t>
            </w:r>
          </w:p>
          <w:p w14:paraId="9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26.30.50.119</w:t>
            </w:r>
          </w:p>
          <w:p w14:paraId="9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26.30.50.152-0000000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99"/>
            <w:vMerge w:val="restart"/>
            <w:vAlign w:val="center"/>
          </w:tcPr>
          <w:p w14:paraId="9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929"/>
            <w:vAlign w:val="center"/>
          </w:tcPr>
          <w:p w14:paraId="9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Конструктивное исполнение</w:t>
            </w:r>
          </w:p>
        </w:tc>
        <w:tc>
          <w:tcPr>
            <w:tcW w:type="dxa" w:w="4094"/>
            <w:vAlign w:val="center"/>
          </w:tcPr>
          <w:p w14:paraId="9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Створчатый</w:t>
            </w:r>
          </w:p>
        </w:tc>
        <w:tc>
          <w:tcPr>
            <w:tcW w:type="dxa" w:w="3526"/>
            <w:vAlign w:val="center"/>
          </w:tcPr>
          <w:p w14:paraId="9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однократного прохода, чел/мин</w:t>
            </w:r>
          </w:p>
        </w:tc>
        <w:tc>
          <w:tcPr>
            <w:tcW w:type="dxa" w:w="4094"/>
            <w:vAlign w:val="center"/>
          </w:tcPr>
          <w:p w14:paraId="9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10 и &lt; 15 </w:t>
            </w:r>
          </w:p>
        </w:tc>
        <w:tc>
          <w:tcPr>
            <w:tcW w:type="dxa" w:w="3526"/>
            <w:vAlign w:val="center"/>
          </w:tcPr>
          <w:p w14:paraId="9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свободного прохода, чел/мин</w:t>
            </w:r>
          </w:p>
        </w:tc>
        <w:tc>
          <w:tcPr>
            <w:tcW w:type="dxa" w:w="4094"/>
            <w:vAlign w:val="center"/>
          </w:tcPr>
          <w:p w14:paraId="9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60</w:t>
            </w:r>
          </w:p>
        </w:tc>
        <w:tc>
          <w:tcPr>
            <w:tcW w:type="dxa" w:w="3526"/>
            <w:vAlign w:val="center"/>
          </w:tcPr>
          <w:p w14:paraId="9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корпуса</w:t>
            </w:r>
          </w:p>
        </w:tc>
        <w:tc>
          <w:tcPr>
            <w:tcW w:type="dxa" w:w="4094"/>
            <w:vAlign w:val="center"/>
          </w:tcPr>
          <w:p w14:paraId="9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Однопроходной</w:t>
            </w:r>
          </w:p>
        </w:tc>
        <w:tc>
          <w:tcPr>
            <w:tcW w:type="dxa" w:w="3526"/>
            <w:vAlign w:val="center"/>
          </w:tcPr>
          <w:p w14:paraId="9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размещения</w:t>
            </w:r>
          </w:p>
        </w:tc>
        <w:tc>
          <w:tcPr>
            <w:tcW w:type="dxa" w:w="4094"/>
            <w:vAlign w:val="center"/>
          </w:tcPr>
          <w:p w14:paraId="A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Напольный</w:t>
            </w:r>
          </w:p>
        </w:tc>
        <w:tc>
          <w:tcPr>
            <w:tcW w:type="dxa" w:w="3526"/>
            <w:vAlign w:val="center"/>
          </w:tcPr>
          <w:p w14:paraId="A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Турникет </w:t>
            </w:r>
            <w:r>
              <w:rPr>
                <w:rFonts w:ascii="Times New Roman" w:hAnsi="Times New Roman"/>
              </w:rPr>
              <w:t>полноростовой</w:t>
            </w:r>
          </w:p>
        </w:tc>
        <w:tc>
          <w:tcPr>
            <w:tcW w:type="dxa" w:w="4094"/>
            <w:vAlign w:val="center"/>
          </w:tcPr>
          <w:p w14:paraId="A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type="dxa" w:w="3526"/>
            <w:vAlign w:val="center"/>
          </w:tcPr>
          <w:p w14:paraId="A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Турникет со встроенным контроллером (электронная проходная)</w:t>
            </w:r>
          </w:p>
        </w:tc>
        <w:tc>
          <w:tcPr>
            <w:tcW w:type="dxa" w:w="4094"/>
            <w:vAlign w:val="center"/>
          </w:tcPr>
          <w:p w14:paraId="A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A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прохода,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A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500 и &lt; 600</w:t>
            </w:r>
          </w:p>
        </w:tc>
        <w:tc>
          <w:tcPr>
            <w:tcW w:type="dxa" w:w="3526"/>
            <w:vAlign w:val="center"/>
          </w:tcPr>
          <w:p w14:paraId="A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привода</w:t>
            </w:r>
          </w:p>
        </w:tc>
        <w:tc>
          <w:tcPr>
            <w:tcW w:type="dxa" w:w="4094"/>
            <w:vAlign w:val="center"/>
          </w:tcPr>
          <w:p w14:paraId="A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Электромеханический</w:t>
            </w:r>
          </w:p>
        </w:tc>
        <w:tc>
          <w:tcPr>
            <w:tcW w:type="dxa" w:w="3526"/>
            <w:vAlign w:val="center"/>
          </w:tcPr>
          <w:p w14:paraId="A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Расположение створки</w:t>
            </w:r>
          </w:p>
        </w:tc>
        <w:tc>
          <w:tcPr>
            <w:tcW w:type="dxa" w:w="4094"/>
            <w:vAlign w:val="center"/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Левое</w:t>
            </w:r>
          </w:p>
        </w:tc>
        <w:tc>
          <w:tcPr>
            <w:tcW w:type="dxa" w:w="3526"/>
            <w:vAlign w:val="center"/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B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type="dxa" w:w="4094"/>
            <w:vAlign w:val="center"/>
          </w:tcPr>
          <w:p w14:paraId="B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Сталь нержавеющая </w:t>
            </w:r>
          </w:p>
        </w:tc>
        <w:tc>
          <w:tcPr>
            <w:tcW w:type="dxa" w:w="3526"/>
            <w:vAlign w:val="center"/>
          </w:tcPr>
          <w:p w14:paraId="B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B500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Потребляемая мощность (без учета системы обогрева), </w:t>
            </w:r>
            <w:r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4094"/>
            <w:vAlign w:val="center"/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40 и &lt; 50</w:t>
            </w:r>
          </w:p>
        </w:tc>
        <w:tc>
          <w:tcPr>
            <w:tcW w:type="dxa" w:w="3526"/>
            <w:vAlign w:val="center"/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B800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функциональные возможности</w:t>
            </w:r>
          </w:p>
        </w:tc>
        <w:tc>
          <w:tcPr>
            <w:tcW w:type="dxa" w:w="4094"/>
            <w:vAlign w:val="center"/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от прохода более одного человека</w:t>
            </w:r>
          </w:p>
        </w:tc>
        <w:tc>
          <w:tcPr>
            <w:tcW w:type="dxa" w:w="3526"/>
            <w:vAlign w:val="center"/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BB00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1400  и  &lt; 1600</w:t>
            </w:r>
          </w:p>
        </w:tc>
        <w:tc>
          <w:tcPr>
            <w:tcW w:type="dxa" w:w="3526"/>
            <w:vAlign w:val="center"/>
          </w:tcPr>
          <w:p w14:paraId="BD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BE00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200  и  &lt; 300</w:t>
            </w:r>
          </w:p>
        </w:tc>
        <w:tc>
          <w:tcPr>
            <w:tcW w:type="dxa" w:w="3526"/>
            <w:vAlign w:val="center"/>
          </w:tcPr>
          <w:p w14:paraId="C0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C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C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Исполнительные устройства (Турникеты скоростные)</w:t>
            </w:r>
          </w:p>
          <w:p w14:paraId="C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Входной центральный</w:t>
            </w:r>
          </w:p>
          <w:p w14:paraId="C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26.30.50.119</w:t>
            </w:r>
          </w:p>
          <w:p w14:paraId="C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26.30.50.152-0000000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99"/>
            <w:vMerge w:val="restart"/>
            <w:vAlign w:val="center"/>
          </w:tcPr>
          <w:p w14:paraId="C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2929"/>
            <w:vAlign w:val="center"/>
          </w:tcPr>
          <w:p w14:paraId="C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Конструктивное исполнение</w:t>
            </w:r>
          </w:p>
        </w:tc>
        <w:tc>
          <w:tcPr>
            <w:tcW w:type="dxa" w:w="4094"/>
            <w:vAlign w:val="center"/>
          </w:tcPr>
          <w:p w14:paraId="C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Створчатый</w:t>
            </w:r>
          </w:p>
        </w:tc>
        <w:tc>
          <w:tcPr>
            <w:tcW w:type="dxa" w:w="3526"/>
            <w:vAlign w:val="center"/>
          </w:tcPr>
          <w:p w14:paraId="C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C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однократного прохода, чел/мин</w:t>
            </w:r>
          </w:p>
        </w:tc>
        <w:tc>
          <w:tcPr>
            <w:tcW w:type="dxa" w:w="4094"/>
            <w:vAlign w:val="center"/>
          </w:tcPr>
          <w:p w14:paraId="C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10 и &lt; 15 </w:t>
            </w:r>
          </w:p>
        </w:tc>
        <w:tc>
          <w:tcPr>
            <w:tcW w:type="dxa" w:w="3526"/>
            <w:vAlign w:val="center"/>
          </w:tcPr>
          <w:p w14:paraId="C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C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свободного прохода, чел/мин</w:t>
            </w:r>
          </w:p>
        </w:tc>
        <w:tc>
          <w:tcPr>
            <w:tcW w:type="dxa" w:w="4094"/>
            <w:vAlign w:val="center"/>
          </w:tcPr>
          <w:p w14:paraId="C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60</w:t>
            </w:r>
          </w:p>
        </w:tc>
        <w:tc>
          <w:tcPr>
            <w:tcW w:type="dxa" w:w="3526"/>
            <w:vAlign w:val="center"/>
          </w:tcPr>
          <w:p w14:paraId="C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корпуса</w:t>
            </w:r>
          </w:p>
        </w:tc>
        <w:tc>
          <w:tcPr>
            <w:tcW w:type="dxa" w:w="4094"/>
            <w:vAlign w:val="center"/>
          </w:tcPr>
          <w:p w14:paraId="D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Двухпроходной</w:t>
            </w:r>
          </w:p>
        </w:tc>
        <w:tc>
          <w:tcPr>
            <w:tcW w:type="dxa" w:w="3526"/>
            <w:vAlign w:val="center"/>
          </w:tcPr>
          <w:p w14:paraId="D2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3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размещения</w:t>
            </w:r>
          </w:p>
        </w:tc>
        <w:tc>
          <w:tcPr>
            <w:tcW w:type="dxa" w:w="4094"/>
            <w:vAlign w:val="center"/>
          </w:tcPr>
          <w:p w14:paraId="D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Напольный</w:t>
            </w:r>
          </w:p>
        </w:tc>
        <w:tc>
          <w:tcPr>
            <w:tcW w:type="dxa" w:w="3526"/>
            <w:vAlign w:val="center"/>
          </w:tcPr>
          <w:p w14:paraId="D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Турникет </w:t>
            </w:r>
            <w:r>
              <w:rPr>
                <w:rFonts w:ascii="Times New Roman" w:hAnsi="Times New Roman"/>
              </w:rPr>
              <w:t>полноростовой</w:t>
            </w:r>
          </w:p>
        </w:tc>
        <w:tc>
          <w:tcPr>
            <w:tcW w:type="dxa" w:w="4094"/>
            <w:vAlign w:val="center"/>
          </w:tcPr>
          <w:p w14:paraId="D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type="dxa" w:w="3526"/>
            <w:vAlign w:val="center"/>
          </w:tcPr>
          <w:p w14:paraId="D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характеристики не может </w:t>
            </w:r>
            <w:r>
              <w:rPr>
                <w:rFonts w:ascii="Times New Roman" w:hAnsi="Times New Roman"/>
              </w:rPr>
              <w:t>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Турникет со встроенным контроллером (электронная проходная)</w:t>
            </w:r>
          </w:p>
        </w:tc>
        <w:tc>
          <w:tcPr>
            <w:tcW w:type="dxa" w:w="4094"/>
            <w:vAlign w:val="center"/>
          </w:tcPr>
          <w:p w14:paraId="D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D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прохода,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D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500 и &lt; 600</w:t>
            </w:r>
          </w:p>
        </w:tc>
        <w:tc>
          <w:tcPr>
            <w:tcW w:type="dxa" w:w="3526"/>
            <w:vAlign w:val="center"/>
          </w:tcPr>
          <w:p w14:paraId="D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привода</w:t>
            </w:r>
          </w:p>
        </w:tc>
        <w:tc>
          <w:tcPr>
            <w:tcW w:type="dxa" w:w="4094"/>
            <w:vAlign w:val="center"/>
          </w:tcPr>
          <w:p w14:paraId="E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Электромеханический</w:t>
            </w:r>
          </w:p>
        </w:tc>
        <w:tc>
          <w:tcPr>
            <w:tcW w:type="dxa" w:w="3526"/>
            <w:vAlign w:val="center"/>
          </w:tcPr>
          <w:p w14:paraId="E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Расположение створки</w:t>
            </w:r>
          </w:p>
        </w:tc>
        <w:tc>
          <w:tcPr>
            <w:tcW w:type="dxa" w:w="4094"/>
            <w:vAlign w:val="center"/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Двухстороннее</w:t>
            </w:r>
          </w:p>
        </w:tc>
        <w:tc>
          <w:tcPr>
            <w:tcW w:type="dxa" w:w="3526"/>
            <w:vAlign w:val="center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type="dxa" w:w="4094"/>
            <w:vAlign w:val="center"/>
          </w:tcPr>
          <w:p w14:paraId="E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Сталь нержавеющая </w:t>
            </w:r>
          </w:p>
        </w:tc>
        <w:tc>
          <w:tcPr>
            <w:tcW w:type="dxa" w:w="3526"/>
            <w:vAlign w:val="center"/>
          </w:tcPr>
          <w:p w14:paraId="E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800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Потребляемая мощность (без учета системы обогрева) (без учета системы обогрева), </w:t>
            </w:r>
            <w:r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4094"/>
            <w:vAlign w:val="center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40 и &lt; 50</w:t>
            </w:r>
          </w:p>
        </w:tc>
        <w:tc>
          <w:tcPr>
            <w:tcW w:type="dxa" w:w="3526"/>
            <w:vAlign w:val="center"/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B00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функциональные возможности</w:t>
            </w:r>
          </w:p>
        </w:tc>
        <w:tc>
          <w:tcPr>
            <w:tcW w:type="dxa" w:w="4094"/>
            <w:vAlign w:val="center"/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от прохода более одного человека</w:t>
            </w:r>
          </w:p>
        </w:tc>
        <w:tc>
          <w:tcPr>
            <w:tcW w:type="dxa" w:w="3526"/>
            <w:vAlign w:val="center"/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E00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1400  и  &lt; 1600</w:t>
            </w:r>
          </w:p>
        </w:tc>
        <w:tc>
          <w:tcPr>
            <w:tcW w:type="dxa" w:w="3526"/>
            <w:vAlign w:val="center"/>
          </w:tcPr>
          <w:p w14:paraId="F0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F100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200  и  &lt; 300</w:t>
            </w:r>
          </w:p>
        </w:tc>
        <w:tc>
          <w:tcPr>
            <w:tcW w:type="dxa" w:w="3526"/>
            <w:vAlign w:val="center"/>
          </w:tcPr>
          <w:p w14:paraId="F300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F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F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Исполнительные устройства (Турникеты скоростные)</w:t>
            </w:r>
          </w:p>
          <w:p w14:paraId="F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Входной левый</w:t>
            </w:r>
          </w:p>
          <w:p w14:paraId="F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26.30.50.119</w:t>
            </w:r>
          </w:p>
          <w:p w14:paraId="F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26.30.50.152-0000000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99"/>
            <w:vMerge w:val="restart"/>
            <w:vAlign w:val="center"/>
          </w:tcPr>
          <w:p w14:paraId="F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929"/>
            <w:vAlign w:val="center"/>
          </w:tcPr>
          <w:p w14:paraId="F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Конструктивное исполнение</w:t>
            </w:r>
          </w:p>
        </w:tc>
        <w:tc>
          <w:tcPr>
            <w:tcW w:type="dxa" w:w="4094"/>
            <w:vAlign w:val="center"/>
          </w:tcPr>
          <w:p w14:paraId="F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Створчатый</w:t>
            </w:r>
          </w:p>
        </w:tc>
        <w:tc>
          <w:tcPr>
            <w:tcW w:type="dxa" w:w="3526"/>
            <w:vAlign w:val="center"/>
          </w:tcPr>
          <w:p w14:paraId="F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F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однократного прохода, чел/мин</w:t>
            </w:r>
          </w:p>
        </w:tc>
        <w:tc>
          <w:tcPr>
            <w:tcW w:type="dxa" w:w="4094"/>
            <w:vAlign w:val="center"/>
          </w:tcPr>
          <w:p w14:paraId="F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10 и &lt; 15 </w:t>
            </w:r>
          </w:p>
        </w:tc>
        <w:tc>
          <w:tcPr>
            <w:tcW w:type="dxa" w:w="3526"/>
            <w:vAlign w:val="center"/>
          </w:tcPr>
          <w:p w14:paraId="F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свободного прохода, чел/мин</w:t>
            </w:r>
          </w:p>
        </w:tc>
        <w:tc>
          <w:tcPr>
            <w:tcW w:type="dxa" w:w="4094"/>
            <w:vAlign w:val="center"/>
          </w:tcPr>
          <w:p w14:paraId="0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60</w:t>
            </w:r>
          </w:p>
        </w:tc>
        <w:tc>
          <w:tcPr>
            <w:tcW w:type="dxa" w:w="3526"/>
            <w:vAlign w:val="center"/>
          </w:tcPr>
          <w:p w14:paraId="0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корпуса</w:t>
            </w:r>
          </w:p>
        </w:tc>
        <w:tc>
          <w:tcPr>
            <w:tcW w:type="dxa" w:w="4094"/>
            <w:vAlign w:val="center"/>
          </w:tcPr>
          <w:p w14:paraId="0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Однопроходной</w:t>
            </w:r>
          </w:p>
        </w:tc>
        <w:tc>
          <w:tcPr>
            <w:tcW w:type="dxa" w:w="3526"/>
            <w:vAlign w:val="center"/>
          </w:tcPr>
          <w:p w14:paraId="0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размещения</w:t>
            </w:r>
          </w:p>
        </w:tc>
        <w:tc>
          <w:tcPr>
            <w:tcW w:type="dxa" w:w="4094"/>
            <w:vAlign w:val="center"/>
          </w:tcPr>
          <w:p w14:paraId="0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Напольный</w:t>
            </w:r>
          </w:p>
        </w:tc>
        <w:tc>
          <w:tcPr>
            <w:tcW w:type="dxa" w:w="3526"/>
            <w:vAlign w:val="center"/>
          </w:tcPr>
          <w:p w14:paraId="0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Турникет </w:t>
            </w:r>
            <w:r>
              <w:rPr>
                <w:rFonts w:ascii="Times New Roman" w:hAnsi="Times New Roman"/>
              </w:rPr>
              <w:t>полноростовой</w:t>
            </w:r>
          </w:p>
        </w:tc>
        <w:tc>
          <w:tcPr>
            <w:tcW w:type="dxa" w:w="4094"/>
            <w:vAlign w:val="center"/>
          </w:tcPr>
          <w:p w14:paraId="0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type="dxa" w:w="3526"/>
            <w:vAlign w:val="center"/>
          </w:tcPr>
          <w:p w14:paraId="0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Турникет со встроенным контроллером (электронная проходная)</w:t>
            </w:r>
          </w:p>
        </w:tc>
        <w:tc>
          <w:tcPr>
            <w:tcW w:type="dxa" w:w="4094"/>
            <w:vAlign w:val="center"/>
          </w:tcPr>
          <w:p w14:paraId="0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0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прохода,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1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500 и &lt; 600</w:t>
            </w:r>
          </w:p>
        </w:tc>
        <w:tc>
          <w:tcPr>
            <w:tcW w:type="dxa" w:w="3526"/>
            <w:vAlign w:val="center"/>
          </w:tcPr>
          <w:p w14:paraId="1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привода</w:t>
            </w:r>
          </w:p>
        </w:tc>
        <w:tc>
          <w:tcPr>
            <w:tcW w:type="dxa" w:w="4094"/>
            <w:vAlign w:val="center"/>
          </w:tcPr>
          <w:p w14:paraId="1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Электромеханический</w:t>
            </w:r>
          </w:p>
        </w:tc>
        <w:tc>
          <w:tcPr>
            <w:tcW w:type="dxa" w:w="3526"/>
            <w:vAlign w:val="center"/>
          </w:tcPr>
          <w:p w14:paraId="1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5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Расположение створки</w:t>
            </w:r>
          </w:p>
        </w:tc>
        <w:tc>
          <w:tcPr>
            <w:tcW w:type="dxa" w:w="4094"/>
            <w:vAlign w:val="center"/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Правое</w:t>
            </w:r>
          </w:p>
        </w:tc>
        <w:tc>
          <w:tcPr>
            <w:tcW w:type="dxa" w:w="3526"/>
            <w:vAlign w:val="center"/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type="dxa" w:w="4094"/>
            <w:vAlign w:val="center"/>
          </w:tcPr>
          <w:p w14:paraId="1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Сталь нержавеющая </w:t>
            </w:r>
          </w:p>
        </w:tc>
        <w:tc>
          <w:tcPr>
            <w:tcW w:type="dxa" w:w="3526"/>
            <w:vAlign w:val="center"/>
          </w:tcPr>
          <w:p w14:paraId="1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B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Потребляемая мощность (без учета системы обогрева), </w:t>
            </w:r>
            <w:r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4094"/>
            <w:vAlign w:val="center"/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40 и &lt; 50</w:t>
            </w:r>
          </w:p>
        </w:tc>
        <w:tc>
          <w:tcPr>
            <w:tcW w:type="dxa" w:w="3526"/>
            <w:vAlign w:val="center"/>
          </w:tcPr>
          <w:p w14:paraId="1D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E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функциональные возможности</w:t>
            </w:r>
          </w:p>
        </w:tc>
        <w:tc>
          <w:tcPr>
            <w:tcW w:type="dxa" w:w="4094"/>
            <w:vAlign w:val="center"/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от прохода более одного человека</w:t>
            </w:r>
          </w:p>
        </w:tc>
        <w:tc>
          <w:tcPr>
            <w:tcW w:type="dxa" w:w="3526"/>
            <w:vAlign w:val="center"/>
          </w:tcPr>
          <w:p w14:paraId="20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21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22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1400  и  &lt; 1600</w:t>
            </w:r>
          </w:p>
        </w:tc>
        <w:tc>
          <w:tcPr>
            <w:tcW w:type="dxa" w:w="3526"/>
            <w:vAlign w:val="center"/>
          </w:tcPr>
          <w:p w14:paraId="23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24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200  и  &lt; 300</w:t>
            </w:r>
          </w:p>
        </w:tc>
        <w:tc>
          <w:tcPr>
            <w:tcW w:type="dxa" w:w="3526"/>
            <w:vAlign w:val="center"/>
          </w:tcPr>
          <w:p w14:paraId="26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2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2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Исполнительные устройства (Турникеты скоростные)</w:t>
            </w:r>
          </w:p>
          <w:p w14:paraId="2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 левый</w:t>
            </w:r>
          </w:p>
          <w:p w14:paraId="2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26.30.50.119</w:t>
            </w:r>
          </w:p>
          <w:p w14:paraId="2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26.30.50.152-0000000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99"/>
            <w:vMerge w:val="restart"/>
            <w:vAlign w:val="center"/>
          </w:tcPr>
          <w:p w14:paraId="2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929"/>
            <w:vAlign w:val="center"/>
          </w:tcPr>
          <w:p w14:paraId="2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Конструктивное исполнение</w:t>
            </w:r>
          </w:p>
        </w:tc>
        <w:tc>
          <w:tcPr>
            <w:tcW w:type="dxa" w:w="4094"/>
            <w:vAlign w:val="center"/>
          </w:tcPr>
          <w:p w14:paraId="2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Створчатый</w:t>
            </w:r>
          </w:p>
        </w:tc>
        <w:tc>
          <w:tcPr>
            <w:tcW w:type="dxa" w:w="3526"/>
            <w:vAlign w:val="center"/>
          </w:tcPr>
          <w:p w14:paraId="2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3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однократного прохода, чел/мин</w:t>
            </w:r>
          </w:p>
        </w:tc>
        <w:tc>
          <w:tcPr>
            <w:tcW w:type="dxa" w:w="4094"/>
            <w:vAlign w:val="center"/>
          </w:tcPr>
          <w:p w14:paraId="3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10 и &lt; 15 </w:t>
            </w:r>
          </w:p>
        </w:tc>
        <w:tc>
          <w:tcPr>
            <w:tcW w:type="dxa" w:w="3526"/>
            <w:vAlign w:val="center"/>
          </w:tcPr>
          <w:p w14:paraId="3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3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свободного прохода, чел/мин</w:t>
            </w:r>
          </w:p>
        </w:tc>
        <w:tc>
          <w:tcPr>
            <w:tcW w:type="dxa" w:w="4094"/>
            <w:vAlign w:val="center"/>
          </w:tcPr>
          <w:p w14:paraId="3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60</w:t>
            </w:r>
          </w:p>
        </w:tc>
        <w:tc>
          <w:tcPr>
            <w:tcW w:type="dxa" w:w="3526"/>
            <w:vAlign w:val="center"/>
          </w:tcPr>
          <w:p w14:paraId="3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3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корпуса</w:t>
            </w:r>
          </w:p>
        </w:tc>
        <w:tc>
          <w:tcPr>
            <w:tcW w:type="dxa" w:w="4094"/>
            <w:vAlign w:val="center"/>
          </w:tcPr>
          <w:p w14:paraId="3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Однопроходной</w:t>
            </w:r>
          </w:p>
        </w:tc>
        <w:tc>
          <w:tcPr>
            <w:tcW w:type="dxa" w:w="3526"/>
            <w:vAlign w:val="center"/>
          </w:tcPr>
          <w:p w14:paraId="3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3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размещения</w:t>
            </w:r>
          </w:p>
        </w:tc>
        <w:tc>
          <w:tcPr>
            <w:tcW w:type="dxa" w:w="4094"/>
            <w:vAlign w:val="center"/>
          </w:tcPr>
          <w:p w14:paraId="3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Напольный</w:t>
            </w:r>
          </w:p>
        </w:tc>
        <w:tc>
          <w:tcPr>
            <w:tcW w:type="dxa" w:w="3526"/>
            <w:vAlign w:val="center"/>
          </w:tcPr>
          <w:p w14:paraId="3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характеристики не может </w:t>
            </w:r>
            <w:r>
              <w:rPr>
                <w:rFonts w:ascii="Times New Roman" w:hAnsi="Times New Roman"/>
              </w:rPr>
              <w:t>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3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Турникет </w:t>
            </w:r>
            <w:r>
              <w:rPr>
                <w:rFonts w:ascii="Times New Roman" w:hAnsi="Times New Roman"/>
              </w:rPr>
              <w:t>полноростовой</w:t>
            </w:r>
          </w:p>
        </w:tc>
        <w:tc>
          <w:tcPr>
            <w:tcW w:type="dxa" w:w="4094"/>
            <w:vAlign w:val="center"/>
          </w:tcPr>
          <w:p w14:paraId="3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type="dxa" w:w="3526"/>
            <w:vAlign w:val="center"/>
          </w:tcPr>
          <w:p w14:paraId="3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3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Турникет со встроенным контроллером (электронная проходная)</w:t>
            </w:r>
          </w:p>
        </w:tc>
        <w:tc>
          <w:tcPr>
            <w:tcW w:type="dxa" w:w="4094"/>
            <w:vAlign w:val="center"/>
          </w:tcPr>
          <w:p w14:paraId="4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type="dxa" w:w="3526"/>
            <w:vAlign w:val="center"/>
          </w:tcPr>
          <w:p w14:paraId="4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4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прохода,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4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500 и &lt; 600</w:t>
            </w:r>
          </w:p>
        </w:tc>
        <w:tc>
          <w:tcPr>
            <w:tcW w:type="dxa" w:w="3526"/>
            <w:vAlign w:val="center"/>
          </w:tcPr>
          <w:p w14:paraId="4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4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привода</w:t>
            </w:r>
          </w:p>
        </w:tc>
        <w:tc>
          <w:tcPr>
            <w:tcW w:type="dxa" w:w="4094"/>
            <w:vAlign w:val="center"/>
          </w:tcPr>
          <w:p w14:paraId="4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Электромеханический</w:t>
            </w:r>
          </w:p>
        </w:tc>
        <w:tc>
          <w:tcPr>
            <w:tcW w:type="dxa" w:w="3526"/>
            <w:vAlign w:val="center"/>
          </w:tcPr>
          <w:p w14:paraId="4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Расположение створки</w:t>
            </w:r>
          </w:p>
        </w:tc>
        <w:tc>
          <w:tcPr>
            <w:tcW w:type="dxa" w:w="4094"/>
            <w:vAlign w:val="center"/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Правое</w:t>
            </w:r>
          </w:p>
        </w:tc>
        <w:tc>
          <w:tcPr>
            <w:tcW w:type="dxa" w:w="3526"/>
            <w:vAlign w:val="center"/>
          </w:tcPr>
          <w:p w14:paraId="4A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4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type="dxa" w:w="4094"/>
            <w:vAlign w:val="center"/>
          </w:tcPr>
          <w:p w14:paraId="4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Сталь нержавеющая </w:t>
            </w:r>
          </w:p>
        </w:tc>
        <w:tc>
          <w:tcPr>
            <w:tcW w:type="dxa" w:w="3526"/>
            <w:vAlign w:val="center"/>
          </w:tcPr>
          <w:p w14:paraId="4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4E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Потребляемая мощность (без учета системы обогрева), </w:t>
            </w:r>
            <w:r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4094"/>
            <w:vAlign w:val="center"/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40 и &lt; 50</w:t>
            </w:r>
          </w:p>
        </w:tc>
        <w:tc>
          <w:tcPr>
            <w:tcW w:type="dxa" w:w="3526"/>
            <w:vAlign w:val="center"/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51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1400  и  &lt; 1600</w:t>
            </w:r>
          </w:p>
        </w:tc>
        <w:tc>
          <w:tcPr>
            <w:tcW w:type="dxa" w:w="3526"/>
            <w:vAlign w:val="center"/>
          </w:tcPr>
          <w:p w14:paraId="53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54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200  и  &lt; 300</w:t>
            </w:r>
          </w:p>
        </w:tc>
        <w:tc>
          <w:tcPr>
            <w:tcW w:type="dxa" w:w="3526"/>
            <w:vAlign w:val="center"/>
          </w:tcPr>
          <w:p w14:paraId="56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5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5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Исполнительные устройства (Турникеты скоростные)</w:t>
            </w:r>
          </w:p>
          <w:p w14:paraId="5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 правый</w:t>
            </w:r>
          </w:p>
          <w:p w14:paraId="5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26.30.50.119</w:t>
            </w:r>
          </w:p>
          <w:p w14:paraId="5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26.30.50.152-0000000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99"/>
            <w:vMerge w:val="restart"/>
            <w:vAlign w:val="center"/>
          </w:tcPr>
          <w:p w14:paraId="5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929"/>
            <w:vAlign w:val="center"/>
          </w:tcPr>
          <w:p w14:paraId="5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Конструктивное исполнение</w:t>
            </w:r>
          </w:p>
        </w:tc>
        <w:tc>
          <w:tcPr>
            <w:tcW w:type="dxa" w:w="4094"/>
            <w:vAlign w:val="center"/>
          </w:tcPr>
          <w:p w14:paraId="5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Створчатый</w:t>
            </w:r>
          </w:p>
        </w:tc>
        <w:tc>
          <w:tcPr>
            <w:tcW w:type="dxa" w:w="3526"/>
            <w:vAlign w:val="center"/>
          </w:tcPr>
          <w:p w14:paraId="5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6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однократного прохода, чел/мин</w:t>
            </w:r>
          </w:p>
        </w:tc>
        <w:tc>
          <w:tcPr>
            <w:tcW w:type="dxa" w:w="4094"/>
            <w:vAlign w:val="center"/>
          </w:tcPr>
          <w:p w14:paraId="6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10 и &lt; 15 </w:t>
            </w:r>
          </w:p>
        </w:tc>
        <w:tc>
          <w:tcPr>
            <w:tcW w:type="dxa" w:w="3526"/>
            <w:vAlign w:val="center"/>
          </w:tcPr>
          <w:p w14:paraId="6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6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свободного прохода, чел/мин</w:t>
            </w:r>
          </w:p>
        </w:tc>
        <w:tc>
          <w:tcPr>
            <w:tcW w:type="dxa" w:w="4094"/>
            <w:vAlign w:val="center"/>
          </w:tcPr>
          <w:p w14:paraId="6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60</w:t>
            </w:r>
          </w:p>
        </w:tc>
        <w:tc>
          <w:tcPr>
            <w:tcW w:type="dxa" w:w="3526"/>
            <w:vAlign w:val="center"/>
          </w:tcPr>
          <w:p w14:paraId="6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6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корпуса</w:t>
            </w:r>
          </w:p>
        </w:tc>
        <w:tc>
          <w:tcPr>
            <w:tcW w:type="dxa" w:w="4094"/>
            <w:vAlign w:val="center"/>
          </w:tcPr>
          <w:p w14:paraId="6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Однопроходной</w:t>
            </w:r>
          </w:p>
        </w:tc>
        <w:tc>
          <w:tcPr>
            <w:tcW w:type="dxa" w:w="3526"/>
            <w:vAlign w:val="center"/>
          </w:tcPr>
          <w:p w14:paraId="6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6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размещения</w:t>
            </w:r>
          </w:p>
        </w:tc>
        <w:tc>
          <w:tcPr>
            <w:tcW w:type="dxa" w:w="4094"/>
            <w:vAlign w:val="center"/>
          </w:tcPr>
          <w:p w14:paraId="6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Напольный</w:t>
            </w:r>
          </w:p>
        </w:tc>
        <w:tc>
          <w:tcPr>
            <w:tcW w:type="dxa" w:w="3526"/>
            <w:vAlign w:val="center"/>
          </w:tcPr>
          <w:p w14:paraId="6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6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Турникет </w:t>
            </w:r>
            <w:r>
              <w:rPr>
                <w:rFonts w:ascii="Times New Roman" w:hAnsi="Times New Roman"/>
              </w:rPr>
              <w:t>полноростовой</w:t>
            </w:r>
          </w:p>
        </w:tc>
        <w:tc>
          <w:tcPr>
            <w:tcW w:type="dxa" w:w="4094"/>
            <w:vAlign w:val="center"/>
          </w:tcPr>
          <w:p w14:paraId="6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type="dxa" w:w="3526"/>
            <w:vAlign w:val="center"/>
          </w:tcPr>
          <w:p w14:paraId="6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характеристики не может </w:t>
            </w:r>
            <w:r>
              <w:rPr>
                <w:rFonts w:ascii="Times New Roman" w:hAnsi="Times New Roman"/>
              </w:rPr>
              <w:t>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6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Турникет со встроенным контроллером (электронная проходная)</w:t>
            </w:r>
          </w:p>
        </w:tc>
        <w:tc>
          <w:tcPr>
            <w:tcW w:type="dxa" w:w="4094"/>
            <w:vAlign w:val="center"/>
          </w:tcPr>
          <w:p w14:paraId="7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7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7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прохода,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7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500 и &lt; 600</w:t>
            </w:r>
          </w:p>
        </w:tc>
        <w:tc>
          <w:tcPr>
            <w:tcW w:type="dxa" w:w="3526"/>
            <w:vAlign w:val="center"/>
          </w:tcPr>
          <w:p w14:paraId="7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7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привода</w:t>
            </w:r>
          </w:p>
        </w:tc>
        <w:tc>
          <w:tcPr>
            <w:tcW w:type="dxa" w:w="4094"/>
            <w:vAlign w:val="center"/>
          </w:tcPr>
          <w:p w14:paraId="7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Электромеханический</w:t>
            </w:r>
          </w:p>
        </w:tc>
        <w:tc>
          <w:tcPr>
            <w:tcW w:type="dxa" w:w="3526"/>
            <w:vAlign w:val="center"/>
          </w:tcPr>
          <w:p w14:paraId="7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78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Расположение створки</w:t>
            </w:r>
          </w:p>
        </w:tc>
        <w:tc>
          <w:tcPr>
            <w:tcW w:type="dxa" w:w="4094"/>
            <w:vAlign w:val="center"/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Левое</w:t>
            </w:r>
          </w:p>
        </w:tc>
        <w:tc>
          <w:tcPr>
            <w:tcW w:type="dxa" w:w="3526"/>
            <w:vAlign w:val="center"/>
          </w:tcPr>
          <w:p w14:paraId="7A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7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type="dxa" w:w="4094"/>
            <w:vAlign w:val="center"/>
          </w:tcPr>
          <w:p w14:paraId="7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Сталь нержавеющая </w:t>
            </w:r>
          </w:p>
        </w:tc>
        <w:tc>
          <w:tcPr>
            <w:tcW w:type="dxa" w:w="3526"/>
            <w:vAlign w:val="center"/>
          </w:tcPr>
          <w:p w14:paraId="7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7E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Потребляемая мощность (без учета системы обогрева), </w:t>
            </w:r>
            <w:r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4094"/>
            <w:vAlign w:val="center"/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40 и &lt; 50</w:t>
            </w:r>
          </w:p>
        </w:tc>
        <w:tc>
          <w:tcPr>
            <w:tcW w:type="dxa" w:w="3526"/>
            <w:vAlign w:val="center"/>
          </w:tcPr>
          <w:p w14:paraId="80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81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82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1400  и  &lt; 1600</w:t>
            </w:r>
          </w:p>
        </w:tc>
        <w:tc>
          <w:tcPr>
            <w:tcW w:type="dxa" w:w="3526"/>
            <w:vAlign w:val="center"/>
          </w:tcPr>
          <w:p w14:paraId="83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84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200  и  &lt; 300</w:t>
            </w:r>
          </w:p>
        </w:tc>
        <w:tc>
          <w:tcPr>
            <w:tcW w:type="dxa" w:w="3526"/>
            <w:vAlign w:val="center"/>
          </w:tcPr>
          <w:p w14:paraId="86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8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8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Исполнительные устройства (Турникеты скоростные)</w:t>
            </w:r>
          </w:p>
          <w:p w14:paraId="8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 центральный</w:t>
            </w:r>
          </w:p>
          <w:p w14:paraId="8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26.30.50.119</w:t>
            </w:r>
          </w:p>
          <w:p w14:paraId="8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26.30.50.152-0000000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99"/>
            <w:vMerge w:val="restart"/>
            <w:vAlign w:val="center"/>
          </w:tcPr>
          <w:p w14:paraId="8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2929"/>
            <w:vAlign w:val="center"/>
          </w:tcPr>
          <w:p w14:paraId="8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Конструктивное исполнение</w:t>
            </w:r>
          </w:p>
        </w:tc>
        <w:tc>
          <w:tcPr>
            <w:tcW w:type="dxa" w:w="4094"/>
            <w:vAlign w:val="center"/>
          </w:tcPr>
          <w:p w14:paraId="8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Створчатый</w:t>
            </w:r>
          </w:p>
        </w:tc>
        <w:tc>
          <w:tcPr>
            <w:tcW w:type="dxa" w:w="3526"/>
            <w:vAlign w:val="center"/>
          </w:tcPr>
          <w:p w14:paraId="8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однократного прохода, чел/мин</w:t>
            </w:r>
          </w:p>
        </w:tc>
        <w:tc>
          <w:tcPr>
            <w:tcW w:type="dxa" w:w="4094"/>
            <w:vAlign w:val="center"/>
          </w:tcPr>
          <w:p w14:paraId="9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≥ 10 и &lt; 15 </w:t>
            </w:r>
          </w:p>
        </w:tc>
        <w:tc>
          <w:tcPr>
            <w:tcW w:type="dxa" w:w="3526"/>
            <w:vAlign w:val="center"/>
          </w:tcPr>
          <w:p w14:paraId="9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Пропускная способность в режиме свободного прохода, чел/мин</w:t>
            </w:r>
          </w:p>
        </w:tc>
        <w:tc>
          <w:tcPr>
            <w:tcW w:type="dxa" w:w="4094"/>
            <w:vAlign w:val="center"/>
          </w:tcPr>
          <w:p w14:paraId="9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60</w:t>
            </w:r>
          </w:p>
        </w:tc>
        <w:tc>
          <w:tcPr>
            <w:tcW w:type="dxa" w:w="3526"/>
            <w:vAlign w:val="center"/>
          </w:tcPr>
          <w:p w14:paraId="9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корпуса</w:t>
            </w:r>
          </w:p>
        </w:tc>
        <w:tc>
          <w:tcPr>
            <w:tcW w:type="dxa" w:w="4094"/>
            <w:vAlign w:val="center"/>
          </w:tcPr>
          <w:p w14:paraId="9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Двухпроходной</w:t>
            </w:r>
          </w:p>
        </w:tc>
        <w:tc>
          <w:tcPr>
            <w:tcW w:type="dxa" w:w="3526"/>
            <w:vAlign w:val="center"/>
          </w:tcPr>
          <w:p w14:paraId="9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размещения</w:t>
            </w:r>
          </w:p>
        </w:tc>
        <w:tc>
          <w:tcPr>
            <w:tcW w:type="dxa" w:w="4094"/>
            <w:vAlign w:val="center"/>
          </w:tcPr>
          <w:p w14:paraId="9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Напольный</w:t>
            </w:r>
          </w:p>
        </w:tc>
        <w:tc>
          <w:tcPr>
            <w:tcW w:type="dxa" w:w="3526"/>
            <w:vAlign w:val="center"/>
          </w:tcPr>
          <w:p w14:paraId="9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Турникет </w:t>
            </w:r>
            <w:r>
              <w:rPr>
                <w:rFonts w:ascii="Times New Roman" w:hAnsi="Times New Roman"/>
              </w:rPr>
              <w:t>полноростовой</w:t>
            </w:r>
          </w:p>
        </w:tc>
        <w:tc>
          <w:tcPr>
            <w:tcW w:type="dxa" w:w="4094"/>
            <w:vAlign w:val="center"/>
          </w:tcPr>
          <w:p w14:paraId="9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type="dxa" w:w="3526"/>
            <w:vAlign w:val="center"/>
          </w:tcPr>
          <w:p w14:paraId="9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9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Турникет со встроенным </w:t>
            </w:r>
            <w:r>
              <w:rPr>
                <w:rFonts w:ascii="Times New Roman" w:hAnsi="Times New Roman"/>
              </w:rPr>
              <w:t>контроллером (электронная проходная)</w:t>
            </w:r>
          </w:p>
        </w:tc>
        <w:tc>
          <w:tcPr>
            <w:tcW w:type="dxa" w:w="4094"/>
            <w:vAlign w:val="center"/>
          </w:tcPr>
          <w:p w14:paraId="A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A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характеристики не может </w:t>
            </w:r>
            <w:r>
              <w:rPr>
                <w:rFonts w:ascii="Times New Roman" w:hAnsi="Times New Roman"/>
              </w:rPr>
              <w:t>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прохода,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A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500 и &lt; 600</w:t>
            </w:r>
          </w:p>
        </w:tc>
        <w:tc>
          <w:tcPr>
            <w:tcW w:type="dxa" w:w="3526"/>
            <w:vAlign w:val="center"/>
          </w:tcPr>
          <w:p w14:paraId="A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привода</w:t>
            </w:r>
          </w:p>
        </w:tc>
        <w:tc>
          <w:tcPr>
            <w:tcW w:type="dxa" w:w="4094"/>
            <w:vAlign w:val="center"/>
          </w:tcPr>
          <w:p w14:paraId="A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Электромеханический</w:t>
            </w:r>
          </w:p>
        </w:tc>
        <w:tc>
          <w:tcPr>
            <w:tcW w:type="dxa" w:w="3526"/>
            <w:vAlign w:val="center"/>
          </w:tcPr>
          <w:p w14:paraId="A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8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Расположение створки</w:t>
            </w:r>
          </w:p>
        </w:tc>
        <w:tc>
          <w:tcPr>
            <w:tcW w:type="dxa" w:w="4094"/>
            <w:vAlign w:val="center"/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Двухсторонее</w:t>
            </w:r>
          </w:p>
        </w:tc>
        <w:tc>
          <w:tcPr>
            <w:tcW w:type="dxa" w:w="3526"/>
            <w:vAlign w:val="center"/>
          </w:tcPr>
          <w:p w14:paraId="AA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type="dxa" w:w="4094"/>
            <w:vAlign w:val="center"/>
          </w:tcPr>
          <w:p w14:paraId="A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Сталь нержавеющая </w:t>
            </w:r>
          </w:p>
        </w:tc>
        <w:tc>
          <w:tcPr>
            <w:tcW w:type="dxa" w:w="3526"/>
            <w:vAlign w:val="center"/>
          </w:tcPr>
          <w:p w14:paraId="A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AE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Потребляемая мощность (без учета системы обогрева), </w:t>
            </w:r>
            <w:r>
              <w:rPr>
                <w:rFonts w:ascii="Times New Roman" w:hAnsi="Times New Roman"/>
              </w:rPr>
              <w:t>Вт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4094"/>
            <w:vAlign w:val="center"/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40 и &lt; 50</w:t>
            </w:r>
          </w:p>
        </w:tc>
        <w:tc>
          <w:tcPr>
            <w:tcW w:type="dxa" w:w="3526"/>
            <w:vAlign w:val="center"/>
          </w:tcPr>
          <w:p w14:paraId="B0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B1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B2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1400  и  &lt; 1600</w:t>
            </w:r>
          </w:p>
        </w:tc>
        <w:tc>
          <w:tcPr>
            <w:tcW w:type="dxa" w:w="3526"/>
            <w:vAlign w:val="center"/>
          </w:tcPr>
          <w:p w14:paraId="B3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B4010000">
            <w:pPr>
              <w:pStyle w:val="Style_5"/>
              <w:widowControl w:val="1"/>
              <w:spacing w:after="0"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корпуса,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B5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200  и  &lt; 300</w:t>
            </w:r>
          </w:p>
        </w:tc>
        <w:tc>
          <w:tcPr>
            <w:tcW w:type="dxa" w:w="3526"/>
            <w:vAlign w:val="center"/>
          </w:tcPr>
          <w:p w14:paraId="B6010000">
            <w:pPr>
              <w:widowControl w:val="1"/>
              <w:ind/>
              <w:jc w:val="center"/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B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B8010000">
            <w:pPr>
              <w:pStyle w:val="Style_5"/>
              <w:widowControl w:val="1"/>
              <w:spacing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Кронштейн для установки </w:t>
            </w:r>
            <w:r>
              <w:rPr>
                <w:rFonts w:ascii="Times New Roman" w:hAnsi="Times New Roman"/>
              </w:rPr>
              <w:t>стационарного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биотерминала</w:t>
            </w:r>
            <w:r>
              <w:rPr>
                <w:rFonts w:ascii="Times New Roman" w:hAnsi="Times New Roman"/>
              </w:rPr>
              <w:t xml:space="preserve"> совместимого с АСКОП</w:t>
            </w:r>
          </w:p>
          <w:p w14:paraId="B9010000">
            <w:pPr>
              <w:pStyle w:val="Style_5"/>
              <w:widowControl w:val="1"/>
              <w:spacing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26.30.60.110</w:t>
            </w:r>
          </w:p>
          <w:p w14:paraId="BA010000">
            <w:pPr>
              <w:pStyle w:val="Style_5"/>
              <w:widowControl w:val="1"/>
              <w:spacing w:line="276" w:lineRule="auto"/>
              <w:ind w:left="0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26.30.60.000-00000001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  <w:p w14:paraId="BB010000">
            <w:pPr>
              <w:pStyle w:val="Style_5"/>
              <w:widowControl w:val="1"/>
              <w:spacing w:line="276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(применяется 01.01.2027)</w:t>
            </w:r>
          </w:p>
        </w:tc>
        <w:tc>
          <w:tcPr>
            <w:tcW w:type="dxa" w:w="699"/>
            <w:vMerge w:val="restart"/>
            <w:vAlign w:val="center"/>
          </w:tcPr>
          <w:p w14:paraId="B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2929"/>
            <w:vAlign w:val="center"/>
          </w:tcPr>
          <w:p w14:paraId="B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корпуса</w:t>
            </w:r>
          </w:p>
        </w:tc>
        <w:tc>
          <w:tcPr>
            <w:tcW w:type="dxa" w:w="4094"/>
            <w:vAlign w:val="center"/>
          </w:tcPr>
          <w:p w14:paraId="B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Вандалозащищенный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3526"/>
            <w:vAlign w:val="center"/>
          </w:tcPr>
          <w:p w14:paraId="B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C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корпуса</w:t>
            </w:r>
          </w:p>
        </w:tc>
        <w:tc>
          <w:tcPr>
            <w:tcW w:type="dxa" w:w="4094"/>
            <w:vAlign w:val="center"/>
          </w:tcPr>
          <w:p w14:paraId="C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Нержавеющая сталь</w:t>
            </w:r>
          </w:p>
        </w:tc>
        <w:tc>
          <w:tcPr>
            <w:tcW w:type="dxa" w:w="3526"/>
            <w:vAlign w:val="center"/>
          </w:tcPr>
          <w:p w14:paraId="C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C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внутреннего</w:t>
            </w:r>
            <w:r>
              <w:rPr>
                <w:rFonts w:ascii="Times New Roman" w:hAnsi="Times New Roman"/>
              </w:rPr>
              <w:t xml:space="preserve"> кабель-канала</w:t>
            </w:r>
          </w:p>
        </w:tc>
        <w:tc>
          <w:tcPr>
            <w:tcW w:type="dxa" w:w="4094"/>
            <w:vAlign w:val="center"/>
          </w:tcPr>
          <w:p w14:paraId="C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C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C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Встроенная светодиодная подсветка</w:t>
            </w:r>
          </w:p>
        </w:tc>
        <w:tc>
          <w:tcPr>
            <w:tcW w:type="dxa" w:w="4094"/>
            <w:vAlign w:val="center"/>
          </w:tcPr>
          <w:p w14:paraId="C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C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C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C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Модуль экстренной разблокировки («</w:t>
            </w:r>
            <w:r>
              <w:rPr>
                <w:rFonts w:ascii="Times New Roman" w:hAnsi="Times New Roman"/>
              </w:rPr>
              <w:t>Антипаника</w:t>
            </w:r>
            <w:r>
              <w:rPr>
                <w:rFonts w:ascii="Times New Roman" w:hAnsi="Times New Roman"/>
              </w:rPr>
              <w:t>»)</w:t>
            </w:r>
          </w:p>
          <w:p w14:paraId="C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входной</w:t>
            </w:r>
          </w:p>
          <w:p w14:paraId="C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26.30.50.151</w:t>
            </w:r>
          </w:p>
          <w:p w14:paraId="C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26.30.50.000-00000001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  <w:p w14:paraId="C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(применяется 01.01.2027)</w:t>
            </w:r>
          </w:p>
        </w:tc>
        <w:tc>
          <w:tcPr>
            <w:tcW w:type="dxa" w:w="699"/>
            <w:vMerge w:val="restart"/>
            <w:vAlign w:val="center"/>
          </w:tcPr>
          <w:p w14:paraId="C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929"/>
          </w:tcPr>
          <w:p w14:paraId="D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каждым входом отдельно </w:t>
            </w:r>
          </w:p>
        </w:tc>
        <w:tc>
          <w:tcPr>
            <w:tcW w:type="dxa" w:w="4094"/>
            <w:vAlign w:val="center"/>
          </w:tcPr>
          <w:p w14:paraId="D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D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</w:tcPr>
          <w:p w14:paraId="D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одновременно всеми входами</w:t>
            </w:r>
          </w:p>
        </w:tc>
        <w:tc>
          <w:tcPr>
            <w:tcW w:type="dxa" w:w="4094"/>
            <w:vAlign w:val="center"/>
          </w:tcPr>
          <w:p w14:paraId="D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D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</w:tcPr>
          <w:p w14:paraId="D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Световая индикация состояния каждого входа</w:t>
            </w:r>
          </w:p>
        </w:tc>
        <w:tc>
          <w:tcPr>
            <w:tcW w:type="dxa" w:w="4094"/>
            <w:vAlign w:val="center"/>
          </w:tcPr>
          <w:p w14:paraId="D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</w:tcPr>
          <w:p w14:paraId="D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кнопок для управления проходами, </w:t>
            </w: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type="dxa" w:w="4094"/>
            <w:vAlign w:val="center"/>
          </w:tcPr>
          <w:p w14:paraId="D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8 ≤ 10</w:t>
            </w:r>
          </w:p>
        </w:tc>
        <w:tc>
          <w:tcPr>
            <w:tcW w:type="dxa" w:w="3526"/>
          </w:tcPr>
          <w:p w14:paraId="D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диапазон значений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Напряжение питания постоянного тока, </w:t>
            </w: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type="dxa" w:w="4094"/>
            <w:vAlign w:val="center"/>
          </w:tcPr>
          <w:p w14:paraId="D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3526"/>
            <w:vAlign w:val="center"/>
          </w:tcPr>
          <w:p w14:paraId="D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D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Потребляемая мощность (без учета системы обогрева), </w:t>
            </w:r>
            <w:r>
              <w:rPr>
                <w:rFonts w:ascii="Times New Roman" w:hAnsi="Times New Roman"/>
              </w:rPr>
              <w:t>Вт</w:t>
            </w:r>
          </w:p>
        </w:tc>
        <w:tc>
          <w:tcPr>
            <w:tcW w:type="dxa" w:w="4094"/>
            <w:vAlign w:val="center"/>
          </w:tcPr>
          <w:p w14:paraId="E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≤ 24</w:t>
            </w:r>
          </w:p>
        </w:tc>
        <w:tc>
          <w:tcPr>
            <w:tcW w:type="dxa" w:w="3526"/>
          </w:tcPr>
          <w:p w14:paraId="E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Максимальное напряжение на выходных контактах, </w:t>
            </w: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type="dxa" w:w="4094"/>
            <w:vAlign w:val="center"/>
          </w:tcPr>
          <w:p w14:paraId="E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type="dxa" w:w="3526"/>
          </w:tcPr>
          <w:p w14:paraId="E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модуля,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E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350 ≤ 370</w:t>
            </w:r>
          </w:p>
        </w:tc>
        <w:tc>
          <w:tcPr>
            <w:tcW w:type="dxa" w:w="3526"/>
          </w:tcPr>
          <w:p w14:paraId="E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8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модуля,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E9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80 ≤ 90</w:t>
            </w:r>
          </w:p>
        </w:tc>
        <w:tc>
          <w:tcPr>
            <w:tcW w:type="dxa" w:w="3526"/>
          </w:tcPr>
          <w:p w14:paraId="EA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B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Высота модуля,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EC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70 ≤ 80</w:t>
            </w:r>
          </w:p>
        </w:tc>
        <w:tc>
          <w:tcPr>
            <w:tcW w:type="dxa" w:w="3526"/>
          </w:tcPr>
          <w:p w14:paraId="ED01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E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защиты корпуса</w:t>
            </w:r>
          </w:p>
        </w:tc>
        <w:tc>
          <w:tcPr>
            <w:tcW w:type="dxa" w:w="4094"/>
            <w:vAlign w:val="center"/>
          </w:tcPr>
          <w:p w14:paraId="E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IP40</w:t>
            </w:r>
          </w:p>
        </w:tc>
        <w:tc>
          <w:tcPr>
            <w:tcW w:type="dxa" w:w="3526"/>
          </w:tcPr>
          <w:p w14:paraId="F0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F1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 сопряжения с АПС</w:t>
            </w:r>
          </w:p>
        </w:tc>
        <w:tc>
          <w:tcPr>
            <w:tcW w:type="dxa" w:w="4094"/>
            <w:vAlign w:val="center"/>
          </w:tcPr>
          <w:p w14:paraId="F2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F3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vMerge w:val="restart"/>
            <w:vAlign w:val="center"/>
          </w:tcPr>
          <w:p w14:paraId="F4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768"/>
            <w:gridSpan w:val="2"/>
            <w:vMerge w:val="restart"/>
            <w:vAlign w:val="center"/>
          </w:tcPr>
          <w:p w14:paraId="F5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Модуль экстренной разблокировки («</w:t>
            </w:r>
            <w:r>
              <w:rPr>
                <w:rFonts w:ascii="Times New Roman" w:hAnsi="Times New Roman"/>
              </w:rPr>
              <w:t>Антипаника</w:t>
            </w:r>
            <w:r>
              <w:rPr>
                <w:rFonts w:ascii="Times New Roman" w:hAnsi="Times New Roman"/>
              </w:rPr>
              <w:t>»)</w:t>
            </w:r>
          </w:p>
          <w:p w14:paraId="F6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выходной</w:t>
            </w:r>
          </w:p>
          <w:p w14:paraId="F7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26.30.50.151</w:t>
            </w:r>
          </w:p>
          <w:p w14:paraId="F8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26.30.50.000-00000001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  <w:p w14:paraId="F9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(применяется 01.01.2027)</w:t>
            </w:r>
          </w:p>
        </w:tc>
        <w:tc>
          <w:tcPr>
            <w:tcW w:type="dxa" w:w="699"/>
            <w:vMerge w:val="restart"/>
            <w:vAlign w:val="center"/>
          </w:tcPr>
          <w:p w14:paraId="FA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929"/>
          </w:tcPr>
          <w:p w14:paraId="FB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каждым выходом отдельно </w:t>
            </w:r>
          </w:p>
        </w:tc>
        <w:tc>
          <w:tcPr>
            <w:tcW w:type="dxa" w:w="4094"/>
            <w:vAlign w:val="center"/>
          </w:tcPr>
          <w:p w14:paraId="FC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FD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</w:tcPr>
          <w:p w14:paraId="FE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одновременно всеми выходами</w:t>
            </w:r>
          </w:p>
        </w:tc>
        <w:tc>
          <w:tcPr>
            <w:tcW w:type="dxa" w:w="4094"/>
            <w:vAlign w:val="center"/>
          </w:tcPr>
          <w:p w14:paraId="FF01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00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</w:tcPr>
          <w:p w14:paraId="01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Световая индикация состояния каждого выхода</w:t>
            </w:r>
          </w:p>
        </w:tc>
        <w:tc>
          <w:tcPr>
            <w:tcW w:type="dxa" w:w="4094"/>
            <w:vAlign w:val="center"/>
          </w:tcPr>
          <w:p w14:paraId="02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</w:tcPr>
          <w:p w14:paraId="03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4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кнопок для управления проходами, </w:t>
            </w: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type="dxa" w:w="4094"/>
            <w:vAlign w:val="center"/>
          </w:tcPr>
          <w:p w14:paraId="05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type="dxa" w:w="3526"/>
          </w:tcPr>
          <w:p w14:paraId="06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диапазон значений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7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Напряжение питания постоянного тока, </w:t>
            </w: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type="dxa" w:w="4094"/>
            <w:vAlign w:val="center"/>
          </w:tcPr>
          <w:p w14:paraId="08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3526"/>
            <w:vAlign w:val="center"/>
          </w:tcPr>
          <w:p w14:paraId="09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A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Потребляемая мощность (без учета системы обогрева), </w:t>
            </w:r>
            <w:r>
              <w:rPr>
                <w:rFonts w:ascii="Times New Roman" w:hAnsi="Times New Roman"/>
              </w:rPr>
              <w:t>Вт</w:t>
            </w:r>
          </w:p>
        </w:tc>
        <w:tc>
          <w:tcPr>
            <w:tcW w:type="dxa" w:w="4094"/>
            <w:vAlign w:val="center"/>
          </w:tcPr>
          <w:p w14:paraId="0B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≤ 24</w:t>
            </w:r>
          </w:p>
        </w:tc>
        <w:tc>
          <w:tcPr>
            <w:tcW w:type="dxa" w:w="3526"/>
          </w:tcPr>
          <w:p w14:paraId="0C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0D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Максимальное напряжение </w:t>
            </w:r>
            <w:r>
              <w:rPr>
                <w:rFonts w:ascii="Times New Roman" w:hAnsi="Times New Roman"/>
              </w:rPr>
              <w:t xml:space="preserve">на выходных контактах, </w:t>
            </w: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type="dxa" w:w="4094"/>
            <w:vAlign w:val="center"/>
          </w:tcPr>
          <w:p w14:paraId="0E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type="dxa" w:w="3526"/>
          </w:tcPr>
          <w:p w14:paraId="0F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характеристики не может </w:t>
            </w:r>
            <w:r>
              <w:rPr>
                <w:rFonts w:ascii="Times New Roman" w:hAnsi="Times New Roman"/>
              </w:rPr>
              <w:t>изменяться участником закупки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0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модуля,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11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350 ≤ 370</w:t>
            </w:r>
          </w:p>
        </w:tc>
        <w:tc>
          <w:tcPr>
            <w:tcW w:type="dxa" w:w="3526"/>
          </w:tcPr>
          <w:p w14:paraId="12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302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Ширина модуля,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1402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80 ≤ 90</w:t>
            </w:r>
          </w:p>
        </w:tc>
        <w:tc>
          <w:tcPr>
            <w:tcW w:type="dxa" w:w="3526"/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602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Высота модуля, 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4094"/>
            <w:vAlign w:val="center"/>
          </w:tcPr>
          <w:p w14:paraId="1702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70 ≤ 80</w:t>
            </w:r>
          </w:p>
        </w:tc>
        <w:tc>
          <w:tcPr>
            <w:tcW w:type="dxa" w:w="3526"/>
          </w:tcPr>
          <w:p w14:paraId="18020000">
            <w:pPr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9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защиты корпуса</w:t>
            </w:r>
          </w:p>
        </w:tc>
        <w:tc>
          <w:tcPr>
            <w:tcW w:type="dxa" w:w="4094"/>
            <w:vAlign w:val="center"/>
          </w:tcPr>
          <w:p w14:paraId="1A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IP40</w:t>
            </w:r>
          </w:p>
        </w:tc>
        <w:tc>
          <w:tcPr>
            <w:tcW w:type="dxa" w:w="3526"/>
          </w:tcPr>
          <w:p w14:paraId="1B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54"/>
            <w:gridSpan w:val="1"/>
            <w:vMerge w:val="continue"/>
            <w:vAlign w:val="center"/>
          </w:tcPr>
          <w:p/>
        </w:tc>
        <w:tc>
          <w:tcPr>
            <w:tcW w:type="dxa" w:w="2768"/>
            <w:gridSpan w:val="2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1C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 сопряжения с АПС</w:t>
            </w:r>
          </w:p>
        </w:tc>
        <w:tc>
          <w:tcPr>
            <w:tcW w:type="dxa" w:w="4094"/>
            <w:vAlign w:val="center"/>
          </w:tcPr>
          <w:p w14:paraId="1D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1E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71"/>
            <w:gridSpan w:val="2"/>
            <w:vMerge w:val="restart"/>
            <w:vAlign w:val="center"/>
          </w:tcPr>
          <w:p w14:paraId="1F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751"/>
            <w:vMerge w:val="restart"/>
            <w:vAlign w:val="center"/>
          </w:tcPr>
          <w:p w14:paraId="20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АРМ мониторинга и управления в комплекте с мышью и клавиатурой</w:t>
            </w:r>
          </w:p>
          <w:p w14:paraId="21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26.20.15.140</w:t>
            </w:r>
          </w:p>
          <w:p w14:paraId="22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26.20.15.000-00000032</w:t>
            </w:r>
          </w:p>
        </w:tc>
        <w:tc>
          <w:tcPr>
            <w:tcW w:type="dxa" w:w="699"/>
            <w:vMerge w:val="restart"/>
            <w:vAlign w:val="center"/>
          </w:tcPr>
          <w:p w14:paraId="23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929"/>
            <w:vAlign w:val="center"/>
          </w:tcPr>
          <w:p w14:paraId="24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Диагональ экрана, дюйм</w:t>
            </w:r>
          </w:p>
        </w:tc>
        <w:tc>
          <w:tcPr>
            <w:tcW w:type="dxa" w:w="4094"/>
            <w:vAlign w:val="center"/>
          </w:tcPr>
          <w:p w14:paraId="25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23</w:t>
            </w:r>
          </w:p>
        </w:tc>
        <w:tc>
          <w:tcPr>
            <w:tcW w:type="dxa" w:w="3526"/>
            <w:vAlign w:val="center"/>
          </w:tcPr>
          <w:p w14:paraId="26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71"/>
            <w:gridSpan w:val="2"/>
            <w:vMerge w:val="continue"/>
            <w:vAlign w:val="center"/>
          </w:tcPr>
          <w:p/>
        </w:tc>
        <w:tc>
          <w:tcPr>
            <w:tcW w:type="dxa" w:w="2751"/>
            <w:gridSpan w:val="1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27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ядер процессора, </w:t>
            </w: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type="dxa" w:w="4094"/>
            <w:vAlign w:val="center"/>
          </w:tcPr>
          <w:p w14:paraId="28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4</w:t>
            </w:r>
          </w:p>
        </w:tc>
        <w:tc>
          <w:tcPr>
            <w:tcW w:type="dxa" w:w="3526"/>
            <w:vAlign w:val="center"/>
          </w:tcPr>
          <w:p w14:paraId="29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71"/>
            <w:gridSpan w:val="2"/>
            <w:vMerge w:val="continue"/>
            <w:vAlign w:val="center"/>
          </w:tcPr>
          <w:p/>
        </w:tc>
        <w:tc>
          <w:tcPr>
            <w:tcW w:type="dxa" w:w="2751"/>
            <w:gridSpan w:val="1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2A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объем оперативной памяти, Гб  </w:t>
            </w:r>
          </w:p>
        </w:tc>
        <w:tc>
          <w:tcPr>
            <w:tcW w:type="dxa" w:w="4094"/>
            <w:vAlign w:val="center"/>
          </w:tcPr>
          <w:p w14:paraId="2B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8</w:t>
            </w:r>
          </w:p>
        </w:tc>
        <w:tc>
          <w:tcPr>
            <w:tcW w:type="dxa" w:w="3526"/>
            <w:vAlign w:val="center"/>
          </w:tcPr>
          <w:p w14:paraId="2C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71"/>
            <w:gridSpan w:val="2"/>
            <w:vMerge w:val="continue"/>
            <w:vAlign w:val="center"/>
          </w:tcPr>
          <w:p/>
        </w:tc>
        <w:tc>
          <w:tcPr>
            <w:tcW w:type="dxa" w:w="2751"/>
            <w:gridSpan w:val="1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2D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накопителя SSD, Гб</w:t>
            </w:r>
          </w:p>
        </w:tc>
        <w:tc>
          <w:tcPr>
            <w:tcW w:type="dxa" w:w="4094"/>
            <w:vAlign w:val="center"/>
          </w:tcPr>
          <w:p w14:paraId="2E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≥ 240</w:t>
            </w:r>
          </w:p>
        </w:tc>
        <w:tc>
          <w:tcPr>
            <w:tcW w:type="dxa" w:w="3526"/>
            <w:vAlign w:val="center"/>
          </w:tcPr>
          <w:p w14:paraId="2F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 закупки указывает в заявке конкретное значение характеристики</w:t>
            </w:r>
          </w:p>
        </w:tc>
      </w:tr>
      <w:tr>
        <w:tc>
          <w:tcPr>
            <w:tcW w:type="dxa" w:w="571"/>
            <w:gridSpan w:val="2"/>
            <w:vMerge w:val="continue"/>
            <w:vAlign w:val="center"/>
          </w:tcPr>
          <w:p/>
        </w:tc>
        <w:tc>
          <w:tcPr>
            <w:tcW w:type="dxa" w:w="2751"/>
            <w:gridSpan w:val="1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</w:tcPr>
          <w:p w14:paraId="30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клавиатуры с раскладкой QWERTY/ЙЦУКЕН в комплекте</w:t>
            </w:r>
          </w:p>
        </w:tc>
        <w:tc>
          <w:tcPr>
            <w:tcW w:type="dxa" w:w="4094"/>
            <w:vAlign w:val="center"/>
          </w:tcPr>
          <w:p w14:paraId="31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32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  <w:tr>
        <w:tc>
          <w:tcPr>
            <w:tcW w:type="dxa" w:w="571"/>
            <w:gridSpan w:val="2"/>
            <w:vMerge w:val="continue"/>
            <w:vAlign w:val="center"/>
          </w:tcPr>
          <w:p/>
        </w:tc>
        <w:tc>
          <w:tcPr>
            <w:tcW w:type="dxa" w:w="2751"/>
            <w:gridSpan w:val="1"/>
            <w:vMerge w:val="continue"/>
            <w:vAlign w:val="center"/>
          </w:tcPr>
          <w:p/>
        </w:tc>
        <w:tc>
          <w:tcPr>
            <w:tcW w:type="dxa" w:w="699"/>
            <w:gridSpan w:val="1"/>
            <w:vMerge w:val="continue"/>
            <w:vAlign w:val="center"/>
          </w:tcPr>
          <w:p/>
        </w:tc>
        <w:tc>
          <w:tcPr>
            <w:tcW w:type="dxa" w:w="2929"/>
            <w:vAlign w:val="center"/>
          </w:tcPr>
          <w:p w14:paraId="33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манипулятора мышь в комплекте</w:t>
            </w:r>
          </w:p>
        </w:tc>
        <w:tc>
          <w:tcPr>
            <w:tcW w:type="dxa" w:w="4094"/>
            <w:vAlign w:val="center"/>
          </w:tcPr>
          <w:p w14:paraId="34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type="dxa" w:w="3526"/>
            <w:vAlign w:val="center"/>
          </w:tcPr>
          <w:p w14:paraId="3502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характеристики не может изменяться участником закупки</w:t>
            </w:r>
          </w:p>
        </w:tc>
      </w:tr>
    </w:tbl>
    <w:p w14:paraId="36020000">
      <w:pPr>
        <w:widowControl w:val="1"/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i w:val="1"/>
          <w:color w:val="000000"/>
          <w:sz w:val="24"/>
          <w:shd w:fill="FDFDFD" w:val="clear"/>
          <w:vertAlign w:val="superscript"/>
        </w:rPr>
        <w:t>1</w:t>
      </w:r>
      <w:r>
        <w:rPr>
          <w:rFonts w:ascii="Times New Roman" w:hAnsi="Times New Roman"/>
          <w:i w:val="1"/>
          <w:color w:val="000000"/>
          <w:sz w:val="24"/>
          <w:shd w:fill="FDFDFD" w:val="clear"/>
        </w:rPr>
        <w:t xml:space="preserve"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44-ФЗ. Предусмотренный пунктом 5 Правил </w:t>
      </w:r>
      <w:r>
        <w:rPr>
          <w:rFonts w:ascii="Times New Roman" w:hAnsi="Times New Roman"/>
          <w:i w:val="1"/>
          <w:color w:val="000000"/>
          <w:sz w:val="24"/>
          <w:shd w:fill="FDFDFD" w:val="clear"/>
        </w:rPr>
        <w:t>использования КТРУ ПП № 145 запрет на указание дополнительных характеристик не применяется (письмо Минфина России от 24 января 2022 г. N 24-03-08/4090).</w:t>
      </w:r>
    </w:p>
    <w:p w14:paraId="37020000">
      <w:pPr>
        <w:pStyle w:val="Style_5"/>
        <w:widowControl w:val="1"/>
        <w:numPr>
          <w:ilvl w:val="0"/>
          <w:numId w:val="9"/>
        </w:numPr>
        <w:spacing w:after="0" w:line="276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Требования к монтажу (вводу в эксплуатацию)</w:t>
      </w:r>
    </w:p>
    <w:p w14:paraId="38020000">
      <w:pPr>
        <w:pStyle w:val="Style_5"/>
        <w:widowControl w:val="1"/>
        <w:spacing w:after="0" w:line="276" w:lineRule="auto"/>
        <w:ind w:left="0"/>
        <w:jc w:val="center"/>
        <w:rPr>
          <w:rFonts w:ascii="Times New Roman" w:hAnsi="Times New Roman"/>
          <w:b w:val="1"/>
          <w:sz w:val="26"/>
        </w:rPr>
      </w:pPr>
    </w:p>
    <w:p w14:paraId="39020000">
      <w:pPr>
        <w:pStyle w:val="Style_5"/>
        <w:widowControl w:val="1"/>
        <w:spacing w:after="0" w:line="276" w:lineRule="auto"/>
        <w:ind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ab/>
      </w:r>
      <w:r>
        <w:rPr>
          <w:rFonts w:ascii="Times New Roman" w:hAnsi="Times New Roman"/>
          <w:b w:val="1"/>
          <w:sz w:val="26"/>
        </w:rPr>
        <w:t>ОКПД</w:t>
      </w:r>
      <w:r>
        <w:rPr>
          <w:rFonts w:ascii="Times New Roman" w:hAnsi="Times New Roman"/>
          <w:b w:val="1"/>
          <w:sz w:val="26"/>
        </w:rPr>
        <w:t>2</w:t>
      </w:r>
      <w:r>
        <w:rPr>
          <w:rFonts w:ascii="Times New Roman" w:hAnsi="Times New Roman"/>
          <w:b w:val="1"/>
          <w:sz w:val="26"/>
        </w:rPr>
        <w:t>: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sz w:val="26"/>
        </w:rPr>
        <w:t>33.20.39.900</w:t>
      </w:r>
    </w:p>
    <w:p w14:paraId="3A020000">
      <w:pPr>
        <w:widowControl w:val="1"/>
        <w:numPr>
          <w:ilvl w:val="0"/>
          <w:numId w:val="10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Подготовительные работы:</w:t>
      </w:r>
      <w:r>
        <w:rPr>
          <w:rFonts w:ascii="Times New Roman" w:hAnsi="Times New Roman"/>
          <w:sz w:val="26"/>
        </w:rPr>
        <w:t xml:space="preserve"> Демонтаж старых турникетов и подготовка напольного покрытия (плитка гранит/металлические крышки) выполняется силами Заказчика.</w:t>
      </w:r>
    </w:p>
    <w:p w14:paraId="3B020000">
      <w:pPr>
        <w:widowControl w:val="1"/>
        <w:numPr>
          <w:ilvl w:val="0"/>
          <w:numId w:val="10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Работы Исполнителя:</w:t>
      </w:r>
      <w:r>
        <w:rPr>
          <w:rFonts w:ascii="Times New Roman" w:hAnsi="Times New Roman"/>
          <w:sz w:val="26"/>
        </w:rPr>
        <w:t xml:space="preserve"> Установка оборудования, прокладка закладных материалов, кабельных линий в зоне турникетов, монтаж пультов управления и АРМ.</w:t>
      </w:r>
    </w:p>
    <w:p w14:paraId="3C020000">
      <w:pPr>
        <w:widowControl w:val="1"/>
        <w:numPr>
          <w:ilvl w:val="0"/>
          <w:numId w:val="10"/>
        </w:numPr>
        <w:spacing w:after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sz w:val="26"/>
        </w:rPr>
        <w:t>Пусконаладочные работы (ПНР):</w:t>
      </w:r>
      <w:r>
        <w:rPr>
          <w:rFonts w:ascii="Times New Roman" w:hAnsi="Times New Roman"/>
          <w:sz w:val="26"/>
        </w:rPr>
        <w:t xml:space="preserve"> Включают подключение, настройку, интеграцию к сетям АСКОП и отладку оборудования для его подготовки к функционированию в качестве единого Комплекса. ПНР проводятся с составлением актов и комплексной приемкой в присутствии Заказчика.</w:t>
      </w:r>
    </w:p>
    <w:p w14:paraId="3D020000">
      <w:pPr>
        <w:pStyle w:val="Style_5"/>
        <w:widowControl w:val="1"/>
        <w:numPr>
          <w:ilvl w:val="0"/>
          <w:numId w:val="9"/>
        </w:numPr>
        <w:spacing w:after="0"/>
        <w:ind/>
        <w:jc w:val="center"/>
        <w:rPr>
          <w:rFonts w:ascii="Times New Roman" w:hAnsi="Times New Roman"/>
          <w:b w:val="1"/>
          <w:color w:val="000000"/>
          <w:sz w:val="26"/>
          <w:shd w:fill="FDFDFD" w:val="clear"/>
        </w:rPr>
      </w:pPr>
      <w:r>
        <w:rPr>
          <w:rFonts w:ascii="Times New Roman" w:hAnsi="Times New Roman"/>
          <w:b w:val="1"/>
          <w:color w:val="000000"/>
          <w:sz w:val="26"/>
          <w:shd w:fill="FDFDFD" w:val="clear"/>
        </w:rPr>
        <w:t>Эскиз турникета</w:t>
      </w:r>
    </w:p>
    <w:p w14:paraId="3E020000">
      <w:pPr>
        <w:pStyle w:val="Style_5"/>
        <w:widowControl w:val="1"/>
        <w:spacing w:after="0"/>
        <w:ind/>
        <w:jc w:val="center"/>
        <w:rPr>
          <w:rFonts w:ascii="Times New Roman" w:hAnsi="Times New Roman"/>
          <w:sz w:val="26"/>
        </w:rPr>
      </w:pPr>
    </w:p>
    <w:p w14:paraId="3F020000">
      <w:pPr>
        <w:pStyle w:val="Style_5"/>
        <w:widowControl w:val="1"/>
        <w:spacing w:after="0" w:line="276" w:lineRule="auto"/>
        <w:ind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К техническому заданию прилагается эскиз желаемого турникета, поясняющий его внешний вид, компоновку основных элементов и область размещения считывателей и интерфейсов. </w:t>
      </w:r>
    </w:p>
    <w:p w14:paraId="40020000">
      <w:pPr>
        <w:pStyle w:val="Style_5"/>
        <w:widowControl w:val="1"/>
        <w:spacing w:after="0" w:line="276" w:lineRule="auto"/>
        <w:ind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Участники вправе предлагать конструктивно аналогичные решения при условии соответствия всем функциональным, техническим и эксплуатационным требованиям, установленным в настоящем ТЗ. </w:t>
      </w:r>
    </w:p>
    <w:p w14:paraId="41020000">
      <w:pPr>
        <w:pStyle w:val="Style_5"/>
        <w:widowControl w:val="1"/>
        <w:spacing w:after="0" w:line="276" w:lineRule="auto"/>
        <w:ind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Эскиз не является ограничением конкуренции и носит рекомендательный (иллюстративный) характер.</w:t>
      </w:r>
    </w:p>
    <w:p w14:paraId="42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6"/>
          <w:shd w:fill="FDFDFD" w:val="clear"/>
        </w:rPr>
      </w:pPr>
    </w:p>
    <w:p w14:paraId="43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4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5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6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7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8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9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A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B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C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D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E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4F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0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  <w:r>
        <w:rPr>
          <w:rFonts w:ascii="Times New Roman" w:hAnsi="Times New Roman"/>
          <w:b w:val="1"/>
          <w:sz w:val="26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1301115</wp:posOffset>
            </wp:positionH>
            <wp:positionV relativeFrom="paragraph">
              <wp:posOffset>11430</wp:posOffset>
            </wp:positionV>
            <wp:extent cx="6115050" cy="2853690"/>
            <wp:effectExtent b="0" l="0" r="0" t="0"/>
            <wp:wrapTight distL="114300" distR="114300" wrapText="bothSides">
              <wp:wrapPolygon>
                <wp:start x="0" y="0"/>
                <wp:lineTo x="0" y="21485"/>
                <wp:lineTo x="21533" y="21485"/>
                <wp:lineTo x="21533" y="0"/>
                <wp:lineTo x="0" y="0"/>
              </wp:wrapPolygon>
            </wp:wrapTight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6115050" cy="285369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1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2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3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4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5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6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7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8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9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A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5B020000">
      <w:pPr>
        <w:widowControl w:val="1"/>
        <w:spacing w:after="0"/>
        <w:ind/>
        <w:jc w:val="center"/>
        <w:rPr>
          <w:rFonts w:ascii="Times New Roman" w:hAnsi="Times New Roman"/>
          <w:color w:val="000000"/>
          <w:sz w:val="26"/>
          <w:shd w:fill="FDFDFD" w:val="clear"/>
        </w:rPr>
      </w:pPr>
    </w:p>
    <w:p w14:paraId="5C020000">
      <w:pPr>
        <w:widowControl w:val="1"/>
        <w:spacing w:after="0"/>
        <w:ind/>
        <w:jc w:val="center"/>
        <w:rPr>
          <w:rFonts w:ascii="Times New Roman" w:hAnsi="Times New Roman"/>
          <w:color w:val="000000"/>
          <w:sz w:val="26"/>
          <w:shd w:fill="FDFDFD" w:val="clear"/>
        </w:rPr>
      </w:pPr>
    </w:p>
    <w:p w14:paraId="5D020000">
      <w:pPr>
        <w:widowControl w:val="1"/>
        <w:spacing w:after="0"/>
        <w:ind/>
        <w:jc w:val="center"/>
        <w:rPr>
          <w:rFonts w:ascii="Times New Roman" w:hAnsi="Times New Roman"/>
          <w:color w:val="000000"/>
          <w:sz w:val="26"/>
          <w:shd w:fill="FDFDFD" w:val="clear"/>
        </w:rPr>
      </w:pPr>
    </w:p>
    <w:p w14:paraId="5E020000">
      <w:pPr>
        <w:widowControl w:val="1"/>
        <w:spacing w:after="0"/>
        <w:ind/>
        <w:jc w:val="center"/>
        <w:rPr>
          <w:rFonts w:ascii="Times New Roman" w:hAnsi="Times New Roman"/>
          <w:color w:val="000000"/>
          <w:sz w:val="26"/>
          <w:shd w:fill="FDFDFD" w:val="clear"/>
        </w:rPr>
      </w:pPr>
      <w:r>
        <w:rPr>
          <w:rFonts w:ascii="Times New Roman" w:hAnsi="Times New Roman"/>
          <w:color w:val="000000"/>
          <w:sz w:val="26"/>
          <w:shd w:fill="FDFDFD" w:val="clear"/>
        </w:rPr>
        <w:t>Рисунок 1 – Эскиз турникета</w:t>
      </w:r>
    </w:p>
    <w:p w14:paraId="5F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60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61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62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63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4"/>
          <w:shd w:fill="FDFDFD" w:val="clear"/>
        </w:rPr>
      </w:pPr>
    </w:p>
    <w:p w14:paraId="64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6"/>
          <w:shd w:fill="FDFDFD" w:val="clear"/>
        </w:rPr>
      </w:pPr>
      <w:r>
        <w:rPr>
          <w:rFonts w:ascii="Times New Roman" w:hAnsi="Times New Roman"/>
          <w:color w:val="000000"/>
          <w:sz w:val="26"/>
          <w:shd w:fill="FDFDFD" w:val="clear"/>
        </w:rPr>
        <w:t>Начальник службы</w:t>
      </w:r>
    </w:p>
    <w:p w14:paraId="65020000">
      <w:pPr>
        <w:widowControl w:val="1"/>
        <w:spacing w:after="0"/>
        <w:ind/>
        <w:jc w:val="both"/>
        <w:rPr>
          <w:rFonts w:ascii="Times New Roman" w:hAnsi="Times New Roman"/>
          <w:color w:val="000000"/>
          <w:sz w:val="26"/>
          <w:shd w:fill="FDFDFD" w:val="clear"/>
        </w:rPr>
      </w:pPr>
      <w:r>
        <w:rPr>
          <w:rFonts w:ascii="Times New Roman" w:hAnsi="Times New Roman"/>
          <w:color w:val="000000"/>
          <w:sz w:val="26"/>
          <w:shd w:fill="FDFDFD" w:val="clear"/>
        </w:rPr>
        <w:t xml:space="preserve">сигнализации и связи                                                                                                                                                             А.В. </w:t>
      </w:r>
      <w:r>
        <w:rPr>
          <w:rFonts w:ascii="Times New Roman" w:hAnsi="Times New Roman"/>
          <w:color w:val="000000"/>
          <w:sz w:val="26"/>
          <w:shd w:fill="FDFDFD" w:val="clear"/>
        </w:rPr>
        <w:t>Шурганов</w:t>
      </w:r>
    </w:p>
    <w:sectPr>
      <w:headerReference r:id="rId4" w:type="first"/>
      <w:footerReference r:id="rId2" w:type="default"/>
      <w:pgSz w:h="11906" w:orient="landscape" w:w="16838"/>
      <w:pgMar w:bottom="851" w:footer="453" w:gutter="0" w:header="277" w:left="1701" w:right="56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spacing w:after="0" w:line="240" w:lineRule="auto"/>
      <w:ind w:left="-567"/>
      <w:jc w:val="center"/>
      <w:rPr>
        <w:rFonts w:ascii="Times New Roman" w:hAnsi="Times New Roman"/>
        <w:b w:val="1"/>
        <w:sz w:val="36"/>
      </w:rPr>
    </w:pPr>
    <w:r>
      <w:rPr>
        <w:rFonts w:ascii="Times New Roman" w:hAnsi="Times New Roman"/>
        <w:b w:val="1"/>
        <w:sz w:val="36"/>
      </w:rPr>
      <w:drawing>
        <wp:inline>
          <wp:extent cx="612000" cy="684000"/>
          <wp:effectExtent b="0" l="0" r="0" t="0"/>
          <wp:docPr hidden="false" id="1" name="Picture 1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12000" cy="684000"/>
                  </a:xfrm>
                  <a:prstGeom prst="rect"/>
                </pic:spPr>
              </pic:pic>
            </a:graphicData>
          </a:graphic>
        </wp:inline>
      </w:drawing>
    </w:r>
  </w:p>
  <w:p w14:paraId="04000000">
    <w:pPr>
      <w:widowControl w:val="1"/>
      <w:spacing w:after="0" w:line="240" w:lineRule="auto"/>
      <w:ind/>
      <w:jc w:val="center"/>
      <w:rPr>
        <w:rFonts w:ascii="Times New Roman" w:hAnsi="Times New Roman"/>
        <w:b w:val="1"/>
        <w:sz w:val="16"/>
      </w:rPr>
    </w:pPr>
  </w:p>
  <w:p w14:paraId="05000000">
    <w:pPr>
      <w:widowControl w:val="1"/>
      <w:spacing w:after="0" w:line="288" w:lineRule="auto"/>
      <w:ind w:left="-567"/>
      <w:jc w:val="both"/>
      <w:rPr>
        <w:rFonts w:ascii="Times New Roman" w:hAnsi="Times New Roman"/>
        <w:b w:val="1"/>
        <w:sz w:val="28"/>
      </w:rPr>
    </w:pPr>
    <w:r>
      <w:rPr>
        <w:rFonts w:ascii="Times New Roman" w:hAnsi="Times New Roman"/>
        <w:b w:val="1"/>
        <w:sz w:val="28"/>
      </w:rPr>
      <w:t>МУНИЦИПАЛЬНОЕ ПРЕДПРИЯТИЕ ГОРОДА НИЖНЕГО НОВГОРОДА</w:t>
    </w:r>
  </w:p>
  <w:p w14:paraId="06000000">
    <w:pPr>
      <w:widowControl w:val="1"/>
      <w:spacing w:after="0" w:line="288" w:lineRule="auto"/>
      <w:ind w:left="-567"/>
      <w:jc w:val="center"/>
      <w:rPr>
        <w:rFonts w:ascii="Times New Roman" w:hAnsi="Times New Roman"/>
        <w:spacing w:val="60"/>
        <w:sz w:val="28"/>
      </w:rPr>
    </w:pPr>
    <w:r>
      <w:rPr>
        <w:rFonts w:ascii="Times New Roman" w:hAnsi="Times New Roman"/>
        <w:b w:val="1"/>
        <w:spacing w:val="60"/>
        <w:sz w:val="28"/>
      </w:rPr>
      <w:t>«НИЖЕГОРОДСКОЕ МЕТРО»</w:t>
    </w:r>
  </w:p>
  <w:p w14:paraId="07000000">
    <w:pPr>
      <w:widowControl w:val="1"/>
      <w:spacing w:after="0" w:line="288" w:lineRule="auto"/>
      <w:ind w:left="-567"/>
      <w:jc w:val="center"/>
      <w:rPr>
        <w:rFonts w:ascii="Times New Roman" w:hAnsi="Times New Roman"/>
        <w:b w:val="1"/>
        <w:spacing w:val="60"/>
        <w:sz w:val="28"/>
      </w:rPr>
    </w:pPr>
    <w:r>
      <w:rPr>
        <w:rFonts w:ascii="Times New Roman" w:hAnsi="Times New Roman"/>
        <w:b w:val="1"/>
        <w:sz w:val="28"/>
      </w:rPr>
      <w:t>(МП «Нижегородское метро»)</w:t>
    </w:r>
  </w:p>
  <w:p w14:paraId="08000000">
    <w:pPr>
      <w:pStyle w:val="Style_2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space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bullet"/>
      <w:suff w:val="space"/>
      <w:lvlText w:val=""/>
      <w:lvlJc w:val="left"/>
      <w:pPr>
        <w:widowControl w:val="1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decimal"/>
      <w:suff w:val="space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ind w:hanging="180" w:left="6829"/>
      </w:pPr>
    </w:lvl>
  </w:abstractNum>
  <w:abstractNum w:abstractNumId="3">
    <w:lvl w:ilvl="0">
      <w:start w:val="1"/>
      <w:numFmt w:val="bullet"/>
      <w:suff w:val="space"/>
      <w:lvlText w:val=""/>
      <w:lvlJc w:val="left"/>
      <w:pPr>
        <w:widowControl w:val="1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suff w:val="space"/>
      <w:lvlText w:val=""/>
      <w:lvlJc w:val="left"/>
      <w:pPr>
        <w:widowControl w:val="1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">
    <w:lvl w:ilvl="0">
      <w:start w:val="1"/>
      <w:numFmt w:val="bullet"/>
      <w:suff w:val="space"/>
      <w:lvlText w:val=""/>
      <w:lvlJc w:val="left"/>
      <w:pPr>
        <w:widowControl w:val="1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">
    <w:lvl w:ilvl="0">
      <w:start w:val="1"/>
      <w:numFmt w:val="bullet"/>
      <w:suff w:val="space"/>
      <w:lvlText w:val=""/>
      <w:lvlJc w:val="left"/>
      <w:pPr>
        <w:widowControl w:val="1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7">
    <w:lvl w:ilvl="0">
      <w:start w:val="1"/>
      <w:numFmt w:val="bullet"/>
      <w:suff w:val="space"/>
      <w:lvlText w:val=""/>
      <w:lvlJc w:val="left"/>
      <w:pPr>
        <w:widowControl w:val="1"/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Symbol" w:hAnsi="Symbol"/>
        <w:sz w:val="20"/>
      </w:rPr>
    </w:lvl>
  </w:abstractNum>
  <w:abstractNum w:abstractNumId="8">
    <w:lvl w:ilvl="0">
      <w:start w:val="1"/>
      <w:numFmt w:val="decimal"/>
      <w:suff w:val="space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9">
    <w:lvl w:ilvl="0">
      <w:start w:val="1"/>
      <w:numFmt w:val="bullet"/>
      <w:suff w:val="space"/>
      <w:lvlText w:val=""/>
      <w:lvlJc w:val="left"/>
      <w:pPr>
        <w:widowControl w:val="1"/>
        <w:ind w:hanging="360" w:left="1353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basedOn w:val="Style_6"/>
    <w:next w:val="Style_6"/>
    <w:link w:val="Style_7_ch"/>
    <w:uiPriority w:val="39"/>
    <w:pPr>
      <w:widowControl w:val="1"/>
      <w:spacing w:after="57"/>
      <w:ind w:left="283"/>
    </w:pPr>
  </w:style>
  <w:style w:styleId="Style_7_ch" w:type="character">
    <w:name w:val="toc 2"/>
    <w:basedOn w:val="Style_6_ch"/>
    <w:link w:val="Style_7"/>
  </w:style>
  <w:style w:styleId="Style_8" w:type="paragraph">
    <w:name w:val="toc 4"/>
    <w:basedOn w:val="Style_6"/>
    <w:next w:val="Style_6"/>
    <w:link w:val="Style_8_ch"/>
    <w:uiPriority w:val="39"/>
    <w:pPr>
      <w:widowControl w:val="1"/>
      <w:spacing w:after="57"/>
      <w:ind w:left="850"/>
    </w:pPr>
  </w:style>
  <w:style w:styleId="Style_8_ch" w:type="character">
    <w:name w:val="toc 4"/>
    <w:basedOn w:val="Style_6_ch"/>
    <w:link w:val="Style_8"/>
  </w:style>
  <w:style w:styleId="Style_9" w:type="paragraph">
    <w:name w:val="heading 7"/>
    <w:basedOn w:val="Style_6"/>
    <w:next w:val="Style_6"/>
    <w:link w:val="Style_9_ch"/>
    <w:uiPriority w:val="9"/>
    <w:qFormat/>
    <w:pPr>
      <w:keepNext w:val="1"/>
      <w:keepLines w:val="1"/>
      <w:widowControl w:val="1"/>
      <w:spacing w:after="0" w:before="40" w:line="259" w:lineRule="auto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6_ch"/>
    <w:link w:val="Style_9"/>
    <w:rPr>
      <w:color w:themeColor="text1" w:themeTint="A6" w:val="595959"/>
    </w:rPr>
  </w:style>
  <w:style w:styleId="Style_10" w:type="paragraph">
    <w:name w:val="Quote Char"/>
    <w:link w:val="Style_10_ch"/>
    <w:rPr>
      <w:i w:val="1"/>
    </w:rPr>
  </w:style>
  <w:style w:styleId="Style_10_ch" w:type="character">
    <w:name w:val="Quote Char"/>
    <w:link w:val="Style_10"/>
    <w:rPr>
      <w:i w:val="1"/>
    </w:rPr>
  </w:style>
  <w:style w:styleId="Style_11" w:type="paragraph">
    <w:name w:val="toc 6"/>
    <w:basedOn w:val="Style_6"/>
    <w:next w:val="Style_6"/>
    <w:link w:val="Style_11_ch"/>
    <w:uiPriority w:val="39"/>
    <w:pPr>
      <w:widowControl w:val="1"/>
      <w:spacing w:after="57"/>
      <w:ind w:left="1417"/>
    </w:pPr>
  </w:style>
  <w:style w:styleId="Style_11_ch" w:type="character">
    <w:name w:val="toc 6"/>
    <w:basedOn w:val="Style_6_ch"/>
    <w:link w:val="Style_11"/>
  </w:style>
  <w:style w:styleId="Style_12" w:type="paragraph">
    <w:name w:val="toc 7"/>
    <w:basedOn w:val="Style_6"/>
    <w:next w:val="Style_6"/>
    <w:link w:val="Style_12_ch"/>
    <w:uiPriority w:val="39"/>
    <w:pPr>
      <w:widowControl w:val="1"/>
      <w:spacing w:after="57"/>
      <w:ind w:left="1701"/>
    </w:pPr>
  </w:style>
  <w:style w:styleId="Style_12_ch" w:type="character">
    <w:name w:val="toc 7"/>
    <w:basedOn w:val="Style_6_ch"/>
    <w:link w:val="Style_12"/>
  </w:style>
  <w:style w:styleId="Style_13" w:type="paragraph">
    <w:name w:val="Intense Emphasis"/>
    <w:basedOn w:val="Style_14"/>
    <w:link w:val="Style_13_ch"/>
    <w:rPr>
      <w:i w:val="1"/>
      <w:color w:themeColor="accent1" w:themeShade="BF" w:val="376092"/>
    </w:rPr>
  </w:style>
  <w:style w:styleId="Style_13_ch" w:type="character">
    <w:name w:val="Intense Emphasis"/>
    <w:basedOn w:val="Style_14_ch"/>
    <w:link w:val="Style_13"/>
    <w:rPr>
      <w:i w:val="1"/>
      <w:color w:themeColor="accent1" w:themeShade="BF" w:val="376092"/>
    </w:rPr>
  </w:style>
  <w:style w:styleId="Style_15" w:type="paragraph">
    <w:name w:val="Heading 3 Char"/>
    <w:basedOn w:val="Style_14"/>
    <w:link w:val="Style_15_ch"/>
    <w:rPr>
      <w:rFonts w:ascii="Liberation Sans" w:hAnsi="Liberation Sans"/>
      <w:sz w:val="30"/>
    </w:rPr>
  </w:style>
  <w:style w:styleId="Style_15_ch" w:type="character">
    <w:name w:val="Heading 3 Char"/>
    <w:basedOn w:val="Style_14_ch"/>
    <w:link w:val="Style_15"/>
    <w:rPr>
      <w:rFonts w:ascii="Liberation Sans" w:hAnsi="Liberation Sans"/>
      <w:sz w:val="30"/>
    </w:rPr>
  </w:style>
  <w:style w:styleId="Style_4" w:type="paragraph">
    <w:name w:val="No Spacing"/>
    <w:link w:val="Style_4_ch"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styleId="Style_4_ch" w:type="character">
    <w:name w:val="No Spacing"/>
    <w:link w:val="Style_4"/>
    <w:rPr>
      <w:rFonts w:ascii="Times New Roman" w:hAnsi="Times New Roman"/>
      <w:sz w:val="28"/>
    </w:rPr>
  </w:style>
  <w:style w:styleId="Style_16" w:type="paragraph">
    <w:name w:val="Endnote"/>
    <w:basedOn w:val="Style_6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6_ch"/>
    <w:link w:val="Style_16"/>
    <w:rPr>
      <w:sz w:val="20"/>
    </w:rPr>
  </w:style>
  <w:style w:styleId="Style_17" w:type="paragraph">
    <w:name w:val="heading 3"/>
    <w:basedOn w:val="Style_6"/>
    <w:next w:val="Style_6"/>
    <w:link w:val="Style_17_ch"/>
    <w:uiPriority w:val="9"/>
    <w:qFormat/>
    <w:pPr>
      <w:keepNext w:val="1"/>
      <w:keepLines w:val="1"/>
      <w:widowControl w:val="1"/>
      <w:spacing w:after="80" w:before="160" w:line="259" w:lineRule="auto"/>
      <w:ind/>
      <w:outlineLvl w:val="2"/>
    </w:pPr>
    <w:rPr>
      <w:color w:themeColor="accent1" w:themeShade="BF" w:val="376092"/>
      <w:sz w:val="28"/>
    </w:rPr>
  </w:style>
  <w:style w:styleId="Style_17_ch" w:type="character">
    <w:name w:val="heading 3"/>
    <w:basedOn w:val="Style_6_ch"/>
    <w:link w:val="Style_17"/>
    <w:rPr>
      <w:color w:themeColor="accent1" w:themeShade="BF" w:val="376092"/>
      <w:sz w:val="28"/>
    </w:rPr>
  </w:style>
  <w:style w:styleId="Style_18" w:type="paragraph">
    <w:name w:val="Subtitle Char"/>
    <w:basedOn w:val="Style_14"/>
    <w:link w:val="Style_18_ch"/>
    <w:rPr>
      <w:sz w:val="24"/>
    </w:rPr>
  </w:style>
  <w:style w:styleId="Style_18_ch" w:type="character">
    <w:name w:val="Subtitle Char"/>
    <w:basedOn w:val="Style_14_ch"/>
    <w:link w:val="Style_18"/>
    <w:rPr>
      <w:sz w:val="24"/>
    </w:rPr>
  </w:style>
  <w:style w:styleId="Style_19" w:type="paragraph">
    <w:name w:val="caption"/>
    <w:basedOn w:val="Style_6"/>
    <w:next w:val="Style_6"/>
    <w:link w:val="Style_19_ch"/>
    <w:rPr>
      <w:b w:val="1"/>
      <w:color w:themeColor="accent1" w:val="4F81BD"/>
      <w:sz w:val="18"/>
    </w:rPr>
  </w:style>
  <w:style w:styleId="Style_19_ch" w:type="character">
    <w:name w:val="caption"/>
    <w:basedOn w:val="Style_6_ch"/>
    <w:link w:val="Style_19"/>
    <w:rPr>
      <w:b w:val="1"/>
      <w:color w:themeColor="accent1" w:val="4F81BD"/>
      <w:sz w:val="18"/>
    </w:rPr>
  </w:style>
  <w:style w:styleId="Style_20" w:type="paragraph">
    <w:name w:val="Quote"/>
    <w:basedOn w:val="Style_6"/>
    <w:next w:val="Style_6"/>
    <w:link w:val="Style_20_ch"/>
    <w:pPr>
      <w:widowControl w:val="1"/>
      <w:spacing w:after="160" w:before="160" w:line="259" w:lineRule="auto"/>
      <w:ind/>
      <w:jc w:val="center"/>
    </w:pPr>
    <w:rPr>
      <w:i w:val="1"/>
      <w:color w:themeColor="text1" w:themeTint="BF" w:val="404040"/>
    </w:rPr>
  </w:style>
  <w:style w:styleId="Style_20_ch" w:type="character">
    <w:name w:val="Quote"/>
    <w:basedOn w:val="Style_6_ch"/>
    <w:link w:val="Style_20"/>
    <w:rPr>
      <w:i w:val="1"/>
      <w:color w:themeColor="text1" w:themeTint="BF" w:val="404040"/>
    </w:rPr>
  </w:style>
  <w:style w:styleId="Style_21" w:type="paragraph">
    <w:name w:val="Style4"/>
    <w:basedOn w:val="Style_6"/>
    <w:link w:val="Style_21_ch"/>
    <w:pPr>
      <w:widowControl w:val="0"/>
      <w:spacing w:after="0" w:line="240" w:lineRule="auto"/>
      <w:ind/>
      <w:jc w:val="right"/>
    </w:pPr>
    <w:rPr>
      <w:rFonts w:ascii="Arial" w:hAnsi="Arial"/>
      <w:sz w:val="20"/>
    </w:rPr>
  </w:style>
  <w:style w:styleId="Style_21_ch" w:type="character">
    <w:name w:val="Style4"/>
    <w:basedOn w:val="Style_6_ch"/>
    <w:link w:val="Style_21"/>
    <w:rPr>
      <w:rFonts w:ascii="Arial" w:hAnsi="Arial"/>
      <w:sz w:val="20"/>
    </w:rPr>
  </w:style>
  <w:style w:styleId="Style_22" w:type="paragraph">
    <w:name w:val="Title Char"/>
    <w:basedOn w:val="Style_14"/>
    <w:link w:val="Style_22_ch"/>
    <w:rPr>
      <w:sz w:val="48"/>
    </w:rPr>
  </w:style>
  <w:style w:styleId="Style_22_ch" w:type="character">
    <w:name w:val="Title Char"/>
    <w:basedOn w:val="Style_14_ch"/>
    <w:link w:val="Style_22"/>
    <w:rPr>
      <w:sz w:val="48"/>
    </w:rPr>
  </w:style>
  <w:style w:styleId="Style_23" w:type="paragraph">
    <w:name w:val="heading 9"/>
    <w:basedOn w:val="Style_6"/>
    <w:next w:val="Style_6"/>
    <w:link w:val="Style_23_ch"/>
    <w:uiPriority w:val="9"/>
    <w:qFormat/>
    <w:pPr>
      <w:keepNext w:val="1"/>
      <w:keepLines w:val="1"/>
      <w:widowControl w:val="1"/>
      <w:spacing w:after="0" w:line="259" w:lineRule="auto"/>
      <w:ind/>
      <w:outlineLvl w:val="8"/>
    </w:pPr>
    <w:rPr>
      <w:color w:themeColor="text1" w:themeTint="D8" w:val="272727"/>
    </w:rPr>
  </w:style>
  <w:style w:styleId="Style_23_ch" w:type="character">
    <w:name w:val="heading 9"/>
    <w:basedOn w:val="Style_6_ch"/>
    <w:link w:val="Style_23"/>
    <w:rPr>
      <w:color w:themeColor="text1" w:themeTint="D8" w:val="272727"/>
    </w:rPr>
  </w:style>
  <w:style w:styleId="Style_2" w:type="paragraph">
    <w:name w:val="header"/>
    <w:basedOn w:val="Style_6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6_ch"/>
    <w:link w:val="Style_2"/>
  </w:style>
  <w:style w:styleId="Style_24" w:type="paragraph">
    <w:name w:val="TOC Heading"/>
    <w:link w:val="Style_24_ch"/>
  </w:style>
  <w:style w:styleId="Style_24_ch" w:type="character">
    <w:name w:val="TOC Heading"/>
    <w:link w:val="Style_24"/>
  </w:style>
  <w:style w:styleId="Style_25" w:type="paragraph">
    <w:name w:val="Heading 8 Char"/>
    <w:basedOn w:val="Style_14"/>
    <w:link w:val="Style_25_ch"/>
    <w:rPr>
      <w:rFonts w:ascii="Liberation Sans" w:hAnsi="Liberation Sans"/>
      <w:i w:val="1"/>
      <w:sz w:val="22"/>
    </w:rPr>
  </w:style>
  <w:style w:styleId="Style_25_ch" w:type="character">
    <w:name w:val="Heading 8 Char"/>
    <w:basedOn w:val="Style_14_ch"/>
    <w:link w:val="Style_25"/>
    <w:rPr>
      <w:rFonts w:ascii="Liberation Sans" w:hAnsi="Liberation Sans"/>
      <w:i w:val="1"/>
      <w:sz w:val="22"/>
    </w:rPr>
  </w:style>
  <w:style w:styleId="Style_26" w:type="paragraph">
    <w:name w:val="toc 3"/>
    <w:basedOn w:val="Style_6"/>
    <w:next w:val="Style_6"/>
    <w:link w:val="Style_26_ch"/>
    <w:uiPriority w:val="39"/>
    <w:pPr>
      <w:widowControl w:val="1"/>
      <w:spacing w:after="57"/>
      <w:ind w:left="567"/>
    </w:pPr>
  </w:style>
  <w:style w:styleId="Style_26_ch" w:type="character">
    <w:name w:val="toc 3"/>
    <w:basedOn w:val="Style_6_ch"/>
    <w:link w:val="Style_26"/>
  </w:style>
  <w:style w:styleId="Style_27" w:type="paragraph">
    <w:name w:val="Intense Quote Char"/>
    <w:link w:val="Style_27_ch"/>
    <w:rPr>
      <w:i w:val="1"/>
    </w:rPr>
  </w:style>
  <w:style w:styleId="Style_27_ch" w:type="character">
    <w:name w:val="Intense Quote Char"/>
    <w:link w:val="Style_27"/>
    <w:rPr>
      <w:i w:val="1"/>
    </w:rPr>
  </w:style>
  <w:style w:styleId="Style_28" w:type="paragraph">
    <w:name w:val="Footer Char"/>
    <w:basedOn w:val="Style_14"/>
    <w:link w:val="Style_28_ch"/>
  </w:style>
  <w:style w:styleId="Style_28_ch" w:type="character">
    <w:name w:val="Footer Char"/>
    <w:basedOn w:val="Style_14_ch"/>
    <w:link w:val="Style_28"/>
  </w:style>
  <w:style w:styleId="Style_29" w:type="paragraph">
    <w:name w:val="heading 5"/>
    <w:basedOn w:val="Style_6"/>
    <w:next w:val="Style_6"/>
    <w:link w:val="Style_29_ch"/>
    <w:uiPriority w:val="9"/>
    <w:qFormat/>
    <w:pPr>
      <w:keepNext w:val="1"/>
      <w:keepLines w:val="1"/>
      <w:widowControl w:val="1"/>
      <w:spacing w:after="40" w:before="80" w:line="259" w:lineRule="auto"/>
      <w:ind/>
      <w:outlineLvl w:val="4"/>
    </w:pPr>
    <w:rPr>
      <w:color w:themeColor="accent1" w:themeShade="BF" w:val="376092"/>
    </w:rPr>
  </w:style>
  <w:style w:styleId="Style_29_ch" w:type="character">
    <w:name w:val="heading 5"/>
    <w:basedOn w:val="Style_6_ch"/>
    <w:link w:val="Style_29"/>
    <w:rPr>
      <w:color w:themeColor="accent1" w:themeShade="BF" w:val="376092"/>
    </w:rPr>
  </w:style>
  <w:style w:styleId="Style_30" w:type="paragraph">
    <w:name w:val="Heading 5 Char"/>
    <w:basedOn w:val="Style_14"/>
    <w:link w:val="Style_30_ch"/>
    <w:rPr>
      <w:rFonts w:ascii="Liberation Sans" w:hAnsi="Liberation Sans"/>
      <w:b w:val="1"/>
      <w:sz w:val="24"/>
    </w:rPr>
  </w:style>
  <w:style w:styleId="Style_30_ch" w:type="character">
    <w:name w:val="Heading 5 Char"/>
    <w:basedOn w:val="Style_14_ch"/>
    <w:link w:val="Style_30"/>
    <w:rPr>
      <w:rFonts w:ascii="Liberation Sans" w:hAnsi="Liberation Sans"/>
      <w:b w:val="1"/>
      <w:sz w:val="24"/>
    </w:rPr>
  </w:style>
  <w:style w:styleId="Style_31" w:type="paragraph">
    <w:name w:val="Heading 4 Char"/>
    <w:basedOn w:val="Style_14"/>
    <w:link w:val="Style_31_ch"/>
    <w:rPr>
      <w:rFonts w:ascii="Liberation Sans" w:hAnsi="Liberation Sans"/>
      <w:b w:val="1"/>
      <w:sz w:val="26"/>
    </w:rPr>
  </w:style>
  <w:style w:styleId="Style_31_ch" w:type="character">
    <w:name w:val="Heading 4 Char"/>
    <w:basedOn w:val="Style_14_ch"/>
    <w:link w:val="Style_31"/>
    <w:rPr>
      <w:rFonts w:ascii="Liberation Sans" w:hAnsi="Liberation Sans"/>
      <w:b w:val="1"/>
      <w:sz w:val="26"/>
    </w:rPr>
  </w:style>
  <w:style w:styleId="Style_5" w:type="paragraph">
    <w:name w:val="List Paragraph"/>
    <w:basedOn w:val="Style_6"/>
    <w:link w:val="Style_5_ch"/>
    <w:pPr>
      <w:widowControl w:val="1"/>
      <w:spacing w:after="160" w:line="259" w:lineRule="auto"/>
      <w:ind w:left="720"/>
      <w:contextualSpacing w:val="1"/>
    </w:pPr>
  </w:style>
  <w:style w:styleId="Style_5_ch" w:type="character">
    <w:name w:val="List Paragraph"/>
    <w:basedOn w:val="Style_6_ch"/>
    <w:link w:val="Style_5"/>
  </w:style>
  <w:style w:styleId="Style_32" w:type="paragraph">
    <w:name w:val="heading 1"/>
    <w:basedOn w:val="Style_6"/>
    <w:next w:val="Style_6"/>
    <w:link w:val="Style_32_ch"/>
    <w:uiPriority w:val="9"/>
    <w:qFormat/>
    <w:pPr>
      <w:keepNext w:val="1"/>
      <w:keepLines w:val="1"/>
      <w:widowControl w:val="1"/>
      <w:spacing w:after="80" w:before="360" w:line="259" w:lineRule="auto"/>
      <w:ind/>
      <w:outlineLvl w:val="0"/>
    </w:pPr>
    <w:rPr>
      <w:rFonts w:asciiTheme="majorAscii" w:hAnsiTheme="majorHAnsi"/>
      <w:color w:themeColor="accent1" w:themeShade="BF" w:val="376092"/>
      <w:sz w:val="40"/>
    </w:rPr>
  </w:style>
  <w:style w:styleId="Style_32_ch" w:type="character">
    <w:name w:val="heading 1"/>
    <w:basedOn w:val="Style_6_ch"/>
    <w:link w:val="Style_32"/>
    <w:rPr>
      <w:rFonts w:asciiTheme="majorAscii" w:hAnsiTheme="majorHAnsi"/>
      <w:color w:themeColor="accent1" w:themeShade="BF" w:val="376092"/>
      <w:sz w:val="40"/>
    </w:rPr>
  </w:style>
  <w:style w:styleId="Style_33" w:type="paragraph">
    <w:name w:val="Heading 7 Char"/>
    <w:basedOn w:val="Style_14"/>
    <w:link w:val="Style_33_ch"/>
    <w:rPr>
      <w:rFonts w:ascii="Liberation Sans" w:hAnsi="Liberation Sans"/>
      <w:b w:val="1"/>
      <w:i w:val="1"/>
      <w:sz w:val="22"/>
    </w:rPr>
  </w:style>
  <w:style w:styleId="Style_33_ch" w:type="character">
    <w:name w:val="Heading 7 Char"/>
    <w:basedOn w:val="Style_14_ch"/>
    <w:link w:val="Style_33"/>
    <w:rPr>
      <w:rFonts w:ascii="Liberation Sans" w:hAnsi="Liberation Sans"/>
      <w:b w:val="1"/>
      <w:i w:val="1"/>
      <w:sz w:val="22"/>
    </w:rPr>
  </w:style>
  <w:style w:styleId="Style_34" w:type="paragraph">
    <w:name w:val="Hyperlink"/>
    <w:link w:val="Style_34_ch"/>
    <w:rPr>
      <w:color w:themeColor="hyperlink" w:val="0000FF"/>
      <w:u w:val="single"/>
    </w:rPr>
  </w:style>
  <w:style w:styleId="Style_34_ch" w:type="character">
    <w:name w:val="Hyperlink"/>
    <w:link w:val="Style_34"/>
    <w:rPr>
      <w:color w:themeColor="hyperlink" w:val="0000FF"/>
      <w:u w:val="single"/>
    </w:rPr>
  </w:style>
  <w:style w:styleId="Style_35" w:type="paragraph">
    <w:name w:val="Footnote"/>
    <w:basedOn w:val="Style_6"/>
    <w:link w:val="Style_35_ch"/>
    <w:pPr>
      <w:widowControl w:val="1"/>
      <w:spacing w:after="40" w:line="240" w:lineRule="auto"/>
      <w:ind/>
    </w:pPr>
    <w:rPr>
      <w:sz w:val="18"/>
    </w:rPr>
  </w:style>
  <w:style w:styleId="Style_35_ch" w:type="character">
    <w:name w:val="Footnote"/>
    <w:basedOn w:val="Style_6_ch"/>
    <w:link w:val="Style_35"/>
    <w:rPr>
      <w:sz w:val="18"/>
    </w:rPr>
  </w:style>
  <w:style w:styleId="Style_36" w:type="paragraph">
    <w:name w:val="heading 8"/>
    <w:basedOn w:val="Style_6"/>
    <w:next w:val="Style_6"/>
    <w:link w:val="Style_36_ch"/>
    <w:uiPriority w:val="9"/>
    <w:qFormat/>
    <w:pPr>
      <w:keepNext w:val="1"/>
      <w:keepLines w:val="1"/>
      <w:widowControl w:val="1"/>
      <w:spacing w:after="0" w:line="259" w:lineRule="auto"/>
      <w:ind/>
      <w:outlineLvl w:val="7"/>
    </w:pPr>
    <w:rPr>
      <w:i w:val="1"/>
      <w:color w:themeColor="text1" w:themeTint="D8" w:val="272727"/>
    </w:rPr>
  </w:style>
  <w:style w:styleId="Style_36_ch" w:type="character">
    <w:name w:val="heading 8"/>
    <w:basedOn w:val="Style_6_ch"/>
    <w:link w:val="Style_36"/>
    <w:rPr>
      <w:i w:val="1"/>
      <w:color w:themeColor="text1" w:themeTint="D8" w:val="272727"/>
    </w:rPr>
  </w:style>
  <w:style w:styleId="Style_37" w:type="paragraph">
    <w:name w:val="toc 1"/>
    <w:basedOn w:val="Style_6"/>
    <w:next w:val="Style_6"/>
    <w:link w:val="Style_37_ch"/>
    <w:uiPriority w:val="39"/>
    <w:pPr>
      <w:widowControl w:val="1"/>
      <w:spacing w:after="57"/>
      <w:ind/>
    </w:pPr>
  </w:style>
  <w:style w:styleId="Style_37_ch" w:type="character">
    <w:name w:val="toc 1"/>
    <w:basedOn w:val="Style_6_ch"/>
    <w:link w:val="Style_37"/>
  </w:style>
  <w:style w:styleId="Style_38" w:type="paragraph">
    <w:name w:val="Header and Footer"/>
    <w:link w:val="Style_38_ch"/>
    <w:pPr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endnote reference"/>
    <w:basedOn w:val="Style_14"/>
    <w:link w:val="Style_39_ch"/>
    <w:rPr>
      <w:vertAlign w:val="superscript"/>
    </w:rPr>
  </w:style>
  <w:style w:styleId="Style_39_ch" w:type="character">
    <w:name w:val="endnote reference"/>
    <w:basedOn w:val="Style_14_ch"/>
    <w:link w:val="Style_39"/>
    <w:rPr>
      <w:vertAlign w:val="superscript"/>
    </w:rPr>
  </w:style>
  <w:style w:styleId="Style_40" w:type="paragraph">
    <w:name w:val="toc 9"/>
    <w:basedOn w:val="Style_6"/>
    <w:next w:val="Style_6"/>
    <w:link w:val="Style_40_ch"/>
    <w:uiPriority w:val="39"/>
    <w:pPr>
      <w:widowControl w:val="1"/>
      <w:spacing w:after="57"/>
      <w:ind w:left="2268"/>
    </w:pPr>
  </w:style>
  <w:style w:styleId="Style_40_ch" w:type="character">
    <w:name w:val="toc 9"/>
    <w:basedOn w:val="Style_6_ch"/>
    <w:link w:val="Style_40"/>
  </w:style>
  <w:style w:styleId="Style_41" w:type="paragraph">
    <w:name w:val="footnote reference"/>
    <w:basedOn w:val="Style_14"/>
    <w:link w:val="Style_41_ch"/>
    <w:rPr>
      <w:vertAlign w:val="superscript"/>
    </w:rPr>
  </w:style>
  <w:style w:styleId="Style_41_ch" w:type="character">
    <w:name w:val="footnote reference"/>
    <w:basedOn w:val="Style_14_ch"/>
    <w:link w:val="Style_41"/>
    <w:rPr>
      <w:vertAlign w:val="superscript"/>
    </w:rPr>
  </w:style>
  <w:style w:styleId="Style_1" w:type="paragraph">
    <w:name w:val="footer"/>
    <w:basedOn w:val="Style_6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6_ch"/>
    <w:link w:val="Style_1"/>
  </w:style>
  <w:style w:styleId="Style_42" w:type="paragraph">
    <w:name w:val="Intense Quote"/>
    <w:basedOn w:val="Style_6"/>
    <w:next w:val="Style_6"/>
    <w:link w:val="Style_4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 w:line="259" w:lineRule="auto"/>
      <w:ind w:left="864" w:right="864"/>
      <w:jc w:val="center"/>
    </w:pPr>
    <w:rPr>
      <w:i w:val="1"/>
      <w:color w:themeColor="accent1" w:themeShade="BF" w:val="376092"/>
    </w:rPr>
  </w:style>
  <w:style w:styleId="Style_42_ch" w:type="character">
    <w:name w:val="Intense Quote"/>
    <w:basedOn w:val="Style_6_ch"/>
    <w:link w:val="Style_42"/>
    <w:rPr>
      <w:i w:val="1"/>
      <w:color w:themeColor="accent1" w:themeShade="BF" w:val="376092"/>
    </w:rPr>
  </w:style>
  <w:style w:styleId="Style_43" w:type="paragraph">
    <w:name w:val="toc 8"/>
    <w:basedOn w:val="Style_6"/>
    <w:next w:val="Style_6"/>
    <w:link w:val="Style_43_ch"/>
    <w:uiPriority w:val="39"/>
    <w:pPr>
      <w:widowControl w:val="1"/>
      <w:spacing w:after="57"/>
      <w:ind w:left="1984"/>
    </w:pPr>
  </w:style>
  <w:style w:styleId="Style_43_ch" w:type="character">
    <w:name w:val="toc 8"/>
    <w:basedOn w:val="Style_6_ch"/>
    <w:link w:val="Style_43"/>
  </w:style>
  <w:style w:styleId="Style_44" w:type="paragraph">
    <w:name w:val="Balloon Text"/>
    <w:basedOn w:val="Style_6"/>
    <w:link w:val="Style_4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44_ch" w:type="character">
    <w:name w:val="Balloon Text"/>
    <w:basedOn w:val="Style_6_ch"/>
    <w:link w:val="Style_44"/>
    <w:rPr>
      <w:rFonts w:ascii="Tahoma" w:hAnsi="Tahoma"/>
      <w:sz w:val="16"/>
    </w:rPr>
  </w:style>
  <w:style w:styleId="Style_45" w:type="paragraph">
    <w:name w:val="Header Char"/>
    <w:basedOn w:val="Style_14"/>
    <w:link w:val="Style_45_ch"/>
  </w:style>
  <w:style w:styleId="Style_45_ch" w:type="character">
    <w:name w:val="Header Char"/>
    <w:basedOn w:val="Style_14_ch"/>
    <w:link w:val="Style_45"/>
  </w:style>
  <w:style w:styleId="Style_46" w:type="paragraph">
    <w:name w:val="Intense Reference"/>
    <w:basedOn w:val="Style_14"/>
    <w:link w:val="Style_46_ch"/>
    <w:rPr>
      <w:b w:val="1"/>
      <w:smallCaps w:val="1"/>
      <w:color w:themeColor="accent1" w:themeShade="BF" w:val="376092"/>
      <w:spacing w:val="5"/>
    </w:rPr>
  </w:style>
  <w:style w:styleId="Style_46_ch" w:type="character">
    <w:name w:val="Intense Reference"/>
    <w:basedOn w:val="Style_14_ch"/>
    <w:link w:val="Style_46"/>
    <w:rPr>
      <w:b w:val="1"/>
      <w:smallCaps w:val="1"/>
      <w:color w:themeColor="accent1" w:themeShade="BF" w:val="376092"/>
      <w:spacing w:val="5"/>
    </w:rPr>
  </w:style>
  <w:style w:styleId="Style_47" w:type="paragraph">
    <w:name w:val="toc 5"/>
    <w:basedOn w:val="Style_6"/>
    <w:next w:val="Style_6"/>
    <w:link w:val="Style_47_ch"/>
    <w:uiPriority w:val="39"/>
    <w:pPr>
      <w:widowControl w:val="1"/>
      <w:spacing w:after="57"/>
      <w:ind w:left="1134"/>
    </w:pPr>
  </w:style>
  <w:style w:styleId="Style_47_ch" w:type="character">
    <w:name w:val="toc 5"/>
    <w:basedOn w:val="Style_6_ch"/>
    <w:link w:val="Style_47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48" w:type="paragraph">
    <w:name w:val="table of figures"/>
    <w:basedOn w:val="Style_6"/>
    <w:next w:val="Style_6"/>
    <w:link w:val="Style_48_ch"/>
    <w:pPr>
      <w:widowControl w:val="1"/>
      <w:spacing w:after="0"/>
      <w:ind/>
    </w:pPr>
  </w:style>
  <w:style w:styleId="Style_48_ch" w:type="character">
    <w:name w:val="table of figures"/>
    <w:basedOn w:val="Style_6_ch"/>
    <w:link w:val="Style_48"/>
  </w:style>
  <w:style w:styleId="Style_49" w:type="paragraph">
    <w:name w:val="Heading 9 Char"/>
    <w:basedOn w:val="Style_14"/>
    <w:link w:val="Style_49_ch"/>
    <w:rPr>
      <w:rFonts w:ascii="Liberation Sans" w:hAnsi="Liberation Sans"/>
      <w:i w:val="1"/>
      <w:sz w:val="21"/>
    </w:rPr>
  </w:style>
  <w:style w:styleId="Style_49_ch" w:type="character">
    <w:name w:val="Heading 9 Char"/>
    <w:basedOn w:val="Style_14_ch"/>
    <w:link w:val="Style_49"/>
    <w:rPr>
      <w:rFonts w:ascii="Liberation Sans" w:hAnsi="Liberation Sans"/>
      <w:i w:val="1"/>
      <w:sz w:val="21"/>
    </w:rPr>
  </w:style>
  <w:style w:styleId="Style_50" w:type="paragraph">
    <w:name w:val="Heading 1 Char"/>
    <w:basedOn w:val="Style_14"/>
    <w:link w:val="Style_50_ch"/>
    <w:rPr>
      <w:rFonts w:ascii="Liberation Sans" w:hAnsi="Liberation Sans"/>
      <w:sz w:val="40"/>
    </w:rPr>
  </w:style>
  <w:style w:styleId="Style_50_ch" w:type="character">
    <w:name w:val="Heading 1 Char"/>
    <w:basedOn w:val="Style_14_ch"/>
    <w:link w:val="Style_50"/>
    <w:rPr>
      <w:rFonts w:ascii="Liberation Sans" w:hAnsi="Liberation Sans"/>
      <w:sz w:val="40"/>
    </w:rPr>
  </w:style>
  <w:style w:styleId="Style_51" w:type="paragraph">
    <w:name w:val="Subtitle"/>
    <w:basedOn w:val="Style_6"/>
    <w:next w:val="Style_6"/>
    <w:link w:val="Style_51_ch"/>
    <w:uiPriority w:val="11"/>
    <w:qFormat/>
    <w:pPr>
      <w:widowControl w:val="1"/>
      <w:numPr>
        <w:ilvl w:val="1"/>
      </w:numPr>
      <w:spacing w:after="160" w:line="259" w:lineRule="auto"/>
      <w:ind/>
    </w:pPr>
    <w:rPr>
      <w:color w:themeColor="text1" w:themeTint="A6" w:val="595959"/>
      <w:spacing w:val="15"/>
      <w:sz w:val="28"/>
    </w:rPr>
  </w:style>
  <w:style w:styleId="Style_51_ch" w:type="character">
    <w:name w:val="Subtitle"/>
    <w:basedOn w:val="Style_6_ch"/>
    <w:link w:val="Style_51"/>
    <w:rPr>
      <w:color w:themeColor="text1" w:themeTint="A6" w:val="595959"/>
      <w:spacing w:val="15"/>
      <w:sz w:val="28"/>
    </w:rPr>
  </w:style>
  <w:style w:styleId="Style_52" w:type="paragraph">
    <w:name w:val="Heading 6 Char"/>
    <w:basedOn w:val="Style_14"/>
    <w:link w:val="Style_52_ch"/>
    <w:rPr>
      <w:rFonts w:ascii="Liberation Sans" w:hAnsi="Liberation Sans"/>
      <w:b w:val="1"/>
      <w:sz w:val="22"/>
    </w:rPr>
  </w:style>
  <w:style w:styleId="Style_52_ch" w:type="character">
    <w:name w:val="Heading 6 Char"/>
    <w:basedOn w:val="Style_14_ch"/>
    <w:link w:val="Style_52"/>
    <w:rPr>
      <w:rFonts w:ascii="Liberation Sans" w:hAnsi="Liberation Sans"/>
      <w:b w:val="1"/>
      <w:sz w:val="22"/>
    </w:rPr>
  </w:style>
  <w:style w:styleId="Style_53" w:type="paragraph">
    <w:name w:val="Title"/>
    <w:basedOn w:val="Style_6"/>
    <w:next w:val="Style_6"/>
    <w:link w:val="Style_53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53_ch" w:type="character">
    <w:name w:val="Title"/>
    <w:basedOn w:val="Style_6_ch"/>
    <w:link w:val="Style_53"/>
    <w:rPr>
      <w:rFonts w:asciiTheme="majorAscii" w:hAnsiTheme="majorHAnsi"/>
      <w:spacing w:val="-10"/>
      <w:sz w:val="56"/>
    </w:rPr>
  </w:style>
  <w:style w:styleId="Style_54" w:type="paragraph">
    <w:name w:val="heading 4"/>
    <w:basedOn w:val="Style_6"/>
    <w:next w:val="Style_6"/>
    <w:link w:val="Style_54_ch"/>
    <w:uiPriority w:val="9"/>
    <w:qFormat/>
    <w:pPr>
      <w:keepNext w:val="1"/>
      <w:keepLines w:val="1"/>
      <w:widowControl w:val="1"/>
      <w:spacing w:after="40" w:before="80" w:line="259" w:lineRule="auto"/>
      <w:ind/>
      <w:outlineLvl w:val="3"/>
    </w:pPr>
    <w:rPr>
      <w:i w:val="1"/>
      <w:color w:themeColor="accent1" w:themeShade="BF" w:val="376092"/>
    </w:rPr>
  </w:style>
  <w:style w:styleId="Style_54_ch" w:type="character">
    <w:name w:val="heading 4"/>
    <w:basedOn w:val="Style_6_ch"/>
    <w:link w:val="Style_54"/>
    <w:rPr>
      <w:i w:val="1"/>
      <w:color w:themeColor="accent1" w:themeShade="BF" w:val="376092"/>
    </w:rPr>
  </w:style>
  <w:style w:styleId="Style_55" w:type="paragraph">
    <w:name w:val="heading 2"/>
    <w:basedOn w:val="Style_6"/>
    <w:next w:val="Style_6"/>
    <w:link w:val="Style_55_ch"/>
    <w:uiPriority w:val="9"/>
    <w:qFormat/>
    <w:pPr>
      <w:keepNext w:val="1"/>
      <w:keepLines w:val="1"/>
      <w:widowControl w:val="1"/>
      <w:spacing w:after="80" w:before="160" w:line="259" w:lineRule="auto"/>
      <w:ind/>
      <w:outlineLvl w:val="1"/>
    </w:pPr>
    <w:rPr>
      <w:rFonts w:asciiTheme="majorAscii" w:hAnsiTheme="majorHAnsi"/>
      <w:color w:themeColor="accent1" w:themeShade="BF" w:val="376092"/>
      <w:sz w:val="32"/>
    </w:rPr>
  </w:style>
  <w:style w:styleId="Style_55_ch" w:type="character">
    <w:name w:val="heading 2"/>
    <w:basedOn w:val="Style_6_ch"/>
    <w:link w:val="Style_55"/>
    <w:rPr>
      <w:rFonts w:asciiTheme="majorAscii" w:hAnsiTheme="majorHAnsi"/>
      <w:color w:themeColor="accent1" w:themeShade="BF" w:val="376092"/>
      <w:sz w:val="32"/>
    </w:rPr>
  </w:style>
  <w:style w:styleId="Style_56" w:type="paragraph">
    <w:name w:val="Heading 2 Char"/>
    <w:basedOn w:val="Style_14"/>
    <w:link w:val="Style_56_ch"/>
    <w:rPr>
      <w:rFonts w:ascii="Liberation Sans" w:hAnsi="Liberation Sans"/>
      <w:sz w:val="34"/>
    </w:rPr>
  </w:style>
  <w:style w:styleId="Style_56_ch" w:type="character">
    <w:name w:val="Heading 2 Char"/>
    <w:basedOn w:val="Style_14_ch"/>
    <w:link w:val="Style_56"/>
    <w:rPr>
      <w:rFonts w:ascii="Liberation Sans" w:hAnsi="Liberation Sans"/>
      <w:sz w:val="34"/>
    </w:rPr>
  </w:style>
  <w:style w:styleId="Style_57" w:type="paragraph">
    <w:name w:val="heading 6"/>
    <w:basedOn w:val="Style_6"/>
    <w:next w:val="Style_6"/>
    <w:link w:val="Style_57_ch"/>
    <w:uiPriority w:val="9"/>
    <w:qFormat/>
    <w:pPr>
      <w:keepNext w:val="1"/>
      <w:keepLines w:val="1"/>
      <w:widowControl w:val="1"/>
      <w:spacing w:after="0" w:before="40" w:line="259" w:lineRule="auto"/>
      <w:ind/>
      <w:outlineLvl w:val="5"/>
    </w:pPr>
    <w:rPr>
      <w:i w:val="1"/>
      <w:color w:themeColor="text1" w:themeTint="A6" w:val="595959"/>
    </w:rPr>
  </w:style>
  <w:style w:styleId="Style_57_ch" w:type="character">
    <w:name w:val="heading 6"/>
    <w:basedOn w:val="Style_6_ch"/>
    <w:link w:val="Style_57"/>
    <w:rPr>
      <w:i w:val="1"/>
      <w:color w:themeColor="text1" w:themeTint="A6" w:val="595959"/>
    </w:rPr>
  </w:style>
  <w:style w:styleId="Style_58" w:type="table">
    <w:name w:val="List Table 5 Dark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Grid Table 1 Light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1" w:type="table">
    <w:name w:val="List Table 4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List Table 3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Grid Table 7 Colorful - Accent 4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Grid Table 4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st Table 5 Dark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List Table 4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Grid Table 4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5 Dark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Grid Table 6 Colorful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Grid Table 3 - Accent 1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List Table 2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Grid Table 7 Colorful - Accent 1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3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6 Colorful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7 Colorful - Accent 2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5 Dark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List Table 7 Colorful - Accent 3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2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Grid Table 7 Colorful - Accent 6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Grid Table 2 - Accent 6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Grid Table 6 Colorful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5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7 Colorful - Accent 4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Grid Table 4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6 Colorful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3 - Accent 6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6 Colorful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59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6 Colorful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Bordered &amp; Lined - Accent 4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st Table 2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4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6 Colorful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2 - Accent 3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Bordered &amp; Lined - Accent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5 Dark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Grid Table 1 Light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2 - Accent 5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ned - Accent 1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Plain Table 4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5 Dark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Plain Table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Grid Table 1 Light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List Table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Grid Table 2 - Accent 1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Plain Table 5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st Table 6 Colorful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6 Colorful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6 Colorful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Grid Table 6 Colorful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Bordered &amp; Lined - Accent 2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2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1 Light - Accent 1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5 Dark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7 Colorful - Accent 5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Lined - Accent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st Table 4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4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Grid Table 1 Light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5 Dark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5 Dark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st Table 6 Colorful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st Table 7 Colorful - Accent 2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Bordered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3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Grid Table 2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Grid Table 1 Light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Lined - Accent 6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2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7 Colorful - Accent 6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Grid Table 7 Colorful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st Table 1 Light - Accent 5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Bordered &amp; Lined - Accent 5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List Table 1 Light - Accent 6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ned - Accent 5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List Table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3 - Accent 2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Bordered &amp; Lined - Accent 6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st Table 3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5 Dark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5 Dark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1 Light - Accent 3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Bordered &amp; Lined - Accent 3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1 Light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Bordered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4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7 Colorful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1 Light - Accent 4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2 - Accent 4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Grid Table 5 Dark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Grid Table 1 Light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Grid Table 3 - Accent 4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Plain Table 3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4 - Accent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ned - Accent 2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Grid Table 3 - Accent 5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Bordered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2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6 Colorful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Bordered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Grid Table 2 - Accent 2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3 - Accent 5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7 Colorful - Accent 1"/>
    <w:basedOn w:val="Style_59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Grid Table 5 Dark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Bordered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6 Colorful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Bordered &amp; Lined - Accent 1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Grid Table 3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Bordered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ned - Accent 4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Bordered - Accent 2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Table Grid Light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Grid Table 4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ned - Accent 3"/>
    <w:basedOn w:val="Style_59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7 Colorful - Accent 5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Plain Table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4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st Table 3 - Accent 4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Grid Table 3 - Accent 3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7 Colorful - Accent 3"/>
    <w:basedOn w:val="Style_59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st Table 1 Light - Accent 2"/>
    <w:basedOn w:val="Style_59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List Table 5 Dark - Accent 1"/>
    <w:basedOn w:val="Style_59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3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Grid Table 1 Light - Accent 6"/>
    <w:basedOn w:val="Style_59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header4.xml" Type="http://schemas.openxmlformats.org/officeDocument/2006/relationships/header"/>
  <Relationship Id="rId1" Target="footer1.xml" Type="http://schemas.openxmlformats.org/officeDocument/2006/relationships/footer"/>
  <Relationship Id="rId8" Target="styles.xml" Type="http://schemas.openxmlformats.org/officeDocument/2006/relationships/styles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5" Target="media/2.png" Type="http://schemas.openxmlformats.org/officeDocument/2006/relationships/image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WithEffects.xml" Type="http://schemas.microsoft.com/office/2007/relationships/stylesWithEffects"/>
  <Relationship Id="rId6" Target="fontTable.xml" Type="http://schemas.openxmlformats.org/officeDocument/2006/relationships/fontTable"/>
  <Relationship Id="rId11" Target="theme/theme1.xml" Type="http://schemas.openxmlformats.org/officeDocument/2006/relationships/theme"/>
</Relationships>

</file>

<file path=word/_rels/header3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2026-04-17T11:07:00Z</dcterms:created>
  <dcterms:modified xsi:type="dcterms:W3CDTF">2026-04-22T08:51:45Z</dcterms:modified>
</cp:coreProperties>
</file>