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_rels/item1.xml.rels" ContentType="application/vnd.openxmlformats-package.relationship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jc w:val="center"/>
        <w:rPr>
          <w:rFonts w:eastAsia="Calibri"/>
          <w:b/>
          <w:caps/>
        </w:rPr>
      </w:pPr>
      <w:r>
        <w:rPr>
          <w:rFonts w:eastAsia="Calibri"/>
          <w:b/>
          <w:caps/>
        </w:rPr>
        <w:t xml:space="preserve"> </w:t>
      </w:r>
      <w:r>
        <w:rPr>
          <w:rFonts w:eastAsia="Calibri"/>
          <w:b/>
          <w:caps/>
        </w:rPr>
        <w:t xml:space="preserve">Задание </w:t>
      </w:r>
    </w:p>
    <w:p>
      <w:pPr>
        <w:pStyle w:val="Style21"/>
        <w:numPr>
          <w:ilvl w:val="0"/>
          <w:numId w:val="0"/>
        </w:numPr>
        <w:tabs>
          <w:tab w:val="left" w:pos="708" w:leader="none"/>
        </w:tabs>
        <w:spacing w:before="0" w:after="0"/>
        <w:ind w:hanging="0" w:left="0"/>
        <w:jc w:val="center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на выполнение работ по устройству сетей наружного освещения города Нижнего Новгорода на участках: ул. Электровозная от Кузбасской до Болотникова; от Ухтомского до Движенцев, ост. Рынок</w:t>
      </w:r>
    </w:p>
    <w:p>
      <w:pPr>
        <w:pStyle w:val="Style21"/>
        <w:numPr>
          <w:ilvl w:val="0"/>
          <w:numId w:val="0"/>
        </w:numPr>
        <w:tabs>
          <w:tab w:val="left" w:pos="708" w:leader="none"/>
        </w:tabs>
        <w:spacing w:before="0" w:after="0"/>
        <w:ind w:hanging="0" w:left="0"/>
        <w:jc w:val="center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</w:r>
    </w:p>
    <w:p>
      <w:pPr>
        <w:pStyle w:val="Normal"/>
        <w:keepNext w:val="true"/>
        <w:jc w:val="center"/>
        <w:rPr>
          <w:rFonts w:eastAsia="Calibri"/>
          <w:b/>
          <w:caps/>
          <w:sz w:val="21"/>
          <w:szCs w:val="21"/>
        </w:rPr>
      </w:pPr>
      <w:r>
        <w:rPr>
          <w:rFonts w:eastAsia="Calibri"/>
          <w:b/>
          <w:caps/>
          <w:sz w:val="21"/>
          <w:szCs w:val="21"/>
        </w:rPr>
      </w:r>
    </w:p>
    <w:tbl>
      <w:tblPr>
        <w:tblW w:w="10665" w:type="dxa"/>
        <w:jc w:val="left"/>
        <w:tblInd w:w="-2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710"/>
        <w:gridCol w:w="3114"/>
        <w:gridCol w:w="6841"/>
      </w:tblGrid>
      <w:tr>
        <w:trPr/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объекта закупки</w:t>
            </w:r>
          </w:p>
        </w:tc>
        <w:tc>
          <w:tcPr>
            <w:tcW w:w="6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numPr>
                <w:ilvl w:val="0"/>
                <w:numId w:val="0"/>
              </w:numPr>
              <w:tabs>
                <w:tab w:val="left" w:pos="708" w:leader="none"/>
              </w:tabs>
              <w:spacing w:before="0" w:after="0"/>
              <w:ind w:hanging="0" w:left="0"/>
              <w:rPr>
                <w:b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Выполнение работ по устройству сетей наружного освещения города Нижнего Новгорода на участках: ул. Электровозная от Кузбасской до Болотникова; от Ухтомского до Движенцев, ост. Рынок в том числе: Составление исполнительной съемки; Вынос в натуру осей трассы кабельной линии</w:t>
            </w:r>
          </w:p>
        </w:tc>
      </w:tr>
      <w:tr>
        <w:trPr/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9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val="clear" w:color="auto" w:fill="FFFFFF"/>
              <w:jc w:val="both"/>
              <w:rPr>
                <w:color w:val="0000FF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Задание</w:t>
            </w:r>
          </w:p>
        </w:tc>
      </w:tr>
      <w:tr>
        <w:trPr/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2.1.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Общие требования к выполнению работ, их качеству, в том числе к технологии производства работ, методам производства работ, организационно-технологической схеме производства работ, безопасности выполняемых работ</w:t>
            </w:r>
          </w:p>
        </w:tc>
        <w:tc>
          <w:tcPr>
            <w:tcW w:w="6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Объем, содержание работ по устройству сетей наружного освещения и другие, предъявляемые к работам требования должны соответствовать утвержденной Проектно-</w:t>
            </w:r>
            <w:r>
              <w:rPr>
                <w:sz w:val="22"/>
                <w:szCs w:val="22"/>
              </w:rPr>
              <w:t xml:space="preserve">сметной </w:t>
            </w:r>
            <w:r>
              <w:rPr>
                <w:sz w:val="22"/>
                <w:szCs w:val="22"/>
              </w:rPr>
              <w:t>документации</w:t>
            </w:r>
            <w:r>
              <w:rPr>
                <w:sz w:val="22"/>
                <w:szCs w:val="22"/>
              </w:rPr>
              <w:t xml:space="preserve"> (далее — ПСД).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Используемые в </w:t>
            </w:r>
            <w:r>
              <w:rPr>
                <w:sz w:val="22"/>
                <w:szCs w:val="22"/>
              </w:rPr>
              <w:t>ПСД</w:t>
            </w:r>
            <w:r>
              <w:rPr>
                <w:sz w:val="22"/>
                <w:szCs w:val="22"/>
              </w:rPr>
              <w:t xml:space="preserve"> ссылки на товарные знаки (при наличии) обусловлены требованиями Положения о составе проектной документации и требованиях к их содержанию, утвержденного Постановлением Правительства Российской Федерации от 16 февраля 2008 года № 87 «О составе разделов проектной документации и требованиях к их содержанию», необходимостью описания проектных решений.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 наличии ссылок на товарные знаки в Рабочей документации, указанные товарные знаки подразумевает возможность их замены на эквивалентные (соответствующие или превосходящие по качественным характеристикам), при этом признаками эквивалентности служат требования Рабочей (проектной) документации к функциональным решениям при применении оборудования, изделий, материалов.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Если Подрядчик предлагает использовать при выполнении работ материалы (комплектующие и оборудование), не предусмотренные Рабочей (проектной) документацией, то применение таких материалов допускается в случае, если они являются эквивалентами материалам, указанным в Рабочей (проектной) документации.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Отклонение параметров объекта от Рабочей (проектной) документации, необходимость которого выявилась в процессе производства работ, допускается только по согласованию с Заказчиком (изменение номенклатуры используемых материалов, изделий, конструкций и оборудования допустимо без изменения сметной стоимости работ).</w:t>
            </w:r>
          </w:p>
        </w:tc>
      </w:tr>
      <w:tr>
        <w:trPr>
          <w:trHeight w:val="558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2.2.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Результат работ</w:t>
            </w:r>
          </w:p>
        </w:tc>
        <w:tc>
          <w:tcPr>
            <w:tcW w:w="6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Результатами работ являются выполненные работы по устройству сетей наружного освещения города Нижнего Новгорода на участках: ул. Электровозная от Кузбасской до Болотникова; от Ухтомского до Движенцев, ост. Рынок в том числе: Составление исполнительной съемки; Вынос в натуру осей трассы кабельной линии, соответствующие требованиям Градостроительного кодекса РФ, техническим регламентам, санитарным нормам, требованиям пожарной безопасности и иным нормативным актам.</w:t>
            </w:r>
          </w:p>
          <w:p>
            <w:pPr>
              <w:pStyle w:val="Normal"/>
              <w:spacing w:before="0" w:after="60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Качество выполнения работ должно соответствовать </w:t>
            </w:r>
            <w:r>
              <w:rPr>
                <w:iCs/>
                <w:sz w:val="22"/>
                <w:szCs w:val="22"/>
              </w:rPr>
              <w:t>ПСД,</w:t>
            </w:r>
            <w:r>
              <w:rPr>
                <w:iCs/>
                <w:sz w:val="22"/>
                <w:szCs w:val="22"/>
              </w:rPr>
              <w:t xml:space="preserve"> требованиям действующих норм, правил, государственных стандартов РФ, нормативных правовых актов, технических регламентов и т.д., применяемым к видам работ, в соответствии с действующими техническими регламентами, нормами и правилами.</w:t>
            </w:r>
          </w:p>
        </w:tc>
      </w:tr>
      <w:tr>
        <w:trPr>
          <w:trHeight w:val="558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2.3.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  <w:lang w:val="x-none"/>
              </w:rPr>
              <w:t>Сдача исполнительной документации</w:t>
            </w:r>
            <w:r>
              <w:rPr>
                <w:b/>
                <w:iCs/>
                <w:sz w:val="22"/>
                <w:szCs w:val="22"/>
              </w:rPr>
              <w:t xml:space="preserve"> Заказчику</w:t>
            </w:r>
          </w:p>
        </w:tc>
        <w:tc>
          <w:tcPr>
            <w:tcW w:w="6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формирования структурированного документа о приемке Подрядчик в полном объеме передает Заказчику исполнительную документацию, включающую:</w:t>
            </w:r>
          </w:p>
          <w:p>
            <w:pPr>
              <w:pStyle w:val="Normal"/>
              <w:spacing w:before="0" w:after="20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ab/>
              <w:t>Приказы о назначении ответственного за производство работ, строительный контроль;</w:t>
            </w:r>
          </w:p>
          <w:p>
            <w:pPr>
              <w:pStyle w:val="Normal"/>
              <w:spacing w:before="0" w:after="20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ab/>
              <w:t>Акт технической готовности электромонтажных работ;</w:t>
            </w:r>
          </w:p>
          <w:p>
            <w:pPr>
              <w:pStyle w:val="Normal"/>
              <w:spacing w:before="0" w:after="20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ab/>
              <w:t>Ведомость смонтированного электрического оборудования;</w:t>
            </w:r>
          </w:p>
          <w:p>
            <w:pPr>
              <w:pStyle w:val="Normal"/>
              <w:spacing w:before="0" w:after="20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ab/>
              <w:t>Акт оценки качества выполненных работ</w:t>
            </w:r>
          </w:p>
          <w:p>
            <w:pPr>
              <w:pStyle w:val="Normal"/>
              <w:spacing w:before="0" w:after="20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ab/>
              <w:t>Акты освидетельствования скрытых работ и установленных конструкций;</w:t>
            </w:r>
          </w:p>
          <w:p>
            <w:pPr>
              <w:pStyle w:val="Normal"/>
              <w:spacing w:before="0" w:after="20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ab/>
              <w:t>Схемы установки оборудования;</w:t>
            </w:r>
          </w:p>
          <w:p>
            <w:pPr>
              <w:pStyle w:val="Normal"/>
              <w:spacing w:before="0" w:after="20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ab/>
              <w:t>Исполнительная схема прокладки СНО;</w:t>
            </w:r>
          </w:p>
          <w:p>
            <w:pPr>
              <w:pStyle w:val="Normal"/>
              <w:spacing w:before="0" w:after="20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ab/>
              <w:t>Сертификат качества на материалы;</w:t>
            </w:r>
          </w:p>
          <w:p>
            <w:pPr>
              <w:pStyle w:val="Normal"/>
              <w:spacing w:before="0" w:after="20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ab/>
              <w:t>Сертификат соответствия на материалы;</w:t>
            </w:r>
          </w:p>
          <w:p>
            <w:pPr>
              <w:pStyle w:val="Normal"/>
              <w:spacing w:before="0" w:after="20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ab/>
              <w:t>Паспорта на материалы;</w:t>
            </w:r>
          </w:p>
          <w:p>
            <w:pPr>
              <w:pStyle w:val="Normal"/>
              <w:spacing w:before="0" w:after="20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ab/>
              <w:t>Паспорта и техническую документацию на оборудование (в т.ч. инструкцию по эксплуатации) с указанием гарантийного срока на каждый вид оборудования;</w:t>
            </w:r>
          </w:p>
          <w:p>
            <w:pPr>
              <w:pStyle w:val="Normal"/>
              <w:spacing w:before="0" w:after="20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ab/>
              <w:t>Исполнительная съемка СНО с внесением трассы в ГИСОГД НО.</w:t>
            </w:r>
          </w:p>
        </w:tc>
      </w:tr>
      <w:tr>
        <w:trPr>
          <w:trHeight w:val="558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2.4.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Требования к качественным характеристикам работ, требования к функциональным характеристикам товаров (материалов, оборудования), подлежащих использованию при выполнении работ</w:t>
            </w: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6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tabs>
                <w:tab w:val="clear" w:pos="708"/>
                <w:tab w:val="left" w:pos="0" w:leader="none"/>
                <w:tab w:val="left" w:pos="1134" w:leader="none"/>
              </w:tabs>
              <w:spacing w:before="0"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 используемые для выполнения работ материалы и оборудование должны соответствовать обязательным нормативно-техническим документам, а также иметь соответствующие сертификаты, технические паспорта, аттестаты и другие документы, удостоверяющие их качество.</w:t>
            </w:r>
          </w:p>
          <w:p>
            <w:pPr>
              <w:pStyle w:val="Normal"/>
              <w:keepLines/>
              <w:tabs>
                <w:tab w:val="clear" w:pos="708"/>
                <w:tab w:val="left" w:pos="0" w:leader="none"/>
                <w:tab w:val="left" w:pos="1134" w:leader="none"/>
              </w:tabs>
              <w:spacing w:before="0"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Применяемые материалы и оборудование должны быть новыми, в заводской комплектации и упаковке, ранее не используемыми, не восстановленными и не собранными из восстановленных компонентов, соответствовать заявленным техническим характеристикам, комплектными, серийными, а также иметь срок изготовления не ранее </w:t>
            </w:r>
            <w:r>
              <w:rPr>
                <w:sz w:val="22"/>
                <w:szCs w:val="22"/>
                <w:shd w:fill="auto" w:val="clear"/>
              </w:rPr>
              <w:t>2025 г.</w:t>
            </w:r>
          </w:p>
          <w:p>
            <w:pPr>
              <w:pStyle w:val="ListParagraph"/>
              <w:spacing w:lineRule="auto" w:line="240" w:before="0" w:after="60"/>
              <w:ind w:left="0"/>
              <w:contextualSpacing/>
              <w:jc w:val="both"/>
              <w:rPr>
                <w:rFonts w:ascii="Times New Roman" w:hAnsi="Times New Roman" w:eastAsia="Calibri" w:cs="Times New Roman"/>
                <w:i/>
                <w:i/>
              </w:rPr>
            </w:pPr>
            <w:r>
              <w:rPr>
                <w:rFonts w:cs="Times New Roman" w:ascii="Times New Roman" w:hAnsi="Times New Roman"/>
              </w:rPr>
              <w:t>Используемые на объекте материалы и оборудование должны быть аттестованы и соответствовать техническим требованиям: ГОСТ, ТУ. Данные технические требования должны быть аналогичны требованиям, предъявляемым при аттестации данного вида оборудования.</w:t>
            </w:r>
          </w:p>
        </w:tc>
      </w:tr>
      <w:tr>
        <w:trPr/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гарантийному сроку на товары, работы, услуги и (или) объему предоставления гарантий его качества</w:t>
            </w:r>
          </w:p>
        </w:tc>
        <w:tc>
          <w:tcPr>
            <w:tcW w:w="6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lineRule="auto" w:line="240"/>
              <w:ind w:left="0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cs="Times New Roman" w:ascii="Times New Roman" w:hAnsi="Times New Roman"/>
                <w:iCs/>
              </w:rPr>
              <w:t>Гарантия качества предоставляется на все произведенные работы и использованные в ходе производства работ материалы, изделия, конструкции и оборудование и составляет не менее</w:t>
            </w:r>
            <w:r>
              <w:rPr>
                <w:rFonts w:cs="Times New Roman" w:ascii="Times New Roman" w:hAnsi="Times New Roman"/>
                <w:iCs/>
                <w:shd w:fill="auto" w:val="clear"/>
              </w:rPr>
              <w:t xml:space="preserve"> 61 </w:t>
            </w:r>
            <w:r>
              <w:rPr>
                <w:rFonts w:cs="Times New Roman" w:ascii="Times New Roman" w:hAnsi="Times New Roman"/>
                <w:iCs/>
              </w:rPr>
              <w:t>(шестидесяти одного) месяца.</w:t>
            </w:r>
          </w:p>
          <w:p>
            <w:pPr>
              <w:pStyle w:val="ListParagraph"/>
              <w:spacing w:lineRule="auto" w:line="240"/>
              <w:ind w:left="0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cs="Times New Roman" w:ascii="Times New Roman" w:hAnsi="Times New Roman"/>
                <w:iCs/>
              </w:rPr>
              <w:t>Если в период гарантийного срока обнаружатся недостатки или дефекты, то Подрядчик обязан направить своего представителя для участия в составлении акта, фиксирующего дефекты и (в случае, если не докажет отсутствие своей вины) обязан устранить их за свой счет в сроки, согласованные Сторонами, но не более</w:t>
            </w:r>
            <w:r>
              <w:rPr>
                <w:rFonts w:cs="Times New Roman" w:ascii="Times New Roman" w:hAnsi="Times New Roman"/>
                <w:iCs/>
                <w:shd w:fill="auto" w:val="clear"/>
              </w:rPr>
              <w:t xml:space="preserve"> 7 к</w:t>
            </w:r>
            <w:r>
              <w:rPr>
                <w:rFonts w:cs="Times New Roman" w:ascii="Times New Roman" w:hAnsi="Times New Roman"/>
                <w:iCs/>
              </w:rPr>
              <w:t>алендарных дней. Гарантийный срок в этом случае продлевается на период устранения дефектов.</w:t>
            </w:r>
          </w:p>
          <w:p>
            <w:pPr>
              <w:pStyle w:val="ListParagraph"/>
              <w:spacing w:lineRule="auto" w:line="240"/>
              <w:ind w:left="0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cs="Times New Roman" w:ascii="Times New Roman" w:hAnsi="Times New Roman"/>
                <w:iCs/>
              </w:rPr>
              <w:t>Началом срока гарантии следует считать следующий день после подписания структурированного документа о приемке.</w:t>
            </w:r>
          </w:p>
          <w:p>
            <w:pPr>
              <w:pStyle w:val="ListParagraph"/>
              <w:spacing w:lineRule="auto" w:line="240"/>
              <w:ind w:left="0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cs="Times New Roman" w:ascii="Times New Roman" w:hAnsi="Times New Roman"/>
                <w:iCs/>
              </w:rPr>
              <w:t>В случае отказа (уклонения) Подрядчика от устранения недостатков или дефектов, Заказчик вправе:</w:t>
            </w:r>
          </w:p>
          <w:p>
            <w:pPr>
              <w:pStyle w:val="ListParagraph"/>
              <w:spacing w:lineRule="auto" w:line="240"/>
              <w:ind w:left="0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cs="Times New Roman" w:ascii="Times New Roman" w:hAnsi="Times New Roman"/>
                <w:iCs/>
              </w:rPr>
              <w:t>1. Провести экспертизу, как своими силами, так и с помощью привлеченных экспертов. При этом расходы на экспертизу несет Подрядчик, за исключением случаев, когда экспертизой установлено отсутствие нарушений Подрядчиком условий договора  или причинной связи между действиями Подрядчика и обнаруженными недостатками.</w:t>
            </w:r>
          </w:p>
          <w:p>
            <w:pPr>
              <w:pStyle w:val="ListParagraph"/>
              <w:spacing w:lineRule="auto" w:line="240" w:before="0" w:after="200"/>
              <w:ind w:left="0"/>
              <w:contextualSpacing/>
              <w:jc w:val="both"/>
              <w:rPr>
                <w:rFonts w:ascii="Times New Roman" w:hAnsi="Times New Roman" w:cs="Times New Roman"/>
                <w:iCs/>
                <w:highlight w:val="yellow"/>
              </w:rPr>
            </w:pPr>
            <w:r>
              <w:rPr>
                <w:rFonts w:cs="Times New Roman" w:ascii="Times New Roman" w:hAnsi="Times New Roman"/>
                <w:iCs/>
              </w:rPr>
              <w:t>2. Устранить недостатки или дефекты своими силами или с помощью третьих лиц, с возложением причинённых расходов и убытков на Подрядчика.</w:t>
            </w:r>
          </w:p>
        </w:tc>
      </w:tr>
      <w:tr>
        <w:trPr/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Место выполнения работы</w:t>
            </w:r>
          </w:p>
        </w:tc>
        <w:tc>
          <w:tcPr>
            <w:tcW w:w="6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город Нижний Новгород </w:t>
            </w:r>
            <w:r>
              <w:rPr>
                <w:bCs/>
                <w:iCs/>
                <w:sz w:val="22"/>
                <w:szCs w:val="22"/>
              </w:rPr>
              <w:t>на участках: ул. Электровозная от Кузбасской до Болотникова; от Ухтомского до Движенцев, ост. Рынок</w:t>
            </w:r>
          </w:p>
        </w:tc>
      </w:tr>
      <w:tr>
        <w:trPr/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Срок исполнения Договора (отдельных этапов исполнения Договора, если проектом договора предусмотрены такие этапы)</w:t>
            </w:r>
          </w:p>
        </w:tc>
        <w:tc>
          <w:tcPr>
            <w:tcW w:w="6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Срок выполнения работ: с даты заключения Договора </w:t>
            </w:r>
            <w:r>
              <w:rPr>
                <w:sz w:val="22"/>
                <w:szCs w:val="22"/>
                <w:shd w:fill="auto" w:val="clear"/>
              </w:rPr>
              <w:t>по 21.08.2026 (включительно),</w:t>
            </w:r>
            <w:r>
              <w:rPr>
                <w:sz w:val="22"/>
                <w:szCs w:val="22"/>
                <w:shd w:fill="auto" w:val="clear"/>
              </w:rPr>
              <w:t>в</w:t>
            </w:r>
            <w:r>
              <w:rPr>
                <w:sz w:val="22"/>
                <w:szCs w:val="22"/>
                <w:shd w:fill="auto" w:val="clear"/>
                <w:lang w:eastAsia="zh-CN"/>
              </w:rPr>
              <w:t xml:space="preserve"> данный срок входит поставка оборудования и материалов.</w:t>
            </w:r>
          </w:p>
          <w:p>
            <w:pPr>
              <w:pStyle w:val="Normal"/>
              <w:widowControl w:val="false"/>
              <w:jc w:val="both"/>
              <w:rPr>
                <w:i/>
                <w:i/>
                <w:kern w:val="2"/>
                <w:sz w:val="22"/>
                <w:szCs w:val="22"/>
              </w:rPr>
            </w:pPr>
            <w:r>
              <w:rPr>
                <w:i/>
                <w:kern w:val="2"/>
                <w:sz w:val="22"/>
                <w:szCs w:val="22"/>
              </w:rPr>
              <w:t>Работы выполняются в один этап. Промежуточные сроки выполнения работ не устанавливаются, отдельные этапы выполнения работ Заказчиком не принимаются и не оплачиваются.</w:t>
            </w:r>
          </w:p>
          <w:p>
            <w:pPr>
              <w:pStyle w:val="Normal"/>
              <w:widowControl w:val="false"/>
              <w:jc w:val="both"/>
              <w:rPr>
                <w:i/>
                <w:i/>
                <w:kern w:val="2"/>
                <w:sz w:val="22"/>
                <w:szCs w:val="22"/>
              </w:rPr>
            </w:pPr>
            <w:r>
              <w:rPr>
                <w:i/>
                <w:kern w:val="2"/>
                <w:sz w:val="22"/>
                <w:szCs w:val="22"/>
              </w:rPr>
              <w:t>Подрядчик имеет право досрочно выполнить работы и сдать объект Заказчику.</w:t>
            </w:r>
          </w:p>
          <w:p>
            <w:pPr>
              <w:pStyle w:val="Normal"/>
              <w:shd w:val="clear" w:color="auto" w:fill="FFFFFF"/>
              <w:jc w:val="both"/>
              <w:rPr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приемки выполненных работ: в течение 20 (Двадцати) рабочих дней, следующих за днем поступления документа о приемке.</w:t>
            </w:r>
          </w:p>
          <w:p>
            <w:pPr>
              <w:pStyle w:val="Normal"/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исполнения договора: договор действует п</w:t>
            </w:r>
            <w:r>
              <w:rPr>
                <w:sz w:val="22"/>
                <w:szCs w:val="22"/>
                <w:shd w:fill="auto" w:val="clear"/>
              </w:rPr>
              <w:t>о 31 декабря 2026</w:t>
            </w:r>
            <w:r>
              <w:rPr>
                <w:sz w:val="22"/>
                <w:szCs w:val="22"/>
                <w:shd w:fill="FF8000" w:val="clear"/>
              </w:rPr>
              <w:t xml:space="preserve"> </w:t>
            </w:r>
            <w:r>
              <w:rPr>
                <w:sz w:val="22"/>
                <w:szCs w:val="22"/>
                <w:shd w:fill="auto" w:val="clear"/>
              </w:rPr>
              <w:t xml:space="preserve">года </w:t>
            </w:r>
            <w:r>
              <w:rPr>
                <w:sz w:val="22"/>
                <w:szCs w:val="22"/>
              </w:rPr>
              <w:t>включительно, а в части оплаты – до полного исполнения своих обязательств Сторонами.</w:t>
            </w:r>
          </w:p>
        </w:tc>
      </w:tr>
      <w:tr>
        <w:trPr>
          <w:trHeight w:val="558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6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-74" w:leader="none"/>
              </w:tabs>
              <w:jc w:val="both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</w:tbl>
    <w:p>
      <w:pPr>
        <w:pStyle w:val="Normal"/>
        <w:jc w:val="both"/>
        <w:rPr>
          <w:sz w:val="21"/>
          <w:szCs w:val="21"/>
        </w:rPr>
      </w:pPr>
      <w:r>
        <w:rPr>
          <w:sz w:val="21"/>
          <w:szCs w:val="21"/>
        </w:rPr>
      </w:r>
    </w:p>
    <w:sectPr>
      <w:type w:val="nextPage"/>
      <w:pgSz w:w="11906" w:h="16838"/>
      <w:pgMar w:left="1134" w:right="850" w:gutter="0" w:header="0" w:top="56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swiss"/>
    <w:pitch w:val="variable"/>
  </w:font>
  <w:font w:name="Arial">
    <w:charset w:val="01"/>
    <w:family w:val="swiss"/>
    <w:pitch w:val="variable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05261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9d0b4c"/>
    <w:pPr>
      <w:keepNext w:val="true"/>
      <w:keepLines/>
      <w:spacing w:lineRule="auto" w:line="276" w:before="240" w:after="0"/>
      <w:outlineLvl w:val="0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841bf2"/>
    <w:pPr>
      <w:keepNext w:val="true"/>
      <w:keepLines/>
      <w:spacing w:lineRule="auto" w:line="276"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6b5596"/>
    <w:pPr>
      <w:keepNext w:val="true"/>
      <w:keepLines/>
      <w:spacing w:before="40" w:after="0"/>
      <w:outlineLvl w:val="2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1" w:customStyle="1">
    <w:name w:val="Текст ТД Знак"/>
    <w:link w:val="Style21"/>
    <w:qFormat/>
    <w:locked/>
    <w:rsid w:val="00fa165a"/>
    <w:rPr>
      <w:rFonts w:ascii="Times New Roman" w:hAnsi="Times New Roman" w:eastAsia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211dce"/>
    <w:rPr>
      <w:color w:themeColor="hyperlink" w:val="0000FF"/>
      <w:u w:val="single"/>
    </w:rPr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sid w:val="009f19e6"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uiPriority w:val="9"/>
    <w:qFormat/>
    <w:rsid w:val="009d0b4c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a54255"/>
    <w:rPr>
      <w:color w:val="605E5C"/>
      <w:shd w:fill="E1DFDD" w:val="clear"/>
    </w:rPr>
  </w:style>
  <w:style w:type="character" w:styleId="111" w:customStyle="1">
    <w:name w:val="Заголовок 1 Знак1"/>
    <w:basedOn w:val="DefaultParagraphFont"/>
    <w:uiPriority w:val="9"/>
    <w:qFormat/>
    <w:locked/>
    <w:rsid w:val="00c33691"/>
    <w:rPr>
      <w:rFonts w:ascii="Arial" w:hAnsi="Arial" w:cs="Times New Roman"/>
      <w:b/>
      <w:kern w:val="2"/>
      <w:sz w:val="32"/>
      <w:lang w:val="x-none" w:eastAsia="en-US"/>
    </w:rPr>
  </w:style>
  <w:style w:type="character" w:styleId="2" w:customStyle="1">
    <w:name w:val="Заголовок 2 Знак"/>
    <w:basedOn w:val="DefaultParagraphFont"/>
    <w:uiPriority w:val="9"/>
    <w:semiHidden/>
    <w:qFormat/>
    <w:rsid w:val="00841bf2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Style13" w:customStyle="1">
    <w:name w:val="Основной текст Знак"/>
    <w:basedOn w:val="DefaultParagraphFont"/>
    <w:semiHidden/>
    <w:qFormat/>
    <w:rsid w:val="00841bf2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21" w:customStyle="1">
    <w:name w:val="Основной текст 2 Знак"/>
    <w:basedOn w:val="DefaultParagraphFont"/>
    <w:link w:val="BodyText2"/>
    <w:uiPriority w:val="99"/>
    <w:qFormat/>
    <w:rsid w:val="00fc06f7"/>
    <w:rPr/>
  </w:style>
  <w:style w:type="character" w:styleId="Style14" w:customStyle="1">
    <w:name w:val="Абзац списка Знак"/>
    <w:link w:val="ListParagraph"/>
    <w:uiPriority w:val="34"/>
    <w:qFormat/>
    <w:locked/>
    <w:rsid w:val="00fc06f7"/>
    <w:rPr/>
  </w:style>
  <w:style w:type="character" w:styleId="TimesNewRoman" w:customStyle="1">
    <w:name w:val="Основной текст + Times New Roman"/>
    <w:qFormat/>
    <w:rsid w:val="00912718"/>
    <w:rPr>
      <w:rFonts w:ascii="Times New Roman" w:hAnsi="Times New Roman" w:cs="Times New Roman"/>
      <w:strike w:val="false"/>
      <w:dstrike w:val="false"/>
      <w:color w:val="000000"/>
      <w:spacing w:val="4"/>
      <w:w w:val="100"/>
      <w:sz w:val="15"/>
      <w:u w:val="none"/>
      <w:effect w:val="none"/>
      <w:lang w:val="ru-RU" w:eastAsia="ru-RU"/>
    </w:rPr>
  </w:style>
  <w:style w:type="character" w:styleId="TimesNewRoman2" w:customStyle="1">
    <w:name w:val="Основной текст + Times New Roman2"/>
    <w:qFormat/>
    <w:rsid w:val="00de4597"/>
    <w:rPr>
      <w:rFonts w:ascii="Times New Roman" w:hAnsi="Times New Roman"/>
      <w:color w:val="000000"/>
      <w:spacing w:val="4"/>
      <w:w w:val="100"/>
      <w:sz w:val="15"/>
      <w:u w:val="none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162868"/>
    <w:rPr>
      <w:sz w:val="16"/>
      <w:szCs w:val="16"/>
    </w:rPr>
  </w:style>
  <w:style w:type="character" w:styleId="Style15" w:customStyle="1">
    <w:name w:val="Текст примечания Знак"/>
    <w:basedOn w:val="DefaultParagraphFont"/>
    <w:uiPriority w:val="99"/>
    <w:semiHidden/>
    <w:qFormat/>
    <w:rsid w:val="00162868"/>
    <w:rPr>
      <w:sz w:val="20"/>
      <w:szCs w:val="20"/>
    </w:rPr>
  </w:style>
  <w:style w:type="character" w:styleId="Style16" w:customStyle="1">
    <w:name w:val="Тема примечания Знак"/>
    <w:basedOn w:val="Style15"/>
    <w:link w:val="annotationsubject"/>
    <w:uiPriority w:val="99"/>
    <w:semiHidden/>
    <w:qFormat/>
    <w:rsid w:val="00162868"/>
    <w:rPr>
      <w:b/>
      <w:bCs/>
      <w:sz w:val="20"/>
      <w:szCs w:val="20"/>
    </w:rPr>
  </w:style>
  <w:style w:type="character" w:styleId="Style17" w:customStyle="1">
    <w:name w:val="Текст сноски Знак"/>
    <w:basedOn w:val="DefaultParagraphFont"/>
    <w:uiPriority w:val="99"/>
    <w:semiHidden/>
    <w:qFormat/>
    <w:rsid w:val="00b94b6f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8">
    <w:name w:val="Символ сноски"/>
    <w:uiPriority w:val="99"/>
    <w:semiHidden/>
    <w:unhideWhenUsed/>
    <w:qFormat/>
    <w:rsid w:val="00b94b6f"/>
    <w:rPr>
      <w:vertAlign w:val="superscript"/>
    </w:rPr>
  </w:style>
  <w:style w:type="character" w:styleId="user">
    <w:name w:val="Символ сноски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3" w:customStyle="1">
    <w:name w:val="Заголовок 3 Знак"/>
    <w:basedOn w:val="DefaultParagraphFont"/>
    <w:uiPriority w:val="9"/>
    <w:semiHidden/>
    <w:qFormat/>
    <w:rsid w:val="006b5596"/>
    <w:rPr>
      <w:rFonts w:ascii="Cambria" w:hAnsi="Cambria" w:eastAsia="" w:cs="" w:asciiTheme="majorHAnsi" w:cstheme="majorBidi" w:eastAsiaTheme="majorEastAsia" w:hAnsiTheme="majorHAnsi"/>
      <w:color w:themeColor="accent1" w:themeShade="7f" w:val="243F60"/>
      <w:sz w:val="24"/>
      <w:szCs w:val="24"/>
      <w:lang w:eastAsia="ru-RU"/>
    </w:rPr>
  </w:style>
  <w:style w:type="character" w:styleId="31" w:customStyle="1">
    <w:name w:val="Заголовок 3 Знак1"/>
    <w:uiPriority w:val="9"/>
    <w:qFormat/>
    <w:rsid w:val="00c768af"/>
    <w:rPr>
      <w:rFonts w:ascii="Arial" w:hAnsi="Arial" w:eastAsia="Times New Roman"/>
      <w:b/>
      <w:sz w:val="24"/>
      <w:lang w:val="x-none" w:eastAsia="x-none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link w:val="Style13"/>
    <w:semiHidden/>
    <w:unhideWhenUsed/>
    <w:rsid w:val="00841bf2"/>
    <w:pPr>
      <w:spacing w:before="0" w:after="120"/>
      <w:ind w:firstLine="357"/>
      <w:jc w:val="both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Noto Sans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cs="Noto Sans"/>
    </w:rPr>
  </w:style>
  <w:style w:type="paragraph" w:styleId="Style21" w:customStyle="1">
    <w:name w:val="Текст ТД"/>
    <w:basedOn w:val="Normal"/>
    <w:link w:val="Style11"/>
    <w:qFormat/>
    <w:rsid w:val="00fa165a"/>
    <w:pPr>
      <w:numPr>
        <w:ilvl w:val="0"/>
        <w:numId w:val="1"/>
      </w:numPr>
      <w:spacing w:before="0" w:after="200"/>
      <w:jc w:val="both"/>
    </w:pPr>
    <w:rPr>
      <w:szCs w:val="20"/>
      <w:lang w:eastAsia="en-US"/>
    </w:rPr>
  </w:style>
  <w:style w:type="paragraph" w:styleId="ListParagraph">
    <w:name w:val="List Paragraph"/>
    <w:basedOn w:val="Normal"/>
    <w:link w:val="Style14"/>
    <w:uiPriority w:val="34"/>
    <w:qFormat/>
    <w:rsid w:val="00616f31"/>
    <w:pPr>
      <w:spacing w:lineRule="auto" w:line="276" w:before="0" w:after="200"/>
      <w:ind w:left="720"/>
      <w:contextualSpacing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Default" w:customStyle="1">
    <w:name w:val="Default"/>
    <w:qFormat/>
    <w:rsid w:val="00787001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9f19e6"/>
    <w:pPr/>
    <w:rPr>
      <w:rFonts w:ascii="Tahoma" w:hAnsi="Tahoma" w:eastAsia="Calibri" w:cs="Tahoma" w:eastAsiaTheme="minorHAnsi"/>
      <w:sz w:val="16"/>
      <w:szCs w:val="16"/>
      <w:lang w:eastAsia="en-US"/>
    </w:rPr>
  </w:style>
  <w:style w:type="paragraph" w:styleId="Style22" w:customStyle="1">
    <w:name w:val="Основной"/>
    <w:basedOn w:val="Normal"/>
    <w:qFormat/>
    <w:rsid w:val="00841bf2"/>
    <w:pPr>
      <w:ind w:firstLine="709"/>
      <w:jc w:val="both"/>
    </w:pPr>
    <w:rPr>
      <w:sz w:val="28"/>
      <w:szCs w:val="28"/>
    </w:rPr>
  </w:style>
  <w:style w:type="paragraph" w:styleId="BodyText2">
    <w:name w:val="Body Text 2"/>
    <w:basedOn w:val="Normal"/>
    <w:link w:val="21"/>
    <w:uiPriority w:val="99"/>
    <w:unhideWhenUsed/>
    <w:qFormat/>
    <w:rsid w:val="00fc06f7"/>
    <w:pPr>
      <w:spacing w:lineRule="auto" w:line="480" w:before="0" w:after="120"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CommentText">
    <w:name w:val="annotation text"/>
    <w:basedOn w:val="Normal"/>
    <w:link w:val="Style15"/>
    <w:uiPriority w:val="99"/>
    <w:semiHidden/>
    <w:unhideWhenUsed/>
    <w:rsid w:val="00162868"/>
    <w:pPr>
      <w:spacing w:before="0" w:after="200"/>
    </w:pPr>
    <w:rPr>
      <w:rFonts w:ascii="Calibri" w:hAnsi="Calibri" w:eastAsia="Calibri" w:cs="" w:asciiTheme="minorHAnsi" w:cstheme="minorBidi" w:eastAsiaTheme="minorHAnsi" w:hAnsiTheme="minorHAnsi"/>
      <w:sz w:val="20"/>
      <w:szCs w:val="20"/>
      <w:lang w:eastAsia="en-US"/>
    </w:rPr>
  </w:style>
  <w:style w:type="paragraph" w:styleId="annotationsubject">
    <w:name w:val="annotation subject"/>
    <w:basedOn w:val="CommentText"/>
    <w:next w:val="CommentText"/>
    <w:link w:val="Style16"/>
    <w:uiPriority w:val="99"/>
    <w:semiHidden/>
    <w:unhideWhenUsed/>
    <w:qFormat/>
    <w:rsid w:val="00162868"/>
    <w:pPr/>
    <w:rPr>
      <w:b/>
      <w:bCs/>
    </w:rPr>
  </w:style>
  <w:style w:type="paragraph" w:styleId="FootnoteText">
    <w:name w:val="footnote text"/>
    <w:basedOn w:val="Normal"/>
    <w:link w:val="Style17"/>
    <w:uiPriority w:val="99"/>
    <w:semiHidden/>
    <w:unhideWhenUsed/>
    <w:rsid w:val="00b94b6f"/>
    <w:pPr/>
    <w:rPr>
      <w:sz w:val="20"/>
      <w:szCs w:val="20"/>
    </w:rPr>
  </w:style>
  <w:style w:type="paragraph" w:styleId="12" w:customStyle="1">
    <w:name w:val="Абзац списка1"/>
    <w:basedOn w:val="Normal"/>
    <w:uiPriority w:val="34"/>
    <w:qFormat/>
    <w:rsid w:val="00b311d7"/>
    <w:pPr>
      <w:ind w:left="708"/>
    </w:pPr>
    <w:rPr>
      <w:rFonts w:eastAsia="Calibri"/>
    </w:rPr>
  </w:style>
  <w:style w:type="paragraph" w:styleId="ConsPlusNormal" w:customStyle="1">
    <w:name w:val="ConsPlusNormal"/>
    <w:qFormat/>
    <w:rsid w:val="00954ce9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user3">
    <w:name w:val="Комментарий (user)"/>
    <w:basedOn w:val="Normal"/>
    <w:qFormat/>
    <w:pPr>
      <w:spacing w:lineRule="auto" w:line="240" w:before="56" w:after="0"/>
      <w:ind w:hanging="0" w:left="57" w:right="57"/>
    </w:pPr>
    <w:rPr>
      <w:color w:val="auto"/>
      <w:sz w:val="20"/>
      <w:szCs w:val="20"/>
    </w:rPr>
  </w:style>
  <w:style w:type="numbering" w:styleId="Style23" w:default="1">
    <w:name w:val="Без списка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8728F2-2CC6-4656-B0A1-0EC178774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3236</TotalTime>
  <Application>LibreOffice/25.8.0.4$Linux_X86_64 LibreOffice_project/48f00303701489684e67c38c28aff00cd5929e67</Application>
  <AppVersion>15.0000</AppVersion>
  <Pages>3</Pages>
  <Words>885</Words>
  <Characters>6324</Characters>
  <CharactersWithSpaces>7158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2022-11-02T08:37:00Z</dcterms:created>
  <dc:creator>Кирсанов</dc:creator>
  <dc:description/>
  <dc:language>ru-RU</dc:language>
  <cp:lastModifiedBy/>
  <cp:lastPrinted>2024-07-30T10:51:00Z</cp:lastPrinted>
  <dcterms:modified xsi:type="dcterms:W3CDTF">2026-04-23T13:58:05Z</dcterms:modified>
  <cp:revision>388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