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end"/>
        <w:rPr/>
      </w:pPr>
      <w:r>
        <w:rPr/>
      </w:r>
    </w:p>
    <w:p>
      <w:pPr>
        <w:pStyle w:val="ConsPlusNormal"/>
        <w:jc w:val="end"/>
        <w:rPr/>
      </w:pPr>
      <w:r>
        <w:rPr/>
      </w:r>
    </w:p>
    <w:p>
      <w:pPr>
        <w:pStyle w:val="Normal"/>
        <w:keepNext w:val="true"/>
        <w:jc w:val="center"/>
        <w:rPr>
          <w:rFonts w:eastAsia="Calibri"/>
          <w:b/>
          <w:caps/>
          <w:sz w:val="26"/>
          <w:szCs w:val="26"/>
        </w:rPr>
      </w:pPr>
      <w:r>
        <w:rPr>
          <w:rFonts w:eastAsia="Calibri"/>
          <w:b/>
          <w:caps/>
          <w:sz w:val="26"/>
          <w:szCs w:val="26"/>
        </w:rPr>
        <w:t xml:space="preserve">ЗАДАНИЕ </w:t>
      </w:r>
    </w:p>
    <w:p>
      <w:pPr>
        <w:pStyle w:val="Style21"/>
        <w:widowControl/>
        <w:numPr>
          <w:ilvl w:val="0"/>
          <w:numId w:val="0"/>
        </w:numPr>
        <w:tabs>
          <w:tab w:val="left" w:pos="708" w:leader="none"/>
        </w:tabs>
        <w:bidi w:val="0"/>
        <w:spacing w:lineRule="auto" w:line="240" w:before="0" w:after="0"/>
        <w:ind w:hanging="0" w:start="0"/>
        <w:jc w:val="center"/>
        <w:rPr>
          <w:rFonts w:ascii="Times New Roman" w:hAnsi="Times New Roman" w:eastAsia="Times New Roman" w:cs="Times New Roman"/>
          <w:b w:val="false"/>
          <w:bCs w:val="false"/>
          <w:iCs/>
          <w:sz w:val="26"/>
          <w:szCs w:val="26"/>
        </w:rPr>
      </w:pPr>
      <w:r>
        <w:rPr>
          <w:rFonts w:eastAsia="Times New Roman" w:cs="Times New Roman"/>
          <w:b w:val="false"/>
          <w:bCs w:val="false"/>
          <w:iCs/>
          <w:sz w:val="26"/>
          <w:szCs w:val="26"/>
        </w:rPr>
        <w:t>на выполнение работ по устройству сетей наружного освещения города Нижнего Новгорода на участке: ул. Удмуртская (от ул. Аксакова до ул. Можайская)</w:t>
      </w:r>
    </w:p>
    <w:p>
      <w:pPr>
        <w:pStyle w:val="Style21"/>
        <w:widowControl/>
        <w:numPr>
          <w:ilvl w:val="0"/>
          <w:numId w:val="0"/>
        </w:numPr>
        <w:tabs>
          <w:tab w:val="left" w:pos="708" w:leader="none"/>
        </w:tabs>
        <w:bidi w:val="0"/>
        <w:spacing w:lineRule="auto" w:line="240" w:before="0" w:after="0"/>
        <w:ind w:hanging="0" w:start="0"/>
        <w:jc w:val="center"/>
        <w:rPr>
          <w:rFonts w:ascii="Times New Roman" w:hAnsi="Times New Roman"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</w:r>
    </w:p>
    <w:tbl>
      <w:tblPr>
        <w:tblW w:w="10661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710"/>
        <w:gridCol w:w="3118"/>
        <w:gridCol w:w="6833"/>
      </w:tblGrid>
      <w:tr>
        <w:trPr/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объекта закупки </w:t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numPr>
                <w:ilvl w:val="0"/>
                <w:numId w:val="0"/>
              </w:numPr>
              <w:tabs>
                <w:tab w:val="left" w:pos="708" w:leader="none"/>
              </w:tabs>
              <w:spacing w:before="0" w:after="0"/>
              <w:ind w:hanging="0" w:start="0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Выполнение работ по устройству сетей наружного освещения города Нижнего Новгорода на участке: ул. Удмуртская (от ул. Аксакова до ул. Можайская) в том числе: Составление исполнительной съемки; Вынос в натуру осей трассы кабельной линии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color w:val="00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выполнению работ, их качеству, в том числе к технологии производства работ, методам производства работ, организационно-технологической схеме производства работ, безопасности выполняемых работ</w:t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Объем, содержание работ по устройству сетей наружного освещения и другие, предъявля</w:t>
            </w:r>
            <w:r>
              <w:rPr>
                <w:sz w:val="22"/>
                <w:szCs w:val="22"/>
                <w:shd w:fill="FFFFFF" w:val="clear"/>
              </w:rPr>
              <w:t>емые к работам требования должны соответствовать утвержденной Рабочей (проектной) и сметной  документации</w:t>
            </w:r>
            <w:r>
              <w:rPr>
                <w:rFonts w:eastAsia="Calibri"/>
                <w:sz w:val="22"/>
                <w:szCs w:val="22"/>
                <w:shd w:fill="FFFFFF" w:val="clear"/>
                <w:lang w:eastAsia="zh-CN"/>
              </w:rPr>
              <w:t xml:space="preserve">, Графиком выполнения работ, согласованным с Заказчиком ,в сроки, предусмотренные Заданием  а также </w:t>
            </w:r>
            <w:r>
              <w:rPr>
                <w:sz w:val="22"/>
                <w:szCs w:val="22"/>
                <w:shd w:fill="FFFFFF" w:val="clear"/>
              </w:rPr>
              <w:t xml:space="preserve"> действующими техническими регламентами, нормами и правилами, в том числе установленными в Перечне нормативно-технической</w:t>
            </w:r>
            <w:r>
              <w:rPr>
                <w:sz w:val="22"/>
                <w:szCs w:val="22"/>
                <w:shd w:fill="EEEEEE" w:val="clear"/>
              </w:rPr>
              <w:t xml:space="preserve"> </w:t>
            </w:r>
            <w:r>
              <w:rPr>
                <w:sz w:val="22"/>
                <w:szCs w:val="22"/>
                <w:shd w:fill="FFFFFF" w:val="clear"/>
              </w:rPr>
              <w:t>документации.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jc w:val="both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Используемые в локальных сметных расчетах ссылки на товарные знаки (при наличии) обусловлены требованиями Приказа Минстроя России от 04.08.2020 № 421/пр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установлены с целью обоснования стоимости работ и не устанавливают требований к материалам, применяемым при выполнении работ.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Используемые в Рабочей (проектной) документации (Приложение № 1 к Заданию) ссылки на товарные знаки (при наличии) обусловлены требованиями Положения о составе проектной документации и требованиях к их содержанию, утвержденного Постановлением Правительства Российской Федерации от 16 февраля 2008 года № 87 «О составе разделов проектной документации и требованиях к их содержанию», необходимостью описания проектных решений.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ссылок на товарные знаки в Рабочей документации, указанные товарные знаки подразумевает возможность их замены на эквивалентные (соответствующие или превосходящие по качественным характеристикам), при этом признаками эквивалентности служат требования Рабочей (проектной) документации к функциональным решениям при применении оборудования, изделий, материалов.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Подрядчик предлагает использовать при выполнении работ материалы (комплектующие и оборудование), не предусмотренные Рабочей (проектной) документацией, то применение таких материалов допускается в случае, если они являются эквивалентами материалам, указанным в Рабочей (проектной) документации.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параметров объекта от Рабочей (проектной) документации, необходимость которого выявилась в процессе производства работ, допускается только по согласованию с Заказчиком (изменение номенклатуры используемых материалов, изделий, конструкций и оборудования допустимо без изменения сметной стоимости работ).</w:t>
            </w:r>
          </w:p>
        </w:tc>
      </w:tr>
      <w:tr>
        <w:trPr>
          <w:trHeight w:val="558" w:hRule="atLeast"/>
        </w:trPr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Результат работ </w:t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Результатами работ являются выполненные работы по устройству сетей наружного освещения города Нижнего Новгорода на участке: ул. Удмуртская (от ул. Аксакова до ул. Можайская) в том числе: Составление исполнительной съемки; Вынос в натуру осей трассы кабельной линии, соответствующие требованиям Градостроительного кодекса РФ, техническим регламентам, санитарным нормам, требованиям пожарной безопасности и иным нормативным актам  а также Рабочей (проектной) и сметной документации.</w:t>
            </w:r>
          </w:p>
          <w:p>
            <w:pPr>
              <w:pStyle w:val="Normal"/>
              <w:spacing w:before="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Качество выполнения работ должно соответствовать требованиям действующих норм, правил, государственных стандартов РФ, нормативных правовых актов, технических регламентов и т.д., применяемым к видам работ, в соответствии с действующими техническими регламентами, нормами и правилами, в том числе установленными в Перечне нормативно-технической документации.</w:t>
            </w:r>
          </w:p>
        </w:tc>
      </w:tr>
      <w:tr>
        <w:trPr>
          <w:trHeight w:val="558" w:hRule="atLeast"/>
        </w:trPr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  <w:lang w:val="x-none"/>
              </w:rPr>
              <w:t>Сдача исполнительной документации</w:t>
            </w:r>
            <w:r>
              <w:rPr>
                <w:b/>
                <w:iCs/>
                <w:sz w:val="22"/>
                <w:szCs w:val="22"/>
              </w:rPr>
              <w:t xml:space="preserve"> Заказчику</w:t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формирования структурированного документа о приемке Подрядчик в полном объеме передает Заказчику исполнительную документацию, включающую: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Приказы о назначении ответственного за производство работ, строительный контроль;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Акт технической готовности электромонтажных работ;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Ведомость смонтированного электрического оборудования;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Акт оценки качества выполненных работ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Акты освидетельствования скрытых работ и установленных конструкций;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Схемы установки оборудования;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Исполнительная схема прокладки СНО;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Сертификат качества на материалы;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Сертификат соответствия на материалы;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Паспорта на материалы;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Паспорта и техническую документацию на оборудование (в т.ч. инструкцию по эксплуатации) с указанием гарантийного срока на каждый вид оборудования;</w:t>
            </w:r>
          </w:p>
          <w:p>
            <w:pPr>
              <w:pStyle w:val="Normal"/>
              <w:spacing w:before="0"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Исполнительная съемка СНО с внесением трассы в ГИСОГД НО.</w:t>
            </w:r>
          </w:p>
        </w:tc>
      </w:tr>
      <w:tr>
        <w:trPr>
          <w:trHeight w:val="558" w:hRule="atLeast"/>
        </w:trPr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качественным характеристикам работ, требования к функциональным характеристикам товаров (материалов, оборудования), подлежащих использованию при выполнении работ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tabs>
                <w:tab w:val="clear" w:pos="708"/>
                <w:tab w:val="left" w:pos="0" w:leader="none"/>
                <w:tab w:val="left" w:pos="1134" w:leader="none"/>
              </w:tabs>
              <w:spacing w:before="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      </w:r>
          </w:p>
          <w:p>
            <w:pPr>
              <w:pStyle w:val="Normal"/>
              <w:keepLines/>
              <w:tabs>
                <w:tab w:val="clear" w:pos="708"/>
                <w:tab w:val="left" w:pos="0" w:leader="none"/>
                <w:tab w:val="left" w:pos="1134" w:leader="none"/>
              </w:tabs>
              <w:spacing w:before="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Применяемые материалы и оборудование должны быть новыми, в заводской комплектации и упаковке, ранее не используемыми, не восстановленными и не собранными из восстановленных компонентов, соответствовать заявленным техническим характеристикам, комплектными, серийными, а также иметь срок изготовления не ранее 2025 г.</w:t>
            </w:r>
          </w:p>
          <w:p>
            <w:pPr>
              <w:pStyle w:val="ListParagraph"/>
              <w:spacing w:lineRule="auto" w:line="240" w:before="0" w:after="60"/>
              <w:ind w:start="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</w:rPr>
            </w:pPr>
            <w:r>
              <w:rPr>
                <w:rFonts w:cs="Times New Roman" w:ascii="Times New Roman" w:hAnsi="Times New Roman"/>
              </w:rPr>
              <w:t>Используемые на объекте материалы и оборудование должны быть аттестованы и соответствовать техническим требованиям: ГОСТ, ТУ. Данные технические требования должны быть аналогичны требованиям, предъявляемым при аттестации данного вида оборудования.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гарантийному сроку на товары, работы, услуги и (или) объему предоставления гарантий его качества</w:t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lineRule="auto" w:line="240"/>
              <w:ind w:star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Гарантия качества предоставляется на все произведенные работы и использованные в ходе производства работ материалы, изделия, конструкции и оборудование и составляет не менее 61 (шестидесяти одного) месяцев. </w:t>
            </w:r>
          </w:p>
          <w:p>
            <w:pPr>
              <w:pStyle w:val="ListParagraph"/>
              <w:spacing w:lineRule="auto" w:line="240"/>
              <w:ind w:star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Если в период гарантийного срока обнаружатся недостатки или дефекты, то Подрядчик обязан направить своего представителя для участия в составлении акта, фиксирующего дефекты и (в случае, если не докажет отсутствие своей вины) обязан устранить их за свой счет в сроки, согласованные Сторонами, но не более 7 календарных дней. Гарантийный срок в этом случае продлевается на период устранения дефектов.</w:t>
            </w:r>
          </w:p>
          <w:p>
            <w:pPr>
              <w:pStyle w:val="ListParagraph"/>
              <w:spacing w:lineRule="auto" w:line="240"/>
              <w:ind w:star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Началом срока гарантии следует считать следующий день после подписания структурированного документа о приемке.</w:t>
            </w:r>
          </w:p>
          <w:p>
            <w:pPr>
              <w:pStyle w:val="ListParagraph"/>
              <w:spacing w:lineRule="auto" w:line="240"/>
              <w:ind w:star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В случае отказа (уклонения) Подрядчика от устранения недостатков или дефектов, Заказчик вправе:</w:t>
            </w:r>
          </w:p>
          <w:p>
            <w:pPr>
              <w:pStyle w:val="ListParagraph"/>
              <w:spacing w:lineRule="auto" w:line="240"/>
              <w:ind w:star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1. Провести экспертизу, как своими силами, так и с помощью привлеченных экспертов. При этом расходы на экспертизу несет Подрядчик, за исключением случаев,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недостатками.</w:t>
            </w:r>
          </w:p>
          <w:p>
            <w:pPr>
              <w:pStyle w:val="ListParagraph"/>
              <w:spacing w:lineRule="auto" w:line="240" w:before="0" w:after="200"/>
              <w:ind w:start="0"/>
              <w:contextualSpacing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cs="Times New Roman" w:ascii="Times New Roman" w:hAnsi="Times New Roman"/>
                <w:iCs/>
              </w:rPr>
              <w:t>2. Устранить недостатки или дефекты своими силами или с помощью третьих лиц, с возложением причинённых расходов и убытков на Подрядчика.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выполнения работы </w:t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город Нижний Новгород </w:t>
            </w:r>
            <w:r>
              <w:rPr>
                <w:bCs/>
                <w:iCs/>
                <w:sz w:val="22"/>
                <w:szCs w:val="22"/>
              </w:rPr>
              <w:t>на участке: ул. Удмуртская (от ул. Аксакова до ул. Можайская).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 договора (отдельных этапов исполнения договора, если проектом договора предусмотрены такие этапы)</w:t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выполнения работ: с даты заключения Контракта по 23.06.2026 (включительно), в</w:t>
            </w:r>
            <w:r>
              <w:rPr>
                <w:sz w:val="22"/>
                <w:szCs w:val="22"/>
                <w:lang w:eastAsia="zh-CN"/>
              </w:rPr>
              <w:t xml:space="preserve"> данный срок входит поставка оборудования и материалов.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kern w:val="2"/>
                <w:sz w:val="22"/>
                <w:szCs w:val="22"/>
              </w:rPr>
            </w:pPr>
            <w:r>
              <w:rPr>
                <w:i/>
                <w:kern w:val="2"/>
                <w:sz w:val="22"/>
                <w:szCs w:val="22"/>
              </w:rPr>
              <w:t>Работы выполняются в один этап. Промежуточные сроки выполнения работ не устанавливаются, отдельные этапы выполнения работ Заказчиком не принимаются и не оплачиваются.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kern w:val="2"/>
                <w:sz w:val="22"/>
                <w:szCs w:val="22"/>
              </w:rPr>
            </w:pPr>
            <w:r>
              <w:rPr>
                <w:i/>
                <w:kern w:val="2"/>
                <w:sz w:val="22"/>
                <w:szCs w:val="22"/>
              </w:rPr>
              <w:t>Подрядчик имеет право досрочно выполнить работы и сдать объект Заказчику.</w:t>
            </w:r>
          </w:p>
          <w:p>
            <w:pPr>
              <w:pStyle w:val="Normal"/>
              <w:shd w:val="clear" w:color="auto" w:fill="FFFFFF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приемки выполненных работ: в течение 20 (Двадцати) рабочих дней, следующих за днем поступления документа о приемке в ЕИС.</w:t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 контракта: контракт действует по 31 декабря 2026 года включительно, а в части оплаты – до полного исполнения своих обязательств Сторонами.</w:t>
            </w:r>
          </w:p>
        </w:tc>
      </w:tr>
      <w:tr>
        <w:trPr>
          <w:trHeight w:val="558" w:hRule="atLeast"/>
        </w:trPr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6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4" w:leader="none"/>
              </w:tabs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sectPr>
      <w:type w:val="nextPage"/>
      <w:pgSz w:w="11906" w:h="16838"/>
      <w:pgMar w:left="1134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526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d0b4c"/>
    <w:pPr>
      <w:keepNext w:val="true"/>
      <w:keepLines/>
      <w:spacing w:lineRule="auto" w:line="276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41bf2"/>
    <w:pPr>
      <w:keepNext w:val="true"/>
      <w:keepLines/>
      <w:spacing w:lineRule="auto" w:line="276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b5596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ТД Знак"/>
    <w:link w:val="Style21"/>
    <w:qFormat/>
    <w:locked/>
    <w:rsid w:val="00fa165a"/>
    <w:rPr>
      <w:rFonts w:ascii="Times New Roman" w:hAnsi="Times New Roman"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11dce"/>
    <w:rPr>
      <w:color w:themeColor="hyperlink" w:val="0000FF"/>
      <w:u w:val="single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f19e6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9d0b4c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a54255"/>
    <w:rPr>
      <w:color w:val="605E5C"/>
      <w:shd w:fill="E1DFDD" w:val="clear"/>
    </w:rPr>
  </w:style>
  <w:style w:type="character" w:styleId="111" w:customStyle="1">
    <w:name w:val="Заголовок 1 Знак1"/>
    <w:basedOn w:val="DefaultParagraphFont"/>
    <w:uiPriority w:val="9"/>
    <w:qFormat/>
    <w:locked/>
    <w:rsid w:val="00c33691"/>
    <w:rPr>
      <w:rFonts w:ascii="Arial" w:hAnsi="Arial" w:cs="Times New Roman"/>
      <w:b/>
      <w:kern w:val="2"/>
      <w:sz w:val="32"/>
      <w:lang w:val="x-none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841bf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3" w:customStyle="1">
    <w:name w:val="Основной текст Знак"/>
    <w:basedOn w:val="DefaultParagraphFont"/>
    <w:semiHidden/>
    <w:qFormat/>
    <w:rsid w:val="00841bf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fc06f7"/>
    <w:rPr/>
  </w:style>
  <w:style w:type="character" w:styleId="Style14" w:customStyle="1">
    <w:name w:val="Абзац списка Знак"/>
    <w:link w:val="ListParagraph"/>
    <w:uiPriority w:val="34"/>
    <w:qFormat/>
    <w:locked/>
    <w:rsid w:val="00fc06f7"/>
    <w:rPr/>
  </w:style>
  <w:style w:type="character" w:styleId="TimesNewRoman" w:customStyle="1">
    <w:name w:val="Основной текст + Times New Roman"/>
    <w:qFormat/>
    <w:rsid w:val="00912718"/>
    <w:rPr>
      <w:rFonts w:ascii="Times New Roman" w:hAnsi="Times New Roman" w:cs="Times New Roman"/>
      <w:strike w:val="false"/>
      <w:dstrike w:val="false"/>
      <w:color w:val="000000"/>
      <w:spacing w:val="4"/>
      <w:w w:val="100"/>
      <w:sz w:val="15"/>
      <w:u w:val="none"/>
      <w:effect w:val="none"/>
      <w:lang w:val="ru-RU" w:eastAsia="ru-RU"/>
    </w:rPr>
  </w:style>
  <w:style w:type="character" w:styleId="TimesNewRoman2" w:customStyle="1">
    <w:name w:val="Основной текст + Times New Roman2"/>
    <w:qFormat/>
    <w:rsid w:val="00de4597"/>
    <w:rPr>
      <w:rFonts w:ascii="Times New Roman" w:hAnsi="Times New Roman"/>
      <w:color w:val="000000"/>
      <w:spacing w:val="4"/>
      <w:w w:val="100"/>
      <w:sz w:val="15"/>
      <w:u w:val="none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6286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162868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62868"/>
    <w:rPr>
      <w:b/>
      <w:bCs/>
      <w:sz w:val="20"/>
      <w:szCs w:val="20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b94b6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">
    <w:name w:val="Символ сноски (user)"/>
    <w:basedOn w:val="DefaultParagraphFont"/>
    <w:uiPriority w:val="99"/>
    <w:semiHidden/>
    <w:unhideWhenUsed/>
    <w:qFormat/>
    <w:rsid w:val="00b94b6f"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Заголовок 3 Знак"/>
    <w:basedOn w:val="DefaultParagraphFont"/>
    <w:uiPriority w:val="9"/>
    <w:semiHidden/>
    <w:qFormat/>
    <w:rsid w:val="006b5596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ru-RU"/>
    </w:rPr>
  </w:style>
  <w:style w:type="character" w:styleId="31" w:customStyle="1">
    <w:name w:val="Заголовок 3 Знак1"/>
    <w:uiPriority w:val="9"/>
    <w:qFormat/>
    <w:rsid w:val="00c768af"/>
    <w:rPr>
      <w:rFonts w:ascii="Arial" w:hAnsi="Arial" w:eastAsia="Times New Roman"/>
      <w:b/>
      <w:sz w:val="24"/>
      <w:lang w:val="x-none" w:eastAsia="x-non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3"/>
    <w:semiHidden/>
    <w:unhideWhenUsed/>
    <w:rsid w:val="00841bf2"/>
    <w:pPr>
      <w:spacing w:before="0" w:after="120"/>
      <w:ind w:firstLine="357"/>
      <w:jc w:val="both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Style21" w:customStyle="1">
    <w:name w:val="Текст ТД"/>
    <w:basedOn w:val="Normal"/>
    <w:link w:val="Style11"/>
    <w:qFormat/>
    <w:rsid w:val="00fa165a"/>
    <w:pPr>
      <w:numPr>
        <w:ilvl w:val="0"/>
        <w:numId w:val="1"/>
      </w:numPr>
      <w:spacing w:before="0" w:after="200"/>
      <w:jc w:val="both"/>
    </w:pPr>
    <w:rPr>
      <w:szCs w:val="20"/>
      <w:lang w:eastAsia="en-US"/>
    </w:rPr>
  </w:style>
  <w:style w:type="paragraph" w:styleId="ListParagraph">
    <w:name w:val="List Paragraph"/>
    <w:basedOn w:val="Normal"/>
    <w:link w:val="Style14"/>
    <w:uiPriority w:val="34"/>
    <w:qFormat/>
    <w:rsid w:val="00616f3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Default" w:customStyle="1">
    <w:name w:val="Default"/>
    <w:qFormat/>
    <w:rsid w:val="0078700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f19e6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Style22" w:customStyle="1">
    <w:name w:val="Основной"/>
    <w:basedOn w:val="Normal"/>
    <w:qFormat/>
    <w:rsid w:val="00841bf2"/>
    <w:pPr>
      <w:ind w:firstLine="709"/>
      <w:jc w:val="both"/>
    </w:pPr>
    <w:rPr>
      <w:sz w:val="28"/>
      <w:szCs w:val="28"/>
    </w:rPr>
  </w:style>
  <w:style w:type="paragraph" w:styleId="BodyText2">
    <w:name w:val="Body Text 2"/>
    <w:basedOn w:val="Normal"/>
    <w:link w:val="21"/>
    <w:uiPriority w:val="99"/>
    <w:unhideWhenUsed/>
    <w:qFormat/>
    <w:rsid w:val="00fc06f7"/>
    <w:pPr>
      <w:spacing w:lineRule="auto" w:line="480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162868"/>
    <w:pPr>
      <w:spacing w:before="0" w:after="20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162868"/>
    <w:pPr/>
    <w:rPr>
      <w:b/>
      <w:bCs/>
    </w:rPr>
  </w:style>
  <w:style w:type="paragraph" w:styleId="FootnoteText">
    <w:name w:val="footnote text"/>
    <w:basedOn w:val="Normal"/>
    <w:link w:val="Style17"/>
    <w:uiPriority w:val="99"/>
    <w:semiHidden/>
    <w:unhideWhenUsed/>
    <w:rsid w:val="00b94b6f"/>
    <w:pPr/>
    <w:rPr>
      <w:sz w:val="20"/>
      <w:szCs w:val="20"/>
    </w:rPr>
  </w:style>
  <w:style w:type="paragraph" w:styleId="12" w:customStyle="1">
    <w:name w:val="Абзац списка1"/>
    <w:basedOn w:val="Normal"/>
    <w:uiPriority w:val="34"/>
    <w:qFormat/>
    <w:rsid w:val="00b311d7"/>
    <w:pPr>
      <w:ind w:start="708"/>
    </w:pPr>
    <w:rPr>
      <w:rFonts w:eastAsia="Calibri"/>
    </w:rPr>
  </w:style>
  <w:style w:type="paragraph" w:styleId="ConsPlusNormal" w:customStyle="1">
    <w:name w:val="ConsPlusNormal"/>
    <w:qFormat/>
    <w:rsid w:val="00954ce9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728F2-2CC6-4656-B0A1-0EC17877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Application>LibreOffice/25.8.0.4$Linux_X86_64 LibreOffice_project/48f00303701489684e67c38c28aff00cd5929e67</Application>
  <AppVersion>15.0000</AppVersion>
  <Pages>3</Pages>
  <Words>987</Words>
  <Characters>7068</Characters>
  <CharactersWithSpaces>8011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2022-11-02T08:37:00Z</dcterms:created>
  <dc:creator>Кирсанов</dc:creator>
  <dc:description/>
  <dc:language>ru-RU</dc:language>
  <cp:lastModifiedBy/>
  <cp:lastPrinted>2024-07-30T10:51:00Z</cp:lastPrinted>
  <dcterms:modified xsi:type="dcterms:W3CDTF">2026-04-23T14:20:34Z</dcterms:modified>
  <cp:revision>376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